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8CE9A4">
      <w:pPr>
        <w:spacing w:line="360" w:lineRule="auto"/>
        <w:jc w:val="center"/>
        <w:rPr>
          <w:rFonts w:ascii="仿宋" w:hAnsi="仿宋" w:eastAsia="仿宋" w:cs="仿宋"/>
          <w:b/>
          <w:bCs/>
          <w:sz w:val="30"/>
          <w:szCs w:val="30"/>
        </w:rPr>
      </w:pPr>
      <w:r>
        <w:rPr>
          <w:rFonts w:hint="eastAsia" w:ascii="仿宋" w:hAnsi="仿宋" w:eastAsia="仿宋" w:cs="仿宋"/>
          <w:b/>
          <w:bCs/>
          <w:sz w:val="30"/>
          <w:szCs w:val="30"/>
        </w:rPr>
        <w:t>竞买须知</w:t>
      </w:r>
    </w:p>
    <w:p w14:paraId="4BE9507B">
      <w:pPr>
        <w:keepNext w:val="0"/>
        <w:keepLines w:val="0"/>
        <w:pageBreakBefore w:val="0"/>
        <w:widowControl w:val="0"/>
        <w:kinsoku/>
        <w:overflowPunct/>
        <w:topLinePunct w:val="0"/>
        <w:autoSpaceDE/>
        <w:autoSpaceDN/>
        <w:bidi w:val="0"/>
        <w:adjustRightInd/>
        <w:snapToGrid/>
        <w:spacing w:line="560" w:lineRule="exact"/>
        <w:ind w:firstLine="600" w:firstLineChars="200"/>
        <w:jc w:val="left"/>
        <w:textAlignment w:val="auto"/>
        <w:rPr>
          <w:rFonts w:ascii="仿宋" w:hAnsi="仿宋" w:eastAsia="仿宋" w:cs="仿宋"/>
          <w:sz w:val="30"/>
          <w:szCs w:val="30"/>
        </w:rPr>
      </w:pPr>
      <w:r>
        <w:rPr>
          <w:rFonts w:hint="eastAsia" w:ascii="仿宋" w:hAnsi="仿宋" w:eastAsia="仿宋" w:cs="仿宋"/>
          <w:sz w:val="30"/>
          <w:szCs w:val="30"/>
        </w:rPr>
        <w:t> </w:t>
      </w:r>
    </w:p>
    <w:p w14:paraId="2DD5CA57">
      <w:pPr>
        <w:keepNext w:val="0"/>
        <w:keepLines w:val="0"/>
        <w:pageBreakBefore w:val="0"/>
        <w:widowControl w:val="0"/>
        <w:kinsoku/>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江西远东机械科技有限公司</w:t>
      </w:r>
      <w:r>
        <w:rPr>
          <w:rFonts w:hint="eastAsia" w:ascii="仿宋" w:hAnsi="仿宋" w:eastAsia="仿宋" w:cs="仿宋"/>
          <w:sz w:val="28"/>
          <w:szCs w:val="28"/>
        </w:rPr>
        <w:t>管理人</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江西远东新能源有限公司管理人</w:t>
      </w:r>
      <w:r>
        <w:rPr>
          <w:rFonts w:hint="eastAsia" w:ascii="仿宋" w:hAnsi="仿宋" w:eastAsia="仿宋" w:cs="仿宋"/>
          <w:sz w:val="28"/>
          <w:szCs w:val="28"/>
        </w:rPr>
        <w:t>将于</w:t>
      </w:r>
      <w:r>
        <w:rPr>
          <w:rFonts w:hint="eastAsia" w:ascii="仿宋" w:hAnsi="仿宋" w:eastAsia="仿宋" w:cs="仿宋"/>
          <w:b/>
          <w:bCs/>
          <w:color w:val="000000" w:themeColor="text1"/>
          <w:sz w:val="28"/>
          <w:szCs w:val="28"/>
          <w:u w:val="single"/>
          <w14:textFill>
            <w14:solidFill>
              <w14:schemeClr w14:val="tx1"/>
            </w14:solidFill>
          </w14:textFill>
        </w:rPr>
        <w:t>202</w:t>
      </w:r>
      <w:r>
        <w:rPr>
          <w:rFonts w:hint="eastAsia" w:ascii="仿宋" w:hAnsi="仿宋" w:eastAsia="仿宋" w:cs="仿宋"/>
          <w:b/>
          <w:bCs/>
          <w:color w:val="000000" w:themeColor="text1"/>
          <w:sz w:val="28"/>
          <w:szCs w:val="28"/>
          <w:u w:val="single"/>
          <w:lang w:val="en-US" w:eastAsia="zh-CN"/>
          <w14:textFill>
            <w14:solidFill>
              <w14:schemeClr w14:val="tx1"/>
            </w14:solidFill>
          </w14:textFill>
        </w:rPr>
        <w:t>4</w:t>
      </w:r>
      <w:r>
        <w:rPr>
          <w:rFonts w:hint="eastAsia" w:ascii="仿宋" w:hAnsi="仿宋" w:eastAsia="仿宋" w:cs="仿宋"/>
          <w:b/>
          <w:bCs/>
          <w:color w:val="000000" w:themeColor="text1"/>
          <w:sz w:val="28"/>
          <w:szCs w:val="28"/>
          <w:u w:val="single"/>
          <w14:textFill>
            <w14:solidFill>
              <w14:schemeClr w14:val="tx1"/>
            </w14:solidFill>
          </w14:textFill>
        </w:rPr>
        <w:t>年</w:t>
      </w:r>
      <w:r>
        <w:rPr>
          <w:rFonts w:hint="eastAsia" w:ascii="仿宋" w:hAnsi="仿宋" w:eastAsia="仿宋" w:cs="仿宋"/>
          <w:b/>
          <w:bCs/>
          <w:color w:val="000000" w:themeColor="text1"/>
          <w:sz w:val="28"/>
          <w:szCs w:val="28"/>
          <w:u w:val="single"/>
          <w:lang w:val="en-US" w:eastAsia="zh-CN"/>
          <w14:textFill>
            <w14:solidFill>
              <w14:schemeClr w14:val="tx1"/>
            </w14:solidFill>
          </w14:textFill>
        </w:rPr>
        <w:t>10</w:t>
      </w:r>
      <w:r>
        <w:rPr>
          <w:rFonts w:hint="eastAsia" w:ascii="仿宋" w:hAnsi="仿宋" w:eastAsia="仿宋" w:cs="仿宋"/>
          <w:b/>
          <w:bCs/>
          <w:color w:val="000000" w:themeColor="text1"/>
          <w:sz w:val="28"/>
          <w:szCs w:val="28"/>
          <w:u w:val="single"/>
          <w14:textFill>
            <w14:solidFill>
              <w14:schemeClr w14:val="tx1"/>
            </w14:solidFill>
          </w14:textFill>
        </w:rPr>
        <w:t>月</w:t>
      </w:r>
      <w:r>
        <w:rPr>
          <w:rFonts w:hint="eastAsia" w:ascii="仿宋" w:hAnsi="仿宋" w:eastAsia="仿宋" w:cs="仿宋"/>
          <w:b/>
          <w:bCs/>
          <w:color w:val="000000" w:themeColor="text1"/>
          <w:sz w:val="28"/>
          <w:szCs w:val="28"/>
          <w:u w:val="single"/>
          <w:lang w:val="en-US" w:eastAsia="zh-CN"/>
          <w14:textFill>
            <w14:solidFill>
              <w14:schemeClr w14:val="tx1"/>
            </w14:solidFill>
          </w14:textFill>
        </w:rPr>
        <w:t>15</w:t>
      </w:r>
      <w:r>
        <w:rPr>
          <w:rFonts w:hint="eastAsia" w:ascii="仿宋" w:hAnsi="仿宋" w:eastAsia="仿宋" w:cs="仿宋"/>
          <w:b/>
          <w:bCs/>
          <w:color w:val="000000" w:themeColor="text1"/>
          <w:sz w:val="28"/>
          <w:szCs w:val="28"/>
          <w:u w:val="single"/>
          <w14:textFill>
            <w14:solidFill>
              <w14:schemeClr w14:val="tx1"/>
            </w14:solidFill>
          </w14:textFill>
        </w:rPr>
        <w:t>日上午10时至202</w:t>
      </w:r>
      <w:r>
        <w:rPr>
          <w:rFonts w:hint="eastAsia" w:ascii="仿宋" w:hAnsi="仿宋" w:eastAsia="仿宋" w:cs="仿宋"/>
          <w:b/>
          <w:bCs/>
          <w:color w:val="000000" w:themeColor="text1"/>
          <w:sz w:val="28"/>
          <w:szCs w:val="28"/>
          <w:u w:val="single"/>
          <w:lang w:val="en-US" w:eastAsia="zh-CN"/>
          <w14:textFill>
            <w14:solidFill>
              <w14:schemeClr w14:val="tx1"/>
            </w14:solidFill>
          </w14:textFill>
        </w:rPr>
        <w:t>4</w:t>
      </w:r>
      <w:r>
        <w:rPr>
          <w:rFonts w:hint="eastAsia" w:ascii="仿宋" w:hAnsi="仿宋" w:eastAsia="仿宋" w:cs="仿宋"/>
          <w:b/>
          <w:bCs/>
          <w:color w:val="000000" w:themeColor="text1"/>
          <w:sz w:val="28"/>
          <w:szCs w:val="28"/>
          <w:u w:val="single"/>
          <w14:textFill>
            <w14:solidFill>
              <w14:schemeClr w14:val="tx1"/>
            </w14:solidFill>
          </w14:textFill>
        </w:rPr>
        <w:t>年</w:t>
      </w:r>
      <w:r>
        <w:rPr>
          <w:rFonts w:hint="eastAsia" w:ascii="仿宋" w:hAnsi="仿宋" w:eastAsia="仿宋" w:cs="仿宋"/>
          <w:b/>
          <w:bCs/>
          <w:color w:val="000000" w:themeColor="text1"/>
          <w:sz w:val="28"/>
          <w:szCs w:val="28"/>
          <w:u w:val="single"/>
          <w:lang w:val="en-US" w:eastAsia="zh-CN"/>
          <w14:textFill>
            <w14:solidFill>
              <w14:schemeClr w14:val="tx1"/>
            </w14:solidFill>
          </w14:textFill>
        </w:rPr>
        <w:t>10</w:t>
      </w:r>
      <w:r>
        <w:rPr>
          <w:rFonts w:hint="eastAsia" w:ascii="仿宋" w:hAnsi="仿宋" w:eastAsia="仿宋" w:cs="仿宋"/>
          <w:b/>
          <w:bCs/>
          <w:color w:val="000000" w:themeColor="text1"/>
          <w:sz w:val="28"/>
          <w:szCs w:val="28"/>
          <w:u w:val="single"/>
          <w14:textFill>
            <w14:solidFill>
              <w14:schemeClr w14:val="tx1"/>
            </w14:solidFill>
          </w14:textFill>
        </w:rPr>
        <w:t>月</w:t>
      </w:r>
      <w:r>
        <w:rPr>
          <w:rFonts w:hint="eastAsia" w:ascii="仿宋" w:hAnsi="仿宋" w:eastAsia="仿宋" w:cs="仿宋"/>
          <w:b/>
          <w:bCs/>
          <w:color w:val="000000" w:themeColor="text1"/>
          <w:sz w:val="28"/>
          <w:szCs w:val="28"/>
          <w:u w:val="single"/>
          <w:lang w:val="en-US" w:eastAsia="zh-CN"/>
          <w14:textFill>
            <w14:solidFill>
              <w14:schemeClr w14:val="tx1"/>
            </w14:solidFill>
          </w14:textFill>
        </w:rPr>
        <w:t>15</w:t>
      </w:r>
      <w:r>
        <w:rPr>
          <w:rFonts w:hint="eastAsia" w:ascii="仿宋" w:hAnsi="仿宋" w:eastAsia="仿宋" w:cs="仿宋"/>
          <w:b/>
          <w:bCs/>
          <w:color w:val="000000" w:themeColor="text1"/>
          <w:sz w:val="28"/>
          <w:szCs w:val="28"/>
          <w:u w:val="single"/>
          <w14:textFill>
            <w14:solidFill>
              <w14:schemeClr w14:val="tx1"/>
            </w14:solidFill>
          </w14:textFill>
        </w:rPr>
        <w:t>日</w:t>
      </w:r>
      <w:r>
        <w:rPr>
          <w:rFonts w:hint="eastAsia" w:ascii="仿宋" w:hAnsi="仿宋" w:eastAsia="仿宋" w:cs="仿宋"/>
          <w:b/>
          <w:bCs/>
          <w:color w:val="000000" w:themeColor="text1"/>
          <w:sz w:val="28"/>
          <w:szCs w:val="28"/>
          <w:u w:val="single"/>
          <w:lang w:val="en-US" w:eastAsia="zh-CN"/>
          <w14:textFill>
            <w14:solidFill>
              <w14:schemeClr w14:val="tx1"/>
            </w14:solidFill>
          </w14:textFill>
        </w:rPr>
        <w:t>下午</w:t>
      </w:r>
      <w:r>
        <w:rPr>
          <w:rFonts w:hint="eastAsia" w:ascii="仿宋" w:hAnsi="仿宋" w:eastAsia="仿宋" w:cs="仿宋"/>
          <w:b/>
          <w:bCs/>
          <w:color w:val="000000" w:themeColor="text1"/>
          <w:sz w:val="28"/>
          <w:szCs w:val="28"/>
          <w:u w:val="single"/>
          <w14:textFill>
            <w14:solidFill>
              <w14:schemeClr w14:val="tx1"/>
            </w14:solidFill>
          </w14:textFill>
        </w:rPr>
        <w:t>1</w:t>
      </w:r>
      <w:r>
        <w:rPr>
          <w:rFonts w:hint="eastAsia" w:ascii="仿宋" w:hAnsi="仿宋" w:eastAsia="仿宋" w:cs="仿宋"/>
          <w:b/>
          <w:bCs/>
          <w:color w:val="000000" w:themeColor="text1"/>
          <w:sz w:val="28"/>
          <w:szCs w:val="28"/>
          <w:u w:val="single"/>
          <w:lang w:val="en-US" w:eastAsia="zh-CN"/>
          <w14:textFill>
            <w14:solidFill>
              <w14:schemeClr w14:val="tx1"/>
            </w14:solidFill>
          </w14:textFill>
        </w:rPr>
        <w:t>6</w:t>
      </w:r>
      <w:r>
        <w:rPr>
          <w:rFonts w:hint="eastAsia" w:ascii="仿宋" w:hAnsi="仿宋" w:eastAsia="仿宋" w:cs="仿宋"/>
          <w:b/>
          <w:bCs/>
          <w:color w:val="000000" w:themeColor="text1"/>
          <w:sz w:val="28"/>
          <w:szCs w:val="28"/>
          <w:u w:val="single"/>
          <w14:textFill>
            <w14:solidFill>
              <w14:schemeClr w14:val="tx1"/>
            </w14:solidFill>
          </w14:textFill>
        </w:rPr>
        <w:t>时止</w:t>
      </w:r>
      <w:r>
        <w:rPr>
          <w:rFonts w:hint="eastAsia" w:ascii="仿宋" w:hAnsi="仿宋" w:eastAsia="仿宋" w:cs="仿宋"/>
          <w:sz w:val="28"/>
          <w:szCs w:val="28"/>
        </w:rPr>
        <w:t>（延时除外）在淘宝网阿里拍卖破产强清平台进行公开拍卖活动，现就网上拍卖有关事宜敬告各位竞买人</w:t>
      </w:r>
      <w:r>
        <w:rPr>
          <w:rFonts w:hint="eastAsia" w:ascii="仿宋" w:hAnsi="仿宋" w:eastAsia="仿宋" w:cs="仿宋"/>
          <w:sz w:val="28"/>
          <w:szCs w:val="28"/>
          <w:lang w:eastAsia="zh-CN"/>
        </w:rPr>
        <w:t>：</w:t>
      </w:r>
    </w:p>
    <w:p w14:paraId="6E2BDA4B">
      <w:pPr>
        <w:keepNext w:val="0"/>
        <w:keepLines w:val="0"/>
        <w:pageBreakBefore w:val="0"/>
        <w:widowControl w:val="0"/>
        <w:kinsoku/>
        <w:overflowPunct/>
        <w:topLinePunct w:val="0"/>
        <w:autoSpaceDE/>
        <w:autoSpaceDN/>
        <w:bidi w:val="0"/>
        <w:adjustRightInd/>
        <w:snapToGrid/>
        <w:spacing w:line="560" w:lineRule="exact"/>
        <w:ind w:firstLine="560" w:firstLineChars="200"/>
        <w:jc w:val="left"/>
        <w:textAlignment w:val="auto"/>
        <w:rPr>
          <w:rFonts w:ascii="仿宋" w:hAnsi="仿宋" w:eastAsia="仿宋" w:cs="仿宋"/>
          <w:sz w:val="28"/>
          <w:szCs w:val="28"/>
        </w:rPr>
      </w:pPr>
      <w:r>
        <w:rPr>
          <w:rFonts w:hint="eastAsia" w:ascii="仿宋" w:hAnsi="仿宋" w:eastAsia="仿宋" w:cs="仿宋"/>
          <w:sz w:val="28"/>
          <w:szCs w:val="28"/>
        </w:rPr>
        <w:t>一、本《拍卖须知》根据《中华人民共和国民事诉讼法》等相关法律规定所制定，竞买人应认真仔细阅读，了解本须知的全部内容。</w:t>
      </w:r>
    </w:p>
    <w:p w14:paraId="52047AA0">
      <w:pPr>
        <w:keepNext w:val="0"/>
        <w:keepLines w:val="0"/>
        <w:pageBreakBefore w:val="0"/>
        <w:widowControl w:val="0"/>
        <w:kinsoku/>
        <w:overflowPunct/>
        <w:topLinePunct w:val="0"/>
        <w:autoSpaceDE/>
        <w:autoSpaceDN/>
        <w:bidi w:val="0"/>
        <w:adjustRightInd/>
        <w:snapToGrid/>
        <w:spacing w:line="560" w:lineRule="exact"/>
        <w:ind w:firstLine="560" w:firstLineChars="200"/>
        <w:jc w:val="left"/>
        <w:textAlignment w:val="auto"/>
        <w:rPr>
          <w:rFonts w:ascii="仿宋" w:hAnsi="仿宋" w:eastAsia="仿宋" w:cs="仿宋"/>
          <w:sz w:val="28"/>
          <w:szCs w:val="28"/>
        </w:rPr>
      </w:pPr>
      <w:r>
        <w:rPr>
          <w:rFonts w:hint="eastAsia" w:ascii="仿宋" w:hAnsi="仿宋" w:eastAsia="仿宋" w:cs="仿宋"/>
          <w:sz w:val="28"/>
          <w:szCs w:val="28"/>
        </w:rPr>
        <w:t>二、本次拍卖活动遵循“公开、公平、公正、诚实守信”的原则，拍卖活动具备法律效力。参加本次拍卖活动的竞买人必须遵守本须知的各项条款，并对自己的行为承担法律责任。</w:t>
      </w:r>
    </w:p>
    <w:p w14:paraId="472DB11E">
      <w:pPr>
        <w:keepNext w:val="0"/>
        <w:keepLines w:val="0"/>
        <w:pageBreakBefore w:val="0"/>
        <w:widowControl w:val="0"/>
        <w:kinsoku/>
        <w:overflowPunct/>
        <w:topLinePunct w:val="0"/>
        <w:autoSpaceDE/>
        <w:autoSpaceDN/>
        <w:bidi w:val="0"/>
        <w:adjustRightInd/>
        <w:snapToGrid/>
        <w:spacing w:line="560" w:lineRule="exact"/>
        <w:ind w:firstLine="560" w:firstLineChars="200"/>
        <w:jc w:val="left"/>
        <w:textAlignment w:val="auto"/>
        <w:rPr>
          <w:rFonts w:ascii="仿宋" w:hAnsi="仿宋" w:eastAsia="仿宋" w:cs="仿宋"/>
          <w:sz w:val="28"/>
          <w:szCs w:val="28"/>
        </w:rPr>
      </w:pPr>
      <w:r>
        <w:rPr>
          <w:rFonts w:hint="eastAsia" w:ascii="仿宋" w:hAnsi="仿宋" w:eastAsia="仿宋" w:cs="仿宋"/>
          <w:sz w:val="28"/>
          <w:szCs w:val="28"/>
        </w:rPr>
        <w:t>三、本次拍卖是经法定公告期和展示期后才举行的，就拍卖标的物已知及可能存在的瑕疵已在本次拍卖资料中作了详尽的说明。管理人对拍卖标的物所作的说明和提供的视频资料、图片等，仅供竞买人参考，不构成对标的物的任何担保。所以请竞买人在拍卖前必须仔细审查拍卖标的物，调查是否存在瑕疵，认真研究查看所竞买标的物的实际情况，慎重决定竞买行为，竞买人一旦作出竞买决定，即表明已完全了解，并接受标的物的现状和一切已知及未知的瑕疵。</w:t>
      </w:r>
    </w:p>
    <w:p w14:paraId="58C6E180">
      <w:pPr>
        <w:keepNext w:val="0"/>
        <w:keepLines w:val="0"/>
        <w:pageBreakBefore w:val="0"/>
        <w:widowControl w:val="0"/>
        <w:kinsoku/>
        <w:overflowPunct/>
        <w:topLinePunct w:val="0"/>
        <w:autoSpaceDE/>
        <w:autoSpaceDN/>
        <w:bidi w:val="0"/>
        <w:adjustRightInd/>
        <w:snapToGrid/>
        <w:spacing w:line="560" w:lineRule="exact"/>
        <w:ind w:firstLine="560" w:firstLineChars="200"/>
        <w:jc w:val="left"/>
        <w:textAlignment w:val="auto"/>
        <w:rPr>
          <w:rFonts w:ascii="仿宋" w:hAnsi="仿宋" w:eastAsia="仿宋" w:cs="仿宋"/>
          <w:sz w:val="28"/>
          <w:szCs w:val="28"/>
        </w:rPr>
      </w:pPr>
      <w:r>
        <w:rPr>
          <w:rFonts w:hint="eastAsia" w:ascii="仿宋" w:hAnsi="仿宋" w:eastAsia="仿宋" w:cs="仿宋"/>
          <w:sz w:val="28"/>
          <w:szCs w:val="28"/>
        </w:rPr>
        <w:t>四、竞买人条件：凡具备完全民事行为能力的公民、法人和其他组织均可参加竞买，若不具有完全民事行为能力其代理人必须具备完全民事行为能力；法律、行政法规、司法解释对</w:t>
      </w:r>
      <w:r>
        <w:rPr>
          <w:rFonts w:hint="eastAsia" w:ascii="仿宋" w:hAnsi="仿宋" w:eastAsia="仿宋" w:cs="仿宋"/>
          <w:sz w:val="28"/>
          <w:szCs w:val="28"/>
          <w:lang w:eastAsia="zh-CN"/>
        </w:rPr>
        <w:t>竞买人</w:t>
      </w:r>
      <w:r>
        <w:rPr>
          <w:rFonts w:hint="eastAsia" w:ascii="仿宋" w:hAnsi="仿宋" w:eastAsia="仿宋" w:cs="仿宋"/>
          <w:sz w:val="28"/>
          <w:szCs w:val="28"/>
        </w:rPr>
        <w:t>资格或者条件有特殊规定的，竞买人应当具备规定的资格或者条件。因不符合条件参加竞买的，由竞买人自行承担相应的法律责任。</w:t>
      </w:r>
    </w:p>
    <w:p w14:paraId="7BD5676A">
      <w:pPr>
        <w:keepNext w:val="0"/>
        <w:keepLines w:val="0"/>
        <w:pageBreakBefore w:val="0"/>
        <w:widowControl w:val="0"/>
        <w:kinsoku/>
        <w:overflowPunct/>
        <w:topLinePunct w:val="0"/>
        <w:autoSpaceDE/>
        <w:autoSpaceDN/>
        <w:bidi w:val="0"/>
        <w:adjustRightInd/>
        <w:snapToGrid/>
        <w:spacing w:line="560" w:lineRule="exact"/>
        <w:ind w:firstLine="560" w:firstLineChars="200"/>
        <w:jc w:val="left"/>
        <w:textAlignment w:val="auto"/>
        <w:rPr>
          <w:rFonts w:ascii="仿宋" w:hAnsi="仿宋" w:eastAsia="仿宋" w:cs="仿宋"/>
          <w:sz w:val="28"/>
          <w:szCs w:val="28"/>
        </w:rPr>
      </w:pPr>
      <w:r>
        <w:rPr>
          <w:rFonts w:hint="eastAsia" w:ascii="仿宋" w:hAnsi="仿宋" w:eastAsia="仿宋" w:cs="仿宋"/>
          <w:sz w:val="28"/>
          <w:szCs w:val="28"/>
        </w:rPr>
        <w:t>根据最高人民法院《关于人民法院网络司法拍卖若干问题的规定》第三十四条之规定：实施网络司法拍卖的，下列机构和人员不得竞买并不得委托他人代为竞买与其相关的拍卖财产：1.负责执行的人民法院；2.网络服务提供者；3.承担拍卖辅助工作的社会机构或者组织；4.第1至3项规定主体的工作人员及近亲属。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w:t>
      </w:r>
    </w:p>
    <w:p w14:paraId="565DB99D">
      <w:pPr>
        <w:keepNext w:val="0"/>
        <w:keepLines w:val="0"/>
        <w:pageBreakBefore w:val="0"/>
        <w:widowControl w:val="0"/>
        <w:kinsoku/>
        <w:overflowPunct/>
        <w:topLinePunct w:val="0"/>
        <w:autoSpaceDE/>
        <w:autoSpaceDN/>
        <w:bidi w:val="0"/>
        <w:adjustRightInd/>
        <w:snapToGrid/>
        <w:spacing w:line="560" w:lineRule="exact"/>
        <w:ind w:firstLine="560" w:firstLineChars="200"/>
        <w:jc w:val="left"/>
        <w:textAlignment w:val="auto"/>
        <w:rPr>
          <w:rFonts w:ascii="仿宋" w:hAnsi="仿宋" w:eastAsia="仿宋" w:cs="仿宋"/>
          <w:sz w:val="28"/>
          <w:szCs w:val="28"/>
        </w:rPr>
      </w:pPr>
      <w:r>
        <w:rPr>
          <w:rFonts w:hint="eastAsia" w:ascii="仿宋" w:hAnsi="仿宋" w:eastAsia="仿宋" w:cs="仿宋"/>
          <w:sz w:val="28"/>
          <w:szCs w:val="28"/>
        </w:rPr>
        <w:t>因不符合条件参加竞买的，由竞买人自行承担相应的法律责任。</w:t>
      </w:r>
    </w:p>
    <w:p w14:paraId="07F73A42">
      <w:pPr>
        <w:keepNext w:val="0"/>
        <w:keepLines w:val="0"/>
        <w:pageBreakBefore w:val="0"/>
        <w:widowControl w:val="0"/>
        <w:kinsoku/>
        <w:overflowPunct/>
        <w:topLinePunct w:val="0"/>
        <w:autoSpaceDE/>
        <w:autoSpaceDN/>
        <w:bidi w:val="0"/>
        <w:adjustRightInd/>
        <w:snapToGrid/>
        <w:spacing w:line="560" w:lineRule="exact"/>
        <w:ind w:firstLine="560" w:firstLineChars="200"/>
        <w:jc w:val="left"/>
        <w:textAlignment w:val="auto"/>
        <w:rPr>
          <w:rFonts w:ascii="仿宋" w:hAnsi="仿宋" w:eastAsia="仿宋" w:cs="仿宋"/>
          <w:sz w:val="28"/>
          <w:szCs w:val="28"/>
        </w:rPr>
      </w:pPr>
      <w:r>
        <w:rPr>
          <w:rFonts w:hint="eastAsia" w:ascii="仿宋" w:hAnsi="仿宋" w:eastAsia="仿宋" w:cs="仿宋"/>
          <w:sz w:val="28"/>
          <w:szCs w:val="28"/>
        </w:rPr>
        <w:t>五、优先购买权人参加竞买的应于拍卖</w:t>
      </w:r>
      <w:r>
        <w:rPr>
          <w:rFonts w:hint="eastAsia" w:ascii="仿宋" w:hAnsi="仿宋" w:eastAsia="仿宋" w:cs="仿宋"/>
          <w:sz w:val="28"/>
          <w:szCs w:val="28"/>
          <w:lang w:val="en-US" w:eastAsia="zh-CN"/>
        </w:rPr>
        <w:t>活动开始前3</w:t>
      </w:r>
      <w:r>
        <w:rPr>
          <w:rFonts w:hint="eastAsia" w:ascii="仿宋" w:hAnsi="仿宋" w:eastAsia="仿宋" w:cs="仿宋"/>
          <w:sz w:val="28"/>
          <w:szCs w:val="28"/>
        </w:rPr>
        <w:t>日向管理人提交合法有效的证明，资格经管理人确认并添加至破产强清平台后台系统后才能参与竞买，逾期不提交的，视为放弃对本标的物享有优先购买权。</w:t>
      </w:r>
    </w:p>
    <w:p w14:paraId="1405D16D">
      <w:pPr>
        <w:keepNext w:val="0"/>
        <w:keepLines w:val="0"/>
        <w:pageBreakBefore w:val="0"/>
        <w:widowControl w:val="0"/>
        <w:kinsoku/>
        <w:overflowPunct/>
        <w:topLinePunct w:val="0"/>
        <w:autoSpaceDE/>
        <w:autoSpaceDN/>
        <w:bidi w:val="0"/>
        <w:adjustRightInd/>
        <w:snapToGrid/>
        <w:spacing w:line="560" w:lineRule="exact"/>
        <w:ind w:firstLine="560" w:firstLineChars="200"/>
        <w:jc w:val="left"/>
        <w:textAlignment w:val="auto"/>
        <w:rPr>
          <w:rFonts w:ascii="仿宋" w:hAnsi="仿宋" w:eastAsia="仿宋" w:cs="仿宋"/>
          <w:sz w:val="28"/>
          <w:szCs w:val="28"/>
        </w:rPr>
      </w:pPr>
      <w:r>
        <w:rPr>
          <w:rFonts w:hint="eastAsia" w:ascii="仿宋" w:hAnsi="仿宋" w:eastAsia="仿宋" w:cs="仿宋"/>
          <w:sz w:val="28"/>
          <w:szCs w:val="28"/>
        </w:rPr>
        <w:t>六、与本标的物有利害关系的当事人可参加竞拍，不参加竞拍的请关注本次拍卖活动的整个过程。</w:t>
      </w:r>
    </w:p>
    <w:p w14:paraId="50CDACEE">
      <w:pPr>
        <w:keepNext w:val="0"/>
        <w:keepLines w:val="0"/>
        <w:pageBreakBefore w:val="0"/>
        <w:widowControl w:val="0"/>
        <w:kinsoku/>
        <w:overflowPunct/>
        <w:topLinePunct w:val="0"/>
        <w:autoSpaceDE/>
        <w:autoSpaceDN/>
        <w:bidi w:val="0"/>
        <w:adjustRightInd/>
        <w:snapToGrid/>
        <w:spacing w:line="560" w:lineRule="exact"/>
        <w:ind w:firstLine="560" w:firstLineChars="200"/>
        <w:jc w:val="left"/>
        <w:textAlignment w:val="auto"/>
        <w:rPr>
          <w:rFonts w:ascii="仿宋" w:hAnsi="仿宋" w:eastAsia="仿宋" w:cs="仿宋"/>
          <w:sz w:val="28"/>
          <w:szCs w:val="28"/>
        </w:rPr>
      </w:pPr>
      <w:r>
        <w:rPr>
          <w:rFonts w:hint="eastAsia" w:ascii="仿宋" w:hAnsi="仿宋" w:eastAsia="仿宋" w:cs="仿宋"/>
          <w:sz w:val="28"/>
          <w:szCs w:val="28"/>
        </w:rPr>
        <w:t>七、本次拍卖活动设置延时出价功能，在拍卖活动结束前，每最后5分钟如果有竞买人出价，就自动延迟5分钟。</w:t>
      </w:r>
    </w:p>
    <w:p w14:paraId="685730EA">
      <w:pPr>
        <w:keepNext w:val="0"/>
        <w:keepLines w:val="0"/>
        <w:pageBreakBefore w:val="0"/>
        <w:widowControl w:val="0"/>
        <w:kinsoku/>
        <w:overflowPunct/>
        <w:topLinePunct w:val="0"/>
        <w:autoSpaceDE/>
        <w:autoSpaceDN/>
        <w:bidi w:val="0"/>
        <w:adjustRightInd/>
        <w:snapToGrid/>
        <w:spacing w:line="560" w:lineRule="exact"/>
        <w:ind w:firstLine="560" w:firstLineChars="200"/>
        <w:jc w:val="left"/>
        <w:textAlignment w:val="auto"/>
        <w:rPr>
          <w:rFonts w:ascii="仿宋" w:hAnsi="仿宋" w:eastAsia="仿宋" w:cs="仿宋"/>
          <w:sz w:val="28"/>
          <w:szCs w:val="28"/>
        </w:rPr>
      </w:pPr>
      <w:r>
        <w:rPr>
          <w:rFonts w:hint="eastAsia" w:ascii="仿宋" w:hAnsi="仿宋" w:eastAsia="仿宋" w:cs="仿宋"/>
          <w:sz w:val="28"/>
          <w:szCs w:val="28"/>
        </w:rPr>
        <w:t>八、拍卖成交的，本标的物竞得者（又称“</w:t>
      </w:r>
      <w:r>
        <w:rPr>
          <w:rFonts w:hint="eastAsia" w:ascii="仿宋" w:hAnsi="仿宋" w:eastAsia="仿宋" w:cs="仿宋"/>
          <w:sz w:val="28"/>
          <w:szCs w:val="28"/>
          <w:lang w:eastAsia="zh-CN"/>
        </w:rPr>
        <w:t>竞买人</w:t>
      </w:r>
      <w:r>
        <w:rPr>
          <w:rFonts w:hint="eastAsia" w:ascii="仿宋" w:hAnsi="仿宋" w:eastAsia="仿宋" w:cs="仿宋"/>
          <w:sz w:val="28"/>
          <w:szCs w:val="28"/>
        </w:rPr>
        <w:t>”）冻结的保证金将自动转入管理人指定账户，其他竞买人的保证金在拍卖后即时解冻。拍卖未成交的（即流拍的），竞买人的保证金在拍卖活动结束后即时解冻，保证金冻结期间不计利息。</w:t>
      </w:r>
    </w:p>
    <w:p w14:paraId="1A41C712">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left"/>
        <w:textAlignment w:val="auto"/>
        <w:rPr>
          <w:rFonts w:ascii="仿宋" w:hAnsi="仿宋" w:eastAsia="仿宋" w:cs="仿宋"/>
          <w:sz w:val="28"/>
          <w:szCs w:val="28"/>
        </w:rPr>
      </w:pPr>
      <w:r>
        <w:rPr>
          <w:rFonts w:hint="eastAsia" w:ascii="仿宋" w:hAnsi="仿宋" w:eastAsia="仿宋" w:cs="仿宋"/>
          <w:sz w:val="28"/>
          <w:szCs w:val="28"/>
        </w:rPr>
        <w:t>破产企业资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rPr>
          <w:rFonts w:hint="eastAsia" w:ascii="仿宋" w:hAnsi="仿宋" w:eastAsia="仿宋" w:cs="仿宋"/>
          <w:sz w:val="28"/>
          <w:szCs w:val="28"/>
          <w:lang w:eastAsia="zh-CN"/>
        </w:rPr>
        <w:t>：</w:t>
      </w:r>
      <w:r>
        <w:rPr>
          <w:sz w:val="28"/>
          <w:szCs w:val="28"/>
        </w:rPr>
        <w:fldChar w:fldCharType="begin"/>
      </w:r>
      <w:r>
        <w:rPr>
          <w:sz w:val="28"/>
          <w:szCs w:val="28"/>
        </w:rPr>
        <w:instrText xml:space="preserve"> HYPERLINK "https://susong-item.taobao.com/auction/672245033902.htm?spm=a219w.7474998.paiList.2.13834d827pbYRP" </w:instrText>
      </w:r>
      <w:r>
        <w:rPr>
          <w:sz w:val="28"/>
          <w:szCs w:val="28"/>
        </w:rPr>
        <w:fldChar w:fldCharType="separate"/>
      </w:r>
      <w:r>
        <w:rPr>
          <w:rFonts w:hint="eastAsia" w:ascii="仿宋" w:hAnsi="仿宋" w:eastAsia="仿宋" w:cs="仿宋"/>
          <w:sz w:val="28"/>
          <w:szCs w:val="28"/>
        </w:rPr>
        <w:t>https://www.taobao.com/market/paimai/sf-helpcenter.php?path=sf-hc-right-content5#q1</w:t>
      </w:r>
      <w:r>
        <w:rPr>
          <w:rFonts w:hint="eastAsia" w:ascii="仿宋" w:hAnsi="仿宋" w:eastAsia="仿宋" w:cs="仿宋"/>
          <w:sz w:val="28"/>
          <w:szCs w:val="28"/>
        </w:rPr>
        <w:fldChar w:fldCharType="end"/>
      </w:r>
      <w:r>
        <w:rPr>
          <w:rFonts w:hint="eastAsia" w:ascii="仿宋" w:hAnsi="仿宋" w:eastAsia="仿宋" w:cs="仿宋"/>
          <w:sz w:val="28"/>
          <w:szCs w:val="28"/>
        </w:rPr>
        <w:t>。</w:t>
      </w:r>
    </w:p>
    <w:p w14:paraId="1CA32180">
      <w:pPr>
        <w:keepNext w:val="0"/>
        <w:keepLines w:val="0"/>
        <w:pageBreakBefore w:val="0"/>
        <w:widowControl w:val="0"/>
        <w:kinsoku/>
        <w:overflowPunct/>
        <w:topLinePunct w:val="0"/>
        <w:autoSpaceDE/>
        <w:autoSpaceDN/>
        <w:bidi w:val="0"/>
        <w:adjustRightInd/>
        <w:snapToGrid/>
        <w:spacing w:line="560" w:lineRule="exact"/>
        <w:ind w:firstLine="560" w:firstLineChars="200"/>
        <w:jc w:val="left"/>
        <w:textAlignment w:val="auto"/>
        <w:rPr>
          <w:rFonts w:ascii="仿宋" w:hAnsi="仿宋" w:eastAsia="仿宋" w:cs="仿宋"/>
          <w:sz w:val="28"/>
          <w:szCs w:val="28"/>
        </w:rPr>
      </w:pPr>
      <w:r>
        <w:rPr>
          <w:rFonts w:hint="eastAsia" w:ascii="仿宋" w:hAnsi="仿宋" w:eastAsia="仿宋" w:cs="仿宋"/>
          <w:sz w:val="28"/>
          <w:szCs w:val="28"/>
        </w:rPr>
        <w:t>九、</w:t>
      </w:r>
      <w:r>
        <w:rPr>
          <w:rFonts w:hint="eastAsia" w:ascii="仿宋" w:hAnsi="仿宋" w:eastAsia="仿宋" w:cs="仿宋"/>
          <w:sz w:val="28"/>
          <w:szCs w:val="28"/>
          <w:lang w:eastAsia="zh-CN"/>
        </w:rPr>
        <w:t>竞买人</w:t>
      </w:r>
      <w:r>
        <w:rPr>
          <w:rFonts w:hint="eastAsia" w:ascii="仿宋" w:hAnsi="仿宋" w:eastAsia="仿宋" w:cs="仿宋"/>
          <w:sz w:val="28"/>
          <w:szCs w:val="28"/>
        </w:rPr>
        <w:t>应于付清全部拍卖成交款后</w:t>
      </w:r>
      <w:r>
        <w:rPr>
          <w:rFonts w:hint="eastAsia" w:ascii="仿宋" w:hAnsi="仿宋" w:eastAsia="仿宋" w:cs="仿宋"/>
          <w:color w:val="000000" w:themeColor="text1"/>
          <w:sz w:val="28"/>
          <w:szCs w:val="28"/>
          <w:u w:val="single"/>
          <w14:textFill>
            <w14:solidFill>
              <w14:schemeClr w14:val="tx1"/>
            </w14:solidFill>
          </w14:textFill>
        </w:rPr>
        <w:t>3日内</w:t>
      </w:r>
      <w:r>
        <w:rPr>
          <w:rFonts w:hint="eastAsia" w:ascii="仿宋" w:hAnsi="仿宋" w:eastAsia="仿宋" w:cs="仿宋"/>
          <w:sz w:val="28"/>
          <w:szCs w:val="28"/>
          <w:u w:val="single"/>
        </w:rPr>
        <w:t>凭付款凭证及相关身份材料到破产管理人处</w:t>
      </w:r>
      <w:r>
        <w:rPr>
          <w:rFonts w:hint="eastAsia" w:ascii="仿宋" w:hAnsi="仿宋" w:eastAsia="仿宋" w:cs="仿宋"/>
          <w:sz w:val="28"/>
          <w:szCs w:val="28"/>
        </w:rPr>
        <w:t>（地址：</w:t>
      </w:r>
      <w:r>
        <w:rPr>
          <w:rFonts w:hint="eastAsia" w:ascii="仿宋" w:hAnsi="仿宋" w:eastAsia="仿宋" w:cs="仿宋"/>
          <w:sz w:val="28"/>
          <w:szCs w:val="28"/>
          <w:u w:val="single"/>
        </w:rPr>
        <w:t>江西省萍乡市安源区金融港二号楼17F北京雍文（萍乡）律师事务所</w:t>
      </w:r>
      <w:r>
        <w:rPr>
          <w:rFonts w:hint="eastAsia" w:ascii="仿宋" w:hAnsi="仿宋" w:eastAsia="仿宋" w:cs="仿宋"/>
          <w:color w:val="000000" w:themeColor="text1"/>
          <w:sz w:val="28"/>
          <w:szCs w:val="28"/>
          <w:u w:val="single"/>
          <w14:textFill>
            <w14:solidFill>
              <w14:schemeClr w14:val="tx1"/>
            </w14:solidFill>
          </w14:textFill>
        </w:rPr>
        <w:t>）</w:t>
      </w:r>
      <w:r>
        <w:rPr>
          <w:rFonts w:hint="eastAsia" w:ascii="仿宋" w:hAnsi="仿宋" w:eastAsia="仿宋" w:cs="仿宋"/>
          <w:sz w:val="28"/>
          <w:szCs w:val="28"/>
        </w:rPr>
        <w:t>签署拍卖成交确认文件</w:t>
      </w:r>
      <w:r>
        <w:rPr>
          <w:rFonts w:hint="eastAsia" w:ascii="仿宋" w:hAnsi="仿宋" w:eastAsia="仿宋" w:cs="仿宋"/>
          <w:sz w:val="28"/>
          <w:szCs w:val="28"/>
          <w:lang w:eastAsia="zh-CN"/>
        </w:rPr>
        <w:t>，</w:t>
      </w:r>
      <w:r>
        <w:rPr>
          <w:rFonts w:hint="eastAsia" w:ascii="仿宋" w:hAnsi="仿宋" w:eastAsia="仿宋" w:cs="仿宋"/>
          <w:sz w:val="28"/>
          <w:szCs w:val="28"/>
          <w:u w:val="single"/>
        </w:rPr>
        <w:t>并</w:t>
      </w:r>
      <w:r>
        <w:rPr>
          <w:rFonts w:hint="eastAsia" w:ascii="仿宋" w:hAnsi="仿宋" w:eastAsia="仿宋" w:cs="仿宋"/>
          <w:sz w:val="28"/>
          <w:szCs w:val="28"/>
          <w:u w:val="single"/>
          <w:lang w:val="en-US" w:eastAsia="zh-CN"/>
        </w:rPr>
        <w:t>应</w:t>
      </w:r>
      <w:r>
        <w:rPr>
          <w:rFonts w:hint="eastAsia" w:ascii="仿宋" w:hAnsi="仿宋" w:eastAsia="仿宋" w:cs="仿宋"/>
          <w:sz w:val="28"/>
          <w:szCs w:val="28"/>
          <w:u w:val="single"/>
        </w:rPr>
        <w:t>在签署拍卖成交确认文件后</w:t>
      </w:r>
      <w:r>
        <w:rPr>
          <w:rFonts w:hint="eastAsia" w:ascii="仿宋" w:hAnsi="仿宋" w:eastAsia="仿宋" w:cs="仿宋"/>
          <w:sz w:val="28"/>
          <w:szCs w:val="28"/>
          <w:u w:val="single"/>
          <w:lang w:val="en-US" w:eastAsia="zh-CN"/>
        </w:rPr>
        <w:t>3</w:t>
      </w:r>
      <w:r>
        <w:rPr>
          <w:rFonts w:hint="eastAsia" w:ascii="仿宋" w:hAnsi="仿宋" w:eastAsia="仿宋" w:cs="仿宋"/>
          <w:color w:val="000000" w:themeColor="text1"/>
          <w:sz w:val="28"/>
          <w:szCs w:val="28"/>
          <w:u w:val="single"/>
          <w14:textFill>
            <w14:solidFill>
              <w14:schemeClr w14:val="tx1"/>
            </w14:solidFill>
          </w14:textFill>
        </w:rPr>
        <w:t>日</w:t>
      </w:r>
      <w:r>
        <w:rPr>
          <w:rFonts w:hint="eastAsia" w:ascii="仿宋" w:hAnsi="仿宋" w:eastAsia="仿宋" w:cs="仿宋"/>
          <w:sz w:val="28"/>
          <w:szCs w:val="28"/>
          <w:u w:val="single"/>
        </w:rPr>
        <w:t>内</w:t>
      </w:r>
      <w:r>
        <w:rPr>
          <w:rFonts w:hint="eastAsia" w:ascii="仿宋" w:hAnsi="仿宋" w:eastAsia="仿宋" w:cs="仿宋"/>
          <w:sz w:val="28"/>
          <w:szCs w:val="28"/>
          <w:u w:val="single"/>
          <w:lang w:val="en-US" w:eastAsia="zh-CN"/>
        </w:rPr>
        <w:t>与管理人</w:t>
      </w:r>
      <w:r>
        <w:rPr>
          <w:rFonts w:hint="eastAsia" w:ascii="仿宋" w:hAnsi="仿宋" w:eastAsia="仿宋" w:cs="仿宋"/>
          <w:sz w:val="28"/>
          <w:szCs w:val="28"/>
          <w:u w:val="single"/>
        </w:rPr>
        <w:t>办理</w:t>
      </w:r>
      <w:r>
        <w:rPr>
          <w:rFonts w:hint="eastAsia" w:ascii="仿宋" w:hAnsi="仿宋" w:eastAsia="仿宋" w:cs="仿宋"/>
          <w:sz w:val="28"/>
          <w:szCs w:val="28"/>
          <w:u w:val="single"/>
          <w:lang w:val="en-US" w:eastAsia="zh-CN"/>
        </w:rPr>
        <w:t>完毕</w:t>
      </w:r>
      <w:r>
        <w:rPr>
          <w:rFonts w:hint="eastAsia" w:ascii="仿宋" w:hAnsi="仿宋" w:eastAsia="仿宋" w:cs="仿宋"/>
          <w:sz w:val="28"/>
          <w:szCs w:val="28"/>
          <w:u w:val="single"/>
        </w:rPr>
        <w:t>交割手续。</w:t>
      </w:r>
      <w:r>
        <w:rPr>
          <w:rFonts w:hint="eastAsia" w:ascii="仿宋" w:hAnsi="仿宋" w:eastAsia="仿宋" w:cs="仿宋"/>
          <w:sz w:val="28"/>
          <w:szCs w:val="28"/>
        </w:rPr>
        <w:t>请</w:t>
      </w:r>
      <w:r>
        <w:rPr>
          <w:rFonts w:hint="eastAsia" w:ascii="仿宋" w:hAnsi="仿宋" w:eastAsia="仿宋" w:cs="仿宋"/>
          <w:sz w:val="28"/>
          <w:szCs w:val="28"/>
          <w:lang w:eastAsia="zh-CN"/>
        </w:rPr>
        <w:t>竞买人</w:t>
      </w:r>
      <w:r>
        <w:rPr>
          <w:rFonts w:hint="eastAsia" w:ascii="仿宋" w:hAnsi="仿宋" w:eastAsia="仿宋" w:cs="仿宋"/>
          <w:sz w:val="28"/>
          <w:szCs w:val="28"/>
        </w:rPr>
        <w:t>于付清全部拍卖成交款后三日内主动与管理人取得联系以确认相关事项。</w:t>
      </w:r>
    </w:p>
    <w:p w14:paraId="2EEF7F98">
      <w:pPr>
        <w:keepNext w:val="0"/>
        <w:keepLines w:val="0"/>
        <w:pageBreakBefore w:val="0"/>
        <w:widowControl w:val="0"/>
        <w:kinsoku/>
        <w:overflowPunct/>
        <w:topLinePunct w:val="0"/>
        <w:autoSpaceDE/>
        <w:autoSpaceDN/>
        <w:bidi w:val="0"/>
        <w:adjustRightInd/>
        <w:snapToGrid/>
        <w:spacing w:line="560" w:lineRule="exact"/>
        <w:ind w:firstLine="560" w:firstLineChars="200"/>
        <w:jc w:val="left"/>
        <w:textAlignment w:val="auto"/>
        <w:rPr>
          <w:rFonts w:ascii="仿宋" w:hAnsi="仿宋" w:eastAsia="仿宋" w:cs="仿宋"/>
          <w:sz w:val="28"/>
          <w:szCs w:val="28"/>
        </w:rPr>
      </w:pPr>
      <w:r>
        <w:rPr>
          <w:rFonts w:hint="eastAsia" w:ascii="仿宋" w:hAnsi="仿宋" w:eastAsia="仿宋" w:cs="仿宋"/>
          <w:sz w:val="28"/>
          <w:szCs w:val="28"/>
        </w:rPr>
        <w:t>十、</w:t>
      </w:r>
      <w:r>
        <w:rPr>
          <w:rFonts w:hint="eastAsia" w:ascii="仿宋" w:hAnsi="仿宋" w:eastAsia="仿宋" w:cs="仿宋"/>
          <w:sz w:val="28"/>
          <w:szCs w:val="28"/>
          <w:lang w:eastAsia="zh-CN"/>
        </w:rPr>
        <w:t>竞买人</w:t>
      </w:r>
      <w:r>
        <w:rPr>
          <w:rFonts w:hint="eastAsia" w:ascii="仿宋" w:hAnsi="仿宋" w:eastAsia="仿宋" w:cs="仿宋"/>
          <w:sz w:val="28"/>
          <w:szCs w:val="28"/>
        </w:rPr>
        <w:t>在按要求缴纳全部拍卖款后应及时签署成交相关文件，并由管理人协助办理</w:t>
      </w:r>
      <w:r>
        <w:rPr>
          <w:rFonts w:hint="eastAsia" w:ascii="仿宋" w:hAnsi="仿宋" w:eastAsia="仿宋" w:cs="仿宋"/>
          <w:sz w:val="28"/>
          <w:szCs w:val="28"/>
          <w:lang w:val="en-US" w:eastAsia="zh-CN"/>
        </w:rPr>
        <w:t>交割手续或转让</w:t>
      </w:r>
      <w:r>
        <w:rPr>
          <w:rFonts w:hint="eastAsia" w:ascii="仿宋" w:hAnsi="仿宋" w:eastAsia="仿宋" w:cs="仿宋"/>
          <w:sz w:val="28"/>
          <w:szCs w:val="28"/>
        </w:rPr>
        <w:t>过户手续</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如需</w:t>
      </w:r>
      <w:r>
        <w:rPr>
          <w:rFonts w:hint="eastAsia" w:ascii="仿宋" w:hAnsi="仿宋" w:eastAsia="仿宋" w:cs="仿宋"/>
          <w:sz w:val="28"/>
          <w:szCs w:val="28"/>
          <w:lang w:eastAsia="zh-CN"/>
        </w:rPr>
        <w:t>）</w:t>
      </w:r>
      <w:r>
        <w:rPr>
          <w:rFonts w:hint="eastAsia" w:ascii="仿宋" w:hAnsi="仿宋" w:eastAsia="仿宋" w:cs="仿宋"/>
          <w:sz w:val="28"/>
          <w:szCs w:val="28"/>
        </w:rPr>
        <w:t>，逾期不办理的，将承担本标的物可能发生的损毁、灭失等后果。能否办理</w:t>
      </w:r>
      <w:r>
        <w:rPr>
          <w:rFonts w:hint="eastAsia" w:ascii="仿宋" w:hAnsi="仿宋" w:eastAsia="仿宋" w:cs="仿宋"/>
          <w:sz w:val="28"/>
          <w:szCs w:val="28"/>
          <w:lang w:val="en-US" w:eastAsia="zh-CN"/>
        </w:rPr>
        <w:t>转让</w:t>
      </w:r>
      <w:r>
        <w:rPr>
          <w:rFonts w:hint="eastAsia" w:ascii="仿宋" w:hAnsi="仿宋" w:eastAsia="仿宋" w:cs="仿宋"/>
          <w:sz w:val="28"/>
          <w:szCs w:val="28"/>
        </w:rPr>
        <w:t>过户手续及办理过户手续的时间请竞买人在竞买前自行到相关部门咨询确认，标的物现状及存在瑕疵等原因不能或者延迟办理过户手续造成的费用增加的后果自负，管理人不作过户的任何承诺，交易过程中产生的相关税费和所需补交的相关税费</w:t>
      </w:r>
      <w:r>
        <w:rPr>
          <w:rFonts w:hint="eastAsia" w:ascii="仿宋" w:hAnsi="仿宋" w:eastAsia="仿宋" w:cs="仿宋"/>
          <w:sz w:val="28"/>
          <w:szCs w:val="28"/>
          <w:lang w:val="en-US" w:eastAsia="zh-CN"/>
        </w:rPr>
        <w:t>均由竞买人承担</w:t>
      </w:r>
      <w:r>
        <w:rPr>
          <w:rFonts w:hint="eastAsia" w:ascii="仿宋" w:hAnsi="仿宋" w:eastAsia="仿宋" w:cs="仿宋"/>
          <w:sz w:val="28"/>
          <w:szCs w:val="28"/>
        </w:rPr>
        <w:t>，竞买人参拍前请自行向所涉税务部门确认成交后应缴纳的税费</w:t>
      </w:r>
      <w:r>
        <w:rPr>
          <w:rFonts w:hint="eastAsia" w:ascii="仿宋" w:hAnsi="仿宋" w:eastAsia="仿宋" w:cs="仿宋"/>
          <w:sz w:val="28"/>
          <w:szCs w:val="28"/>
          <w:lang w:val="en-US" w:eastAsia="zh-CN"/>
        </w:rPr>
        <w:t>标准</w:t>
      </w:r>
      <w:r>
        <w:rPr>
          <w:rFonts w:hint="eastAsia" w:ascii="仿宋" w:hAnsi="仿宋" w:eastAsia="仿宋" w:cs="仿宋"/>
          <w:sz w:val="28"/>
          <w:szCs w:val="28"/>
        </w:rPr>
        <w:t>。</w:t>
      </w:r>
    </w:p>
    <w:p w14:paraId="6251720F">
      <w:pPr>
        <w:keepNext w:val="0"/>
        <w:keepLines w:val="0"/>
        <w:pageBreakBefore w:val="0"/>
        <w:widowControl w:val="0"/>
        <w:kinsoku/>
        <w:overflowPunct/>
        <w:topLinePunct w:val="0"/>
        <w:autoSpaceDE/>
        <w:autoSpaceDN/>
        <w:bidi w:val="0"/>
        <w:adjustRightInd/>
        <w:snapToGrid/>
        <w:spacing w:line="560" w:lineRule="exact"/>
        <w:ind w:firstLine="560" w:firstLineChars="200"/>
        <w:jc w:val="left"/>
        <w:textAlignment w:val="auto"/>
        <w:rPr>
          <w:rFonts w:ascii="仿宋" w:hAnsi="仿宋" w:eastAsia="仿宋" w:cs="仿宋"/>
          <w:sz w:val="28"/>
          <w:szCs w:val="28"/>
        </w:rPr>
      </w:pPr>
      <w:r>
        <w:rPr>
          <w:rFonts w:hint="eastAsia" w:ascii="仿宋" w:hAnsi="仿宋" w:eastAsia="仿宋" w:cs="仿宋"/>
          <w:sz w:val="28"/>
          <w:szCs w:val="28"/>
        </w:rPr>
        <w:t>十一、本次拍卖活动计价货币为人民币，拍卖时的起拍价、成交价均不含</w:t>
      </w:r>
      <w:r>
        <w:rPr>
          <w:rFonts w:hint="eastAsia" w:ascii="仿宋" w:hAnsi="仿宋" w:eastAsia="仿宋" w:cs="仿宋"/>
          <w:sz w:val="28"/>
          <w:szCs w:val="28"/>
          <w:lang w:eastAsia="zh-CN"/>
        </w:rPr>
        <w:t>竞买人</w:t>
      </w:r>
      <w:r>
        <w:rPr>
          <w:rFonts w:hint="eastAsia" w:ascii="仿宋" w:hAnsi="仿宋" w:eastAsia="仿宋" w:cs="仿宋"/>
          <w:sz w:val="28"/>
          <w:szCs w:val="28"/>
        </w:rPr>
        <w:t>在拍卖标的物交付、过户时所发生的费用和税费。</w:t>
      </w:r>
      <w:r>
        <w:rPr>
          <w:rFonts w:hint="eastAsia" w:ascii="仿宋" w:hAnsi="仿宋" w:eastAsia="仿宋" w:cs="仿宋"/>
          <w:b/>
          <w:bCs/>
          <w:sz w:val="28"/>
          <w:szCs w:val="28"/>
          <w:u w:val="single"/>
        </w:rPr>
        <w:t>管理人不提供发票</w:t>
      </w:r>
      <w:r>
        <w:rPr>
          <w:rFonts w:hint="eastAsia" w:ascii="仿宋" w:hAnsi="仿宋" w:eastAsia="仿宋" w:cs="仿宋"/>
          <w:b/>
          <w:bCs/>
          <w:sz w:val="28"/>
          <w:szCs w:val="28"/>
          <w:u w:val="single"/>
          <w:lang w:eastAsia="zh-CN"/>
        </w:rPr>
        <w:t>。</w:t>
      </w:r>
    </w:p>
    <w:p w14:paraId="39C0911C">
      <w:pPr>
        <w:keepNext w:val="0"/>
        <w:keepLines w:val="0"/>
        <w:pageBreakBefore w:val="0"/>
        <w:widowControl w:val="0"/>
        <w:kinsoku/>
        <w:overflowPunct/>
        <w:topLinePunct w:val="0"/>
        <w:autoSpaceDE/>
        <w:autoSpaceDN/>
        <w:bidi w:val="0"/>
        <w:adjustRightInd/>
        <w:snapToGrid/>
        <w:spacing w:line="560" w:lineRule="exact"/>
        <w:ind w:firstLine="560" w:firstLineChars="200"/>
        <w:jc w:val="left"/>
        <w:textAlignment w:val="auto"/>
        <w:rPr>
          <w:rFonts w:ascii="仿宋" w:hAnsi="仿宋" w:eastAsia="仿宋" w:cs="仿宋"/>
          <w:sz w:val="28"/>
          <w:szCs w:val="28"/>
        </w:rPr>
      </w:pPr>
      <w:r>
        <w:rPr>
          <w:rFonts w:hint="eastAsia" w:ascii="仿宋" w:hAnsi="仿宋" w:eastAsia="仿宋" w:cs="仿宋"/>
          <w:sz w:val="28"/>
          <w:szCs w:val="28"/>
        </w:rPr>
        <w:t>十二、参加竞买的人应当遵守拍卖须知的规定，不得阻挠其他竞买人竞拍，不得操纵、垄断竞拍价格，严禁竞买人恶意串标，上述行为一经发现，将取消其竞买资格，并追究相关的法律责任。</w:t>
      </w:r>
    </w:p>
    <w:p w14:paraId="78B1A17F">
      <w:pPr>
        <w:keepNext w:val="0"/>
        <w:keepLines w:val="0"/>
        <w:pageBreakBefore w:val="0"/>
        <w:widowControl w:val="0"/>
        <w:kinsoku/>
        <w:overflowPunct/>
        <w:topLinePunct w:val="0"/>
        <w:autoSpaceDE/>
        <w:autoSpaceDN/>
        <w:bidi w:val="0"/>
        <w:adjustRightInd/>
        <w:snapToGrid/>
        <w:spacing w:line="560" w:lineRule="exact"/>
        <w:ind w:firstLine="560" w:firstLineChars="200"/>
        <w:jc w:val="left"/>
        <w:textAlignment w:val="auto"/>
        <w:rPr>
          <w:rFonts w:ascii="仿宋" w:hAnsi="仿宋" w:eastAsia="仿宋" w:cs="仿宋"/>
          <w:sz w:val="28"/>
          <w:szCs w:val="28"/>
        </w:rPr>
      </w:pPr>
      <w:r>
        <w:rPr>
          <w:rFonts w:hint="eastAsia" w:ascii="仿宋" w:hAnsi="仿宋" w:eastAsia="仿宋" w:cs="仿宋"/>
          <w:sz w:val="28"/>
          <w:szCs w:val="28"/>
        </w:rPr>
        <w:t>十三、管理人根据法律规定有权在拍卖开始前中止拍卖或撤回拍卖。</w:t>
      </w:r>
    </w:p>
    <w:p w14:paraId="17431EE0">
      <w:pPr>
        <w:keepNext w:val="0"/>
        <w:keepLines w:val="0"/>
        <w:pageBreakBefore w:val="0"/>
        <w:widowControl w:val="0"/>
        <w:kinsoku/>
        <w:overflowPunct/>
        <w:topLinePunct w:val="0"/>
        <w:autoSpaceDE/>
        <w:autoSpaceDN/>
        <w:bidi w:val="0"/>
        <w:adjustRightInd/>
        <w:snapToGrid/>
        <w:spacing w:line="560" w:lineRule="exact"/>
        <w:ind w:firstLine="560" w:firstLineChars="200"/>
        <w:jc w:val="left"/>
        <w:textAlignment w:val="auto"/>
        <w:rPr>
          <w:rFonts w:ascii="仿宋" w:hAnsi="仿宋" w:eastAsia="仿宋" w:cs="仿宋"/>
          <w:sz w:val="28"/>
          <w:szCs w:val="28"/>
        </w:rPr>
      </w:pPr>
      <w:r>
        <w:rPr>
          <w:rFonts w:hint="eastAsia" w:ascii="仿宋" w:hAnsi="仿宋" w:eastAsia="仿宋" w:cs="仿宋"/>
          <w:sz w:val="28"/>
          <w:szCs w:val="28"/>
        </w:rPr>
        <w:t>十四、为便于</w:t>
      </w:r>
      <w:r>
        <w:rPr>
          <w:rFonts w:hint="eastAsia" w:ascii="仿宋" w:hAnsi="仿宋" w:eastAsia="仿宋" w:cs="仿宋"/>
          <w:sz w:val="28"/>
          <w:szCs w:val="28"/>
          <w:lang w:eastAsia="zh-CN"/>
        </w:rPr>
        <w:t>竞买人</w:t>
      </w:r>
      <w:r>
        <w:rPr>
          <w:rFonts w:hint="eastAsia" w:ascii="仿宋" w:hAnsi="仿宋" w:eastAsia="仿宋" w:cs="仿宋"/>
          <w:sz w:val="28"/>
          <w:szCs w:val="28"/>
        </w:rPr>
        <w:t>及时收到拍卖相关的文书，竞买人</w:t>
      </w:r>
      <w:r>
        <w:rPr>
          <w:rFonts w:hint="eastAsia" w:ascii="仿宋" w:hAnsi="仿宋" w:eastAsia="仿宋" w:cs="仿宋"/>
          <w:sz w:val="28"/>
          <w:szCs w:val="28"/>
          <w:lang w:val="en-US" w:eastAsia="zh-CN"/>
        </w:rPr>
        <w:t>应</w:t>
      </w:r>
      <w:r>
        <w:rPr>
          <w:rFonts w:hint="eastAsia" w:ascii="仿宋" w:hAnsi="仿宋" w:eastAsia="仿宋" w:cs="仿宋"/>
          <w:sz w:val="28"/>
          <w:szCs w:val="28"/>
        </w:rPr>
        <w:t>在拍卖竞价前如实向淘宝网司法拍卖网络平台提供确切的送达地址或者主动与管理人联系。如需更改地址，</w:t>
      </w:r>
      <w:r>
        <w:rPr>
          <w:rFonts w:hint="eastAsia" w:ascii="仿宋" w:hAnsi="仿宋" w:eastAsia="仿宋" w:cs="仿宋"/>
          <w:sz w:val="28"/>
          <w:szCs w:val="28"/>
          <w:lang w:eastAsia="zh-CN"/>
        </w:rPr>
        <w:t>竞买人</w:t>
      </w:r>
      <w:r>
        <w:rPr>
          <w:rFonts w:hint="eastAsia" w:ascii="仿宋" w:hAnsi="仿宋" w:eastAsia="仿宋" w:cs="仿宋"/>
          <w:sz w:val="28"/>
          <w:szCs w:val="28"/>
        </w:rPr>
        <w:t>应及时与管理人联系确认更改。因提供的送达地址不确切，或未及时告知变更地址，导致有关法律文书无法送达的，由竞买人自行承担由此可能产生的法律后果。</w:t>
      </w:r>
    </w:p>
    <w:p w14:paraId="1916FDF7">
      <w:pPr>
        <w:keepNext w:val="0"/>
        <w:keepLines w:val="0"/>
        <w:pageBreakBefore w:val="0"/>
        <w:widowControl w:val="0"/>
        <w:kinsoku/>
        <w:overflowPunct/>
        <w:topLinePunct w:val="0"/>
        <w:autoSpaceDE/>
        <w:autoSpaceDN/>
        <w:bidi w:val="0"/>
        <w:adjustRightInd/>
        <w:snapToGrid/>
        <w:spacing w:line="560" w:lineRule="exact"/>
        <w:ind w:firstLine="560" w:firstLineChars="200"/>
        <w:jc w:val="left"/>
        <w:textAlignment w:val="auto"/>
        <w:rPr>
          <w:rFonts w:ascii="仿宋" w:hAnsi="仿宋" w:eastAsia="仿宋" w:cs="仿宋"/>
          <w:sz w:val="28"/>
          <w:szCs w:val="28"/>
        </w:rPr>
      </w:pPr>
      <w:r>
        <w:rPr>
          <w:rFonts w:hint="eastAsia" w:ascii="仿宋" w:hAnsi="仿宋" w:eastAsia="仿宋" w:cs="仿宋"/>
          <w:sz w:val="28"/>
          <w:szCs w:val="28"/>
        </w:rPr>
        <w:t>十五、</w:t>
      </w:r>
      <w:r>
        <w:rPr>
          <w:rFonts w:hint="eastAsia" w:ascii="仿宋" w:hAnsi="仿宋" w:eastAsia="仿宋" w:cs="仿宋"/>
          <w:sz w:val="28"/>
          <w:szCs w:val="28"/>
          <w:lang w:val="en-US" w:eastAsia="zh-CN"/>
        </w:rPr>
        <w:t>拍卖标的物的</w:t>
      </w:r>
      <w:r>
        <w:rPr>
          <w:rFonts w:hint="eastAsia" w:ascii="仿宋" w:hAnsi="仿宋" w:eastAsia="仿宋" w:cs="仿宋"/>
          <w:sz w:val="28"/>
          <w:szCs w:val="28"/>
        </w:rPr>
        <w:t>权利限制由竞买人自行调查。解除限制权利手续需要一定时间，拍卖标的物相关权证原件无法取得或存在担保物权的，办理标的物权属变更登记时需办理登报注销手续或注销他项权证，办理权属变更登记的时间会延长。</w:t>
      </w:r>
    </w:p>
    <w:p w14:paraId="7828D14C">
      <w:pPr>
        <w:keepNext w:val="0"/>
        <w:keepLines w:val="0"/>
        <w:pageBreakBefore w:val="0"/>
        <w:widowControl w:val="0"/>
        <w:kinsoku/>
        <w:overflowPunct/>
        <w:topLinePunct w:val="0"/>
        <w:autoSpaceDE/>
        <w:autoSpaceDN/>
        <w:bidi w:val="0"/>
        <w:adjustRightInd/>
        <w:snapToGrid/>
        <w:spacing w:line="560" w:lineRule="exact"/>
        <w:ind w:firstLine="560" w:firstLineChars="200"/>
        <w:jc w:val="left"/>
        <w:textAlignment w:val="auto"/>
        <w:rPr>
          <w:rFonts w:ascii="仿宋" w:hAnsi="仿宋" w:eastAsia="仿宋" w:cs="仿宋"/>
          <w:sz w:val="28"/>
          <w:szCs w:val="28"/>
        </w:rPr>
      </w:pPr>
      <w:r>
        <w:rPr>
          <w:rFonts w:hint="eastAsia" w:ascii="仿宋" w:hAnsi="仿宋" w:eastAsia="仿宋" w:cs="仿宋"/>
          <w:sz w:val="28"/>
          <w:szCs w:val="28"/>
        </w:rPr>
        <w:t>十六、凡发现拍卖中有违规行为，可如实举报。破产案件监督单位：</w:t>
      </w:r>
      <w:r>
        <w:rPr>
          <w:rFonts w:hint="eastAsia" w:ascii="仿宋" w:hAnsi="仿宋" w:eastAsia="仿宋" w:cs="仿宋"/>
          <w:sz w:val="28"/>
          <w:szCs w:val="28"/>
          <w:lang w:val="en-US" w:eastAsia="zh-CN"/>
        </w:rPr>
        <w:t>江西省上栗县</w:t>
      </w:r>
      <w:r>
        <w:rPr>
          <w:rFonts w:hint="eastAsia" w:ascii="仿宋" w:hAnsi="仿宋" w:eastAsia="仿宋" w:cs="仿宋"/>
          <w:sz w:val="28"/>
          <w:szCs w:val="28"/>
        </w:rPr>
        <w:t>人民法院。</w:t>
      </w:r>
    </w:p>
    <w:p w14:paraId="44B4979B">
      <w:pPr>
        <w:keepNext w:val="0"/>
        <w:keepLines w:val="0"/>
        <w:pageBreakBefore w:val="0"/>
        <w:widowControl w:val="0"/>
        <w:kinsoku/>
        <w:overflowPunct/>
        <w:topLinePunct w:val="0"/>
        <w:autoSpaceDE/>
        <w:autoSpaceDN/>
        <w:bidi w:val="0"/>
        <w:adjustRightInd/>
        <w:snapToGrid/>
        <w:spacing w:line="560" w:lineRule="exact"/>
        <w:ind w:firstLine="560" w:firstLineChars="200"/>
        <w:jc w:val="left"/>
        <w:textAlignment w:val="auto"/>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咨询</w:t>
      </w:r>
      <w:r>
        <w:rPr>
          <w:rFonts w:hint="eastAsia" w:ascii="仿宋" w:hAnsi="仿宋" w:eastAsia="仿宋" w:cs="仿宋"/>
          <w:color w:val="000000" w:themeColor="text1"/>
          <w:sz w:val="28"/>
          <w:szCs w:val="28"/>
          <w14:textFill>
            <w14:solidFill>
              <w14:schemeClr w14:val="tx1"/>
            </w14:solidFill>
          </w14:textFill>
        </w:rPr>
        <w:t>电话：</w:t>
      </w:r>
      <w:r>
        <w:rPr>
          <w:rFonts w:hint="eastAsia" w:ascii="仿宋" w:hAnsi="仿宋" w:eastAsia="仿宋" w:cs="仿宋"/>
          <w:color w:val="000000" w:themeColor="text1"/>
          <w:sz w:val="28"/>
          <w:szCs w:val="28"/>
          <w:lang w:val="en-US" w:eastAsia="zh-CN"/>
          <w14:textFill>
            <w14:solidFill>
              <w14:schemeClr w14:val="tx1"/>
            </w14:solidFill>
          </w14:textFill>
        </w:rPr>
        <w:t xml:space="preserve">钟律师 </w:t>
      </w:r>
      <w:r>
        <w:rPr>
          <w:rFonts w:hint="eastAsia" w:ascii="仿宋" w:hAnsi="仿宋" w:eastAsia="仿宋" w:cs="仿宋"/>
          <w:color w:val="000000" w:themeColor="text1"/>
          <w:sz w:val="28"/>
          <w:szCs w:val="28"/>
          <w:u w:val="single"/>
          <w:lang w:val="en-US" w:eastAsia="zh-CN"/>
          <w14:textFill>
            <w14:solidFill>
              <w14:schemeClr w14:val="tx1"/>
            </w14:solidFill>
          </w14:textFill>
        </w:rPr>
        <w:t>15083992004</w:t>
      </w:r>
    </w:p>
    <w:p w14:paraId="264AADA2">
      <w:pPr>
        <w:keepNext w:val="0"/>
        <w:keepLines w:val="0"/>
        <w:pageBreakBefore w:val="0"/>
        <w:widowControl w:val="0"/>
        <w:kinsoku/>
        <w:overflowPunct/>
        <w:topLinePunct w:val="0"/>
        <w:autoSpaceDE/>
        <w:autoSpaceDN/>
        <w:bidi w:val="0"/>
        <w:adjustRightInd/>
        <w:snapToGrid/>
        <w:spacing w:line="560" w:lineRule="exact"/>
        <w:ind w:firstLine="560" w:firstLineChars="200"/>
        <w:jc w:val="left"/>
        <w:textAlignment w:val="auto"/>
        <w:rPr>
          <w:rFonts w:ascii="仿宋" w:hAnsi="仿宋" w:eastAsia="仿宋" w:cs="仿宋"/>
          <w:sz w:val="28"/>
          <w:szCs w:val="28"/>
        </w:rPr>
      </w:pPr>
      <w:r>
        <w:rPr>
          <w:rFonts w:hint="eastAsia" w:ascii="仿宋" w:hAnsi="仿宋" w:eastAsia="仿宋" w:cs="仿宋"/>
          <w:color w:val="000000" w:themeColor="text1"/>
          <w:sz w:val="28"/>
          <w:szCs w:val="28"/>
          <w14:textFill>
            <w14:solidFill>
              <w14:schemeClr w14:val="tx1"/>
            </w14:solidFill>
          </w14:textFill>
        </w:rPr>
        <w:t>淘宝技术咨询：400-822-2870</w:t>
      </w:r>
    </w:p>
    <w:p w14:paraId="4FEA1FF0">
      <w:pPr>
        <w:keepNext w:val="0"/>
        <w:keepLines w:val="0"/>
        <w:pageBreakBefore w:val="0"/>
        <w:widowControl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sz w:val="28"/>
          <w:szCs w:val="28"/>
          <w:lang w:val="en-US" w:eastAsia="zh-CN"/>
        </w:rPr>
      </w:pPr>
    </w:p>
    <w:p w14:paraId="3E2E3654">
      <w:pPr>
        <w:keepNext w:val="0"/>
        <w:keepLines w:val="0"/>
        <w:pageBreakBefore w:val="0"/>
        <w:widowControl w:val="0"/>
        <w:kinsoku/>
        <w:overflowPunct/>
        <w:topLinePunct w:val="0"/>
        <w:autoSpaceDE/>
        <w:autoSpaceDN/>
        <w:bidi w:val="0"/>
        <w:adjustRightInd/>
        <w:snapToGrid/>
        <w:spacing w:line="560" w:lineRule="exact"/>
        <w:ind w:firstLine="560" w:firstLineChars="200"/>
        <w:jc w:val="right"/>
        <w:textAlignment w:val="auto"/>
        <w:rPr>
          <w:rFonts w:ascii="仿宋" w:hAnsi="仿宋" w:eastAsia="仿宋" w:cs="仿宋"/>
          <w:sz w:val="28"/>
          <w:szCs w:val="28"/>
        </w:rPr>
      </w:pPr>
      <w:r>
        <w:rPr>
          <w:rFonts w:hint="eastAsia" w:ascii="仿宋" w:hAnsi="仿宋" w:eastAsia="仿宋" w:cs="仿宋"/>
          <w:sz w:val="28"/>
          <w:szCs w:val="28"/>
          <w:lang w:val="en-US" w:eastAsia="zh-CN"/>
        </w:rPr>
        <w:t>江西远东机械科技有限公司</w:t>
      </w:r>
      <w:r>
        <w:rPr>
          <w:rFonts w:hint="eastAsia" w:ascii="仿宋" w:hAnsi="仿宋" w:eastAsia="仿宋" w:cs="仿宋"/>
          <w:sz w:val="28"/>
          <w:szCs w:val="28"/>
        </w:rPr>
        <w:t>管理人</w:t>
      </w:r>
    </w:p>
    <w:p w14:paraId="5E4BC5FE">
      <w:pPr>
        <w:keepNext w:val="0"/>
        <w:keepLines w:val="0"/>
        <w:pageBreakBefore w:val="0"/>
        <w:widowControl w:val="0"/>
        <w:kinsoku/>
        <w:overflowPunct/>
        <w:topLinePunct w:val="0"/>
        <w:autoSpaceDE/>
        <w:autoSpaceDN/>
        <w:bidi w:val="0"/>
        <w:adjustRightInd/>
        <w:snapToGrid/>
        <w:spacing w:line="560" w:lineRule="exact"/>
        <w:ind w:firstLine="560" w:firstLineChars="200"/>
        <w:jc w:val="right"/>
        <w:textAlignment w:val="auto"/>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江西远东新能源有限公司管理人</w:t>
      </w:r>
    </w:p>
    <w:p w14:paraId="368D4BAB">
      <w:pPr>
        <w:keepNext w:val="0"/>
        <w:keepLines w:val="0"/>
        <w:pageBreakBefore w:val="0"/>
        <w:widowControl w:val="0"/>
        <w:kinsoku/>
        <w:overflowPunct/>
        <w:topLinePunct w:val="0"/>
        <w:autoSpaceDE/>
        <w:autoSpaceDN/>
        <w:bidi w:val="0"/>
        <w:adjustRightInd/>
        <w:snapToGrid/>
        <w:spacing w:line="560" w:lineRule="exact"/>
        <w:jc w:val="center"/>
        <w:textAlignment w:val="auto"/>
        <w:rPr>
          <w:rFonts w:ascii="仿宋" w:hAnsi="仿宋" w:eastAsia="仿宋" w:cs="仿宋"/>
          <w:b/>
          <w:bCs/>
          <w:sz w:val="28"/>
          <w:szCs w:val="28"/>
        </w:rPr>
      </w:pPr>
      <w:r>
        <w:rPr>
          <w:rFonts w:hint="eastAsia" w:ascii="仿宋" w:hAnsi="仿宋" w:eastAsia="仿宋" w:cs="仿宋"/>
          <w:color w:val="000000" w:themeColor="text1"/>
          <w:sz w:val="28"/>
          <w:szCs w:val="28"/>
          <w:lang w:val="en-US" w:eastAsia="zh-CN"/>
          <w14:textFill>
            <w14:solidFill>
              <w14:schemeClr w14:val="tx1"/>
            </w14:solidFill>
          </w14:textFill>
        </w:rPr>
        <w:t xml:space="preserve">                                       2024年10月8日</w:t>
      </w:r>
    </w:p>
    <w:p w14:paraId="218B0834">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仿宋">
    <w:altName w:val="方正仿宋_GBK"/>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7D9AD8"/>
    <w:rsid w:val="15F778A3"/>
    <w:rsid w:val="5F0B2989"/>
    <w:rsid w:val="6F7D9AD8"/>
    <w:rsid w:val="7D7FD1AF"/>
    <w:rsid w:val="B7A7752C"/>
    <w:rsid w:val="F7DD91E1"/>
    <w:rsid w:val="F96FEA14"/>
    <w:rsid w:val="FF73FE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semiHidden/>
    <w:unhideWhenUsed/>
    <w:qFormat/>
    <w:uiPriority w:val="0"/>
    <w:pPr>
      <w:keepNext/>
      <w:keepLines/>
      <w:spacing w:line="372" w:lineRule="auto"/>
      <w:outlineLvl w:val="3"/>
    </w:pPr>
    <w:rPr>
      <w:rFonts w:ascii="Arial" w:hAnsi="Arial" w:eastAsia="黑体"/>
      <w:sz w:val="28"/>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Autospacing="1" w:afterAutospacing="1"/>
      <w:jc w:val="left"/>
    </w:pPr>
    <w:rPr>
      <w:rFonts w:cs="Times New Roman"/>
      <w:kern w:val="0"/>
      <w:sz w:val="24"/>
    </w:rPr>
  </w:style>
  <w:style w:type="character" w:customStyle="1" w:styleId="6">
    <w:name w:val="font21"/>
    <w:basedOn w:val="5"/>
    <w:qFormat/>
    <w:uiPriority w:val="0"/>
    <w:rPr>
      <w:rFonts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TotalTime>
  <ScaleCrop>false</ScaleCrop>
  <LinksUpToDate>false</LinksUpToDate>
  <CharactersWithSpaces>0</CharactersWithSpaces>
  <Application>WPS Office_6.8.2.8850_F1E327BC-269C-435d-A152-05C5408002CA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2024-08-11T21:24:00Z</dcterms:created>
  <dc:creator>钟艳萍律师</dc:creator>
  <cp:lastModifiedBy>钟艳萍律师</cp:lastModifiedBy>
  <dcterms:modified xsi:type="dcterms:W3CDTF">2024-10-09T01:56:37Z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2052-6.8.2.8850</vt:lpwstr>
  </property>
  <property fmtid="{D5CDD505-2E9C-101B-9397-08002B2CF9AE}" pid="3" name="ICV">
    <vt:lpwstr>B79A706D74B2C04B836D0567E172904A_43</vt:lpwstr>
  </property>
</Properties>
</file>