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D5B209">
      <w:pPr>
        <w:jc w:val="center"/>
        <w:rPr>
          <w:rFonts w:hint="eastAsia" w:ascii="黑体" w:hAnsi="黑体" w:eastAsia="黑体" w:cs="黑体"/>
          <w:sz w:val="30"/>
          <w:szCs w:val="30"/>
          <w:lang w:val="en-US" w:eastAsia="zh-CN"/>
        </w:rPr>
      </w:pPr>
      <w:bookmarkStart w:id="0" w:name="OLE_LINK1"/>
      <w:r>
        <w:rPr>
          <w:rFonts w:hint="eastAsia" w:ascii="黑体" w:hAnsi="黑体" w:eastAsia="黑体" w:cs="黑体"/>
          <w:sz w:val="30"/>
          <w:szCs w:val="30"/>
          <w:lang w:val="en-US" w:eastAsia="zh-CN"/>
        </w:rPr>
        <w:t>成都腾铭名车汇汽车销售服务有限公司</w:t>
      </w:r>
      <w:bookmarkEnd w:id="0"/>
      <w:r>
        <w:rPr>
          <w:rFonts w:hint="eastAsia" w:ascii="黑体" w:hAnsi="黑体" w:eastAsia="黑体" w:cs="黑体"/>
          <w:sz w:val="30"/>
          <w:szCs w:val="30"/>
          <w:lang w:val="en-US" w:eastAsia="zh-CN"/>
        </w:rPr>
        <w:t>破产清算案</w:t>
      </w:r>
    </w:p>
    <w:p w14:paraId="410036A1">
      <w:pPr>
        <w:jc w:val="center"/>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债权申报通知书</w:t>
      </w:r>
    </w:p>
    <w:p w14:paraId="21E86C25">
      <w:p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尊敬的债权人：</w:t>
      </w:r>
    </w:p>
    <w:p w14:paraId="12923A0A">
      <w:pPr>
        <w:ind w:firstLine="560"/>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2024年8月1日，成都市双流区人民法院做出（2024）川0116破申31号《民事裁定书》，裁定受理四川金恒德国际贸易有限公司对成都腾铭名车汇汽车销售服务有限公司的破产清算申请。2024年10月18日，成都市双流区人民法院作出</w:t>
      </w:r>
      <w:bookmarkStart w:id="1" w:name="OLE_LINK2"/>
      <w:r>
        <w:rPr>
          <w:rFonts w:hint="eastAsia" w:ascii="宋体" w:hAnsi="宋体" w:eastAsia="宋体" w:cs="宋体"/>
          <w:sz w:val="28"/>
          <w:szCs w:val="28"/>
          <w:lang w:val="en-US" w:eastAsia="zh-CN"/>
        </w:rPr>
        <w:t>（2024）川0116破25号</w:t>
      </w:r>
      <w:bookmarkEnd w:id="1"/>
      <w:r>
        <w:rPr>
          <w:rFonts w:hint="eastAsia" w:ascii="宋体" w:hAnsi="宋体" w:eastAsia="宋体" w:cs="宋体"/>
          <w:sz w:val="28"/>
          <w:szCs w:val="28"/>
          <w:lang w:val="en-US" w:eastAsia="zh-CN"/>
        </w:rPr>
        <w:t>《决定书》，指定北京万商天勤（成都）律师事务所担任成都腾铭名车汇汽车销售服务有限公司管理人，韩冬为负责人。为方便债权人及时、高效申报债权，明确债权申报的相关权利和义务，特发布以下通知：</w:t>
      </w:r>
    </w:p>
    <w:p w14:paraId="29721B76">
      <w:pPr>
        <w:ind w:firstLine="560"/>
        <w:jc w:val="both"/>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一、债权申报时间、地点及申报方式</w:t>
      </w:r>
    </w:p>
    <w:p w14:paraId="3D96F193">
      <w:pPr>
        <w:ind w:firstLine="560"/>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1.债权申报截止时间：2024年11月22日17时前。</w:t>
      </w:r>
    </w:p>
    <w:p w14:paraId="54F7AD9B">
      <w:pPr>
        <w:ind w:firstLine="560"/>
        <w:jc w:val="both"/>
        <w:rPr>
          <w:rFonts w:hint="eastAsia" w:ascii="宋体" w:hAnsi="宋体" w:eastAsia="宋体" w:cs="宋体"/>
          <w:sz w:val="28"/>
          <w:szCs w:val="28"/>
          <w:lang w:val="en-US" w:eastAsia="zh-CN"/>
        </w:rPr>
      </w:pPr>
      <w:r>
        <w:rPr>
          <w:rFonts w:hint="eastAsia" w:eastAsia="宋体" w:cs="宋体"/>
          <w:sz w:val="28"/>
          <w:szCs w:val="28"/>
          <w:lang w:val="en-US" w:eastAsia="zh-CN"/>
        </w:rPr>
        <w:t>2</w:t>
      </w:r>
      <w:r>
        <w:rPr>
          <w:rFonts w:hint="eastAsia" w:ascii="宋体" w:hAnsi="宋体" w:eastAsia="宋体" w:cs="宋体"/>
          <w:sz w:val="28"/>
          <w:szCs w:val="28"/>
          <w:lang w:val="en-US" w:eastAsia="zh-CN"/>
        </w:rPr>
        <w:t>.债权申报联系人：朱露瑶、唐小利，联系电话：</w:t>
      </w:r>
      <w:r>
        <w:rPr>
          <w:rFonts w:hint="default" w:ascii="宋体" w:hAnsi="宋体" w:eastAsia="宋体" w:cs="宋体"/>
          <w:sz w:val="28"/>
          <w:szCs w:val="28"/>
          <w:lang w:val="en-US" w:eastAsia="zh-CN"/>
        </w:rPr>
        <w:t>15608092438</w:t>
      </w:r>
      <w:r>
        <w:rPr>
          <w:rFonts w:hint="eastAsia" w:ascii="宋体" w:hAnsi="宋体" w:eastAsia="宋体" w:cs="宋体"/>
          <w:sz w:val="28"/>
          <w:szCs w:val="28"/>
          <w:lang w:val="en-US" w:eastAsia="zh-CN"/>
        </w:rPr>
        <w:t>、</w:t>
      </w:r>
      <w:r>
        <w:rPr>
          <w:rFonts w:hint="default" w:ascii="宋体" w:hAnsi="宋体" w:eastAsia="宋体" w:cs="宋体"/>
          <w:sz w:val="28"/>
          <w:szCs w:val="28"/>
          <w:lang w:val="en-US" w:eastAsia="zh-CN"/>
        </w:rPr>
        <w:t>13880145534</w:t>
      </w:r>
    </w:p>
    <w:p w14:paraId="7AF65BAA">
      <w:pPr>
        <w:ind w:firstLine="560"/>
        <w:jc w:val="both"/>
        <w:rPr>
          <w:rFonts w:hint="eastAsia" w:ascii="宋体" w:hAnsi="宋体" w:eastAsia="宋体" w:cs="宋体"/>
          <w:sz w:val="28"/>
          <w:szCs w:val="28"/>
          <w:lang w:val="en-US" w:eastAsia="zh-CN"/>
        </w:rPr>
      </w:pPr>
      <w:r>
        <w:rPr>
          <w:rFonts w:hint="eastAsia" w:eastAsia="宋体" w:cs="宋体"/>
          <w:sz w:val="28"/>
          <w:szCs w:val="28"/>
          <w:lang w:val="en-US" w:eastAsia="zh-CN"/>
        </w:rPr>
        <w:t>3</w:t>
      </w:r>
      <w:r>
        <w:rPr>
          <w:rFonts w:hint="eastAsia" w:ascii="宋体" w:hAnsi="宋体" w:eastAsia="宋体" w:cs="宋体"/>
          <w:sz w:val="28"/>
          <w:szCs w:val="28"/>
          <w:lang w:val="en-US" w:eastAsia="zh-CN"/>
        </w:rPr>
        <w:t>.申报方式及地址：债权申报采用线上和现场申报，建议债权人通过线上申报。</w:t>
      </w:r>
    </w:p>
    <w:p w14:paraId="0A654AB0">
      <w:pPr>
        <w:ind w:firstLine="560"/>
        <w:jc w:val="both"/>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（1）</w:t>
      </w:r>
      <w:r>
        <w:rPr>
          <w:rFonts w:hint="eastAsia" w:eastAsia="宋体" w:cs="宋体"/>
          <w:sz w:val="28"/>
          <w:szCs w:val="28"/>
          <w:lang w:val="en-US" w:eastAsia="zh-CN"/>
        </w:rPr>
        <w:t>线上申报</w:t>
      </w:r>
    </w:p>
    <w:p w14:paraId="1BCE8DAA">
      <w:pPr>
        <w:ind w:firstLine="560"/>
        <w:jc w:val="both"/>
        <w:rPr>
          <w:rFonts w:hint="eastAsia" w:eastAsia="宋体" w:cs="宋体"/>
          <w:sz w:val="28"/>
          <w:szCs w:val="28"/>
          <w:lang w:val="en-US" w:eastAsia="zh-CN"/>
        </w:rPr>
      </w:pPr>
      <w:r>
        <w:rPr>
          <w:rFonts w:hint="eastAsia" w:ascii="宋体" w:hAnsi="宋体" w:eastAsia="宋体" w:cs="宋体"/>
          <w:sz w:val="28"/>
          <w:szCs w:val="28"/>
          <w:lang w:val="en-US" w:eastAsia="zh-CN"/>
        </w:rPr>
        <w:t>管理人通过成都市双流区人民法院“智破平台申报系统”接受在线债权申报，债权人扫描下方左侧二维码通过微信小程序申报。债权申报操作指引请扫描下方右侧二维码查看</w:t>
      </w:r>
      <w:r>
        <w:rPr>
          <w:rFonts w:hint="eastAsia" w:eastAsia="宋体" w:cs="宋体"/>
          <w:sz w:val="28"/>
          <w:szCs w:val="28"/>
          <w:lang w:val="en-US" w:eastAsia="zh-CN"/>
        </w:rPr>
        <w:t>。</w:t>
      </w:r>
      <w:bookmarkStart w:id="2" w:name="_GoBack"/>
      <w:bookmarkEnd w:id="2"/>
      <w:r>
        <w:rPr>
          <w:rFonts w:hint="eastAsia" w:eastAsia="宋体" w:cs="宋体"/>
          <w:sz w:val="28"/>
          <w:szCs w:val="28"/>
          <w:lang w:val="en-US" w:eastAsia="zh-CN"/>
        </w:rPr>
        <w:t>​</w:t>
      </w:r>
    </w:p>
    <w:p w14:paraId="23BBF5ED">
      <w:pPr>
        <w:ind w:firstLine="560"/>
        <w:jc w:val="both"/>
        <w:rPr>
          <w:rFonts w:hint="eastAsia" w:eastAsia="宋体" w:cs="宋体"/>
          <w:sz w:val="28"/>
          <w:szCs w:val="28"/>
          <w:lang w:val="en-US" w:eastAsia="zh-CN"/>
        </w:rPr>
      </w:pPr>
      <w:r>
        <w:rPr>
          <w:rFonts w:ascii="宋体" w:hAnsi="宋体" w:eastAsia="宋体" w:cs="宋体"/>
          <w:sz w:val="24"/>
          <w:szCs w:val="24"/>
        </w:rPr>
        <w:drawing>
          <wp:inline distT="0" distB="0" distL="114300" distR="114300">
            <wp:extent cx="1700530" cy="1700530"/>
            <wp:effectExtent l="0" t="0" r="4445" b="444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700530" cy="1700530"/>
                    </a:xfrm>
                    <a:prstGeom prst="rect">
                      <a:avLst/>
                    </a:prstGeom>
                    <a:noFill/>
                    <a:ln w="9525">
                      <a:noFill/>
                    </a:ln>
                  </pic:spPr>
                </pic:pic>
              </a:graphicData>
            </a:graphic>
          </wp:inline>
        </w:drawing>
      </w:r>
      <w:r>
        <w:rPr>
          <w:rFonts w:hint="eastAsia" w:eastAsia="宋体" w:cs="宋体"/>
          <w:sz w:val="24"/>
          <w:szCs w:val="24"/>
          <w:lang w:val="en-US" w:eastAsia="zh-CN"/>
        </w:rPr>
        <w:t xml:space="preserve">                   </w:t>
      </w:r>
      <w:r>
        <w:rPr>
          <w:rFonts w:hint="eastAsia" w:eastAsia="宋体" w:cs="宋体"/>
          <w:sz w:val="28"/>
          <w:szCs w:val="28"/>
          <w:lang w:val="en-US" w:eastAsia="zh-CN"/>
        </w:rPr>
        <w:drawing>
          <wp:inline distT="0" distB="0" distL="114300" distR="114300">
            <wp:extent cx="1695450" cy="1695450"/>
            <wp:effectExtent l="0" t="0" r="0" b="0"/>
            <wp:docPr id="2" name="图片 2" descr="299c520513b16324dfe3429ade51f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99c520513b16324dfe3429ade51f26"/>
                    <pic:cNvPicPr>
                      <a:picLocks noChangeAspect="1"/>
                    </pic:cNvPicPr>
                  </pic:nvPicPr>
                  <pic:blipFill>
                    <a:blip r:embed="rId5"/>
                    <a:stretch>
                      <a:fillRect/>
                    </a:stretch>
                  </pic:blipFill>
                  <pic:spPr>
                    <a:xfrm>
                      <a:off x="0" y="0"/>
                      <a:ext cx="1695450" cy="1695450"/>
                    </a:xfrm>
                    <a:prstGeom prst="rect">
                      <a:avLst/>
                    </a:prstGeom>
                  </pic:spPr>
                </pic:pic>
              </a:graphicData>
            </a:graphic>
          </wp:inline>
        </w:drawing>
      </w:r>
    </w:p>
    <w:p w14:paraId="298BEF74">
      <w:pPr>
        <w:ind w:firstLine="560"/>
        <w:jc w:val="both"/>
        <w:rPr>
          <w:rFonts w:hint="eastAsia" w:eastAsia="宋体" w:cs="宋体"/>
          <w:sz w:val="28"/>
          <w:szCs w:val="28"/>
          <w:lang w:val="en-US" w:eastAsia="zh-CN"/>
        </w:rPr>
      </w:pPr>
    </w:p>
    <w:p w14:paraId="78C7EE34">
      <w:pPr>
        <w:numPr>
          <w:ilvl w:val="0"/>
          <w:numId w:val="1"/>
        </w:numPr>
        <w:ind w:firstLine="560"/>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现场申报</w:t>
      </w:r>
    </w:p>
    <w:p w14:paraId="1D1E29AC">
      <w:pPr>
        <w:numPr>
          <w:numId w:val="0"/>
        </w:numPr>
        <w:ind w:firstLine="560" w:firstLineChars="200"/>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债权人须提前一个工作日预约，并在约定时间携带身份证明材料</w:t>
      </w:r>
    </w:p>
    <w:p w14:paraId="53EE4001">
      <w:pPr>
        <w:numPr>
          <w:numId w:val="0"/>
        </w:num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及证据材料(原件及复印件)到管理人办公室进行现场申报</w:t>
      </w:r>
    </w:p>
    <w:p w14:paraId="472E1C0F">
      <w:pPr>
        <w:numPr>
          <w:numId w:val="0"/>
        </w:numPr>
        <w:ind w:firstLine="560" w:firstLineChars="200"/>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地址：成都市高新区天府大道中段530号东方希望天祥广场A座4302室。</w:t>
      </w:r>
    </w:p>
    <w:p w14:paraId="233490B9">
      <w:pPr>
        <w:ind w:firstLine="560"/>
        <w:jc w:val="both"/>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债权申报咨询、材料接收等接待工作时间：工作日上午9：00-12：00；下午14：00-17：00.</w:t>
      </w:r>
    </w:p>
    <w:p w14:paraId="0B5F91CC">
      <w:pPr>
        <w:ind w:firstLine="560"/>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二、申报注意事项</w:t>
      </w:r>
    </w:p>
    <w:p w14:paraId="552E5F3C">
      <w:pPr>
        <w:ind w:firstLine="560"/>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1.申报债权人应提交的申报资料及要求等详见附件</w:t>
      </w:r>
      <w:r>
        <w:rPr>
          <w:rFonts w:hint="eastAsia" w:eastAsia="宋体" w:cs="宋体"/>
          <w:sz w:val="28"/>
          <w:szCs w:val="28"/>
          <w:lang w:val="en-US" w:eastAsia="zh-CN"/>
        </w:rPr>
        <w:t>五</w:t>
      </w:r>
      <w:r>
        <w:rPr>
          <w:rFonts w:hint="default" w:ascii="宋体" w:hAnsi="宋体" w:eastAsia="宋体" w:cs="宋体"/>
          <w:sz w:val="28"/>
          <w:szCs w:val="28"/>
          <w:lang w:val="en-US" w:eastAsia="zh-CN"/>
        </w:rPr>
        <w:t>《</w:t>
      </w:r>
      <w:r>
        <w:rPr>
          <w:rFonts w:hint="eastAsia" w:eastAsia="宋体" w:cs="宋体"/>
          <w:sz w:val="28"/>
          <w:szCs w:val="28"/>
          <w:lang w:val="en-US" w:eastAsia="zh-CN"/>
        </w:rPr>
        <w:t>【</w:t>
      </w:r>
      <w:r>
        <w:rPr>
          <w:rFonts w:hint="eastAsia" w:ascii="宋体" w:hAnsi="宋体" w:eastAsia="宋体" w:cs="宋体"/>
          <w:sz w:val="28"/>
          <w:szCs w:val="28"/>
          <w:lang w:val="en-US" w:eastAsia="zh-CN"/>
        </w:rPr>
        <w:t>腾铭名车汇</w:t>
      </w:r>
      <w:r>
        <w:rPr>
          <w:rFonts w:hint="eastAsia" w:eastAsia="宋体" w:cs="宋体"/>
          <w:sz w:val="28"/>
          <w:szCs w:val="28"/>
          <w:lang w:val="en-US" w:eastAsia="zh-CN"/>
        </w:rPr>
        <w:t>】</w:t>
      </w:r>
      <w:r>
        <w:rPr>
          <w:rFonts w:hint="default" w:ascii="宋体" w:hAnsi="宋体" w:eastAsia="宋体" w:cs="宋体"/>
          <w:sz w:val="28"/>
          <w:szCs w:val="28"/>
          <w:lang w:val="en-US" w:eastAsia="zh-CN"/>
        </w:rPr>
        <w:t>债权申报</w:t>
      </w:r>
      <w:r>
        <w:rPr>
          <w:rFonts w:hint="eastAsia" w:eastAsia="宋体" w:cs="宋体"/>
          <w:sz w:val="28"/>
          <w:szCs w:val="28"/>
          <w:lang w:val="en-US" w:eastAsia="zh-CN"/>
        </w:rPr>
        <w:t>模板</w:t>
      </w:r>
      <w:r>
        <w:rPr>
          <w:rFonts w:hint="default" w:ascii="宋体" w:hAnsi="宋体" w:eastAsia="宋体" w:cs="宋体"/>
          <w:sz w:val="28"/>
          <w:szCs w:val="28"/>
          <w:lang w:val="en-US" w:eastAsia="zh-CN"/>
        </w:rPr>
        <w:t>》，所有申报资料均需提交一式二份，每份均应按“债权申报</w:t>
      </w:r>
      <w:r>
        <w:rPr>
          <w:rFonts w:hint="eastAsia" w:eastAsia="宋体" w:cs="宋体"/>
          <w:sz w:val="28"/>
          <w:szCs w:val="28"/>
          <w:lang w:val="en-US" w:eastAsia="zh-CN"/>
        </w:rPr>
        <w:t>模板</w:t>
      </w:r>
      <w:r>
        <w:rPr>
          <w:rFonts w:hint="default" w:ascii="宋体" w:hAnsi="宋体" w:eastAsia="宋体" w:cs="宋体"/>
          <w:sz w:val="28"/>
          <w:szCs w:val="28"/>
          <w:lang w:val="en-US" w:eastAsia="zh-CN"/>
        </w:rPr>
        <w:t>”的要求制作《申报文件清单》并注明页数;</w:t>
      </w:r>
    </w:p>
    <w:p w14:paraId="11552B7C">
      <w:pPr>
        <w:ind w:firstLine="560"/>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2.现场申报需携带申报材料涉及的证据原件，以便管理人现场核对，管理人核对后将向债权人退还原件。</w:t>
      </w:r>
    </w:p>
    <w:p w14:paraId="69184626">
      <w:pPr>
        <w:ind w:firstLine="560"/>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3.利息计算:按照《中华人民共和国破产法》相关规定、附利息的</w:t>
      </w:r>
      <w:r>
        <w:rPr>
          <w:rFonts w:hint="eastAsia" w:eastAsia="宋体" w:cs="宋体"/>
          <w:sz w:val="28"/>
          <w:szCs w:val="28"/>
          <w:lang w:val="en-US" w:eastAsia="zh-CN"/>
        </w:rPr>
        <w:t>债</w:t>
      </w:r>
      <w:r>
        <w:rPr>
          <w:rFonts w:hint="default" w:ascii="宋体" w:hAnsi="宋体" w:eastAsia="宋体" w:cs="宋体"/>
          <w:sz w:val="28"/>
          <w:szCs w:val="28"/>
          <w:lang w:val="en-US" w:eastAsia="zh-CN"/>
        </w:rPr>
        <w:t>权，利息至多只能计算至</w:t>
      </w:r>
      <w:r>
        <w:rPr>
          <w:rFonts w:hint="eastAsia" w:eastAsia="宋体" w:cs="宋体"/>
          <w:sz w:val="28"/>
          <w:szCs w:val="28"/>
          <w:lang w:val="en-US" w:eastAsia="zh-CN"/>
        </w:rPr>
        <w:t>破产申请受理之日</w:t>
      </w:r>
      <w:r>
        <w:rPr>
          <w:rFonts w:hint="default" w:ascii="宋体" w:hAnsi="宋体" w:eastAsia="宋体" w:cs="宋体"/>
          <w:sz w:val="28"/>
          <w:szCs w:val="28"/>
          <w:lang w:val="en-US" w:eastAsia="zh-CN"/>
        </w:rPr>
        <w:t>即2024年</w:t>
      </w:r>
      <w:r>
        <w:rPr>
          <w:rFonts w:hint="eastAsia" w:eastAsia="宋体" w:cs="宋体"/>
          <w:sz w:val="28"/>
          <w:szCs w:val="28"/>
          <w:lang w:val="en-US" w:eastAsia="zh-CN"/>
        </w:rPr>
        <w:t>8</w:t>
      </w:r>
      <w:r>
        <w:rPr>
          <w:rFonts w:hint="default" w:ascii="宋体" w:hAnsi="宋体" w:eastAsia="宋体" w:cs="宋体"/>
          <w:sz w:val="28"/>
          <w:szCs w:val="28"/>
          <w:lang w:val="en-US" w:eastAsia="zh-CN"/>
        </w:rPr>
        <w:t>月</w:t>
      </w:r>
      <w:r>
        <w:rPr>
          <w:rFonts w:hint="eastAsia" w:eastAsia="宋体" w:cs="宋体"/>
          <w:sz w:val="28"/>
          <w:szCs w:val="28"/>
          <w:lang w:val="en-US" w:eastAsia="zh-CN"/>
        </w:rPr>
        <w:t>1</w:t>
      </w:r>
      <w:r>
        <w:rPr>
          <w:rFonts w:hint="default" w:ascii="宋体" w:hAnsi="宋体" w:eastAsia="宋体" w:cs="宋体"/>
          <w:sz w:val="28"/>
          <w:szCs w:val="28"/>
          <w:lang w:val="en-US" w:eastAsia="zh-CN"/>
        </w:rPr>
        <w:t>日，利息计算应注明计算标准及计算方式。</w:t>
      </w:r>
    </w:p>
    <w:p w14:paraId="1E349EED">
      <w:pPr>
        <w:ind w:firstLine="560"/>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三、特别提示</w:t>
      </w:r>
    </w:p>
    <w:p w14:paraId="6903755E">
      <w:pPr>
        <w:ind w:firstLine="560"/>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1、</w:t>
      </w:r>
      <w:r>
        <w:rPr>
          <w:rFonts w:hint="eastAsia" w:eastAsia="宋体" w:cs="宋体"/>
          <w:sz w:val="28"/>
          <w:szCs w:val="28"/>
          <w:lang w:val="en-US" w:eastAsia="zh-CN"/>
        </w:rPr>
        <w:t>为了更加高效便捷完成申报工作，建议债权人采用线上申报的方式</w:t>
      </w:r>
    </w:p>
    <w:p w14:paraId="5E425E4A">
      <w:pPr>
        <w:ind w:firstLine="560"/>
        <w:jc w:val="both"/>
        <w:rPr>
          <w:rFonts w:hint="default" w:ascii="宋体" w:hAnsi="宋体" w:eastAsia="宋体" w:cs="宋体"/>
          <w:sz w:val="28"/>
          <w:szCs w:val="28"/>
          <w:lang w:val="en-US" w:eastAsia="zh-CN"/>
        </w:rPr>
      </w:pPr>
      <w:r>
        <w:rPr>
          <w:rFonts w:hint="eastAsia" w:eastAsia="宋体" w:cs="宋体"/>
          <w:sz w:val="28"/>
          <w:szCs w:val="28"/>
          <w:lang w:val="en-US" w:eastAsia="zh-CN"/>
        </w:rPr>
        <w:t>2、</w:t>
      </w:r>
      <w:r>
        <w:rPr>
          <w:rFonts w:hint="default" w:ascii="宋体" w:hAnsi="宋体" w:eastAsia="宋体" w:cs="宋体"/>
          <w:sz w:val="28"/>
          <w:szCs w:val="28"/>
          <w:lang w:val="en-US" w:eastAsia="zh-CN"/>
        </w:rPr>
        <w:t>请债权人务必于通知的债权申报截止日前申报债权，逾期未申报的，可以在破产财产最后分配前补充申报，但对此前已进行分配的，无权要求补充分配。同时根据情况，还需按5000元/户的标准承担为审查和确认补充申报债权产生的必要费用。未依法申报债权的，不得依照《中华人民共和国破产法》规定的程序行使权利。</w:t>
      </w:r>
    </w:p>
    <w:p w14:paraId="0FBD0AB8">
      <w:pPr>
        <w:ind w:firstLine="560"/>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2、申报人应提供证据证明债权事实，没有证据或证据不足以证明债权人主张事实，或者无法提供证据原件且管理人无法通过其他途径核实的，由申报人自行承担不利后果。</w:t>
      </w:r>
    </w:p>
    <w:p w14:paraId="012D4657">
      <w:pPr>
        <w:ind w:firstLine="560"/>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3、债权人应当如实、详细填写《债权申报表》并提供完整、真实有效的申报材料，如提供伪造、变造等虚假证据及相关材料，以及对重要事实拒绝陈述或作虚假陈述的，将承担相应的法律责任;情节严重构成犯罪的，将移交司法机关处理。</w:t>
      </w:r>
    </w:p>
    <w:p w14:paraId="5F4DB87F">
      <w:pPr>
        <w:ind w:firstLine="560"/>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4、债权人已经从</w:t>
      </w:r>
      <w:r>
        <w:rPr>
          <w:rFonts w:hint="eastAsia" w:ascii="宋体" w:hAnsi="宋体" w:eastAsia="宋体" w:cs="宋体"/>
          <w:sz w:val="28"/>
          <w:szCs w:val="28"/>
          <w:lang w:val="en-US" w:eastAsia="zh-CN"/>
        </w:rPr>
        <w:t>成都腾铭名车汇汽车销售服务有限公司</w:t>
      </w:r>
      <w:r>
        <w:rPr>
          <w:rFonts w:hint="default" w:ascii="宋体" w:hAnsi="宋体" w:eastAsia="宋体" w:cs="宋体"/>
          <w:sz w:val="28"/>
          <w:szCs w:val="28"/>
          <w:lang w:val="en-US" w:eastAsia="zh-CN"/>
        </w:rPr>
        <w:t>或其他第三方受偿全部或部分债权导致</w:t>
      </w:r>
      <w:r>
        <w:rPr>
          <w:rFonts w:hint="eastAsia" w:ascii="宋体" w:hAnsi="宋体" w:eastAsia="宋体" w:cs="宋体"/>
          <w:sz w:val="28"/>
          <w:szCs w:val="28"/>
          <w:lang w:val="en-US" w:eastAsia="zh-CN"/>
        </w:rPr>
        <w:t>成都腾铭名车汇汽车销售服务有限公司</w:t>
      </w:r>
      <w:r>
        <w:rPr>
          <w:rFonts w:hint="default" w:ascii="宋体" w:hAnsi="宋体" w:eastAsia="宋体" w:cs="宋体"/>
          <w:sz w:val="28"/>
          <w:szCs w:val="28"/>
          <w:lang w:val="en-US" w:eastAsia="zh-CN"/>
        </w:rPr>
        <w:t>不应再承担相应债务的，债权人不能就已受偿部分进行申报;债权申报后，债权人从其他第三方受偿债权导致</w:t>
      </w:r>
      <w:r>
        <w:rPr>
          <w:rFonts w:hint="eastAsia" w:ascii="宋体" w:hAnsi="宋体" w:eastAsia="宋体" w:cs="宋体"/>
          <w:sz w:val="28"/>
          <w:szCs w:val="28"/>
          <w:lang w:val="en-US" w:eastAsia="zh-CN"/>
        </w:rPr>
        <w:t>成都腾铭名车汇汽车销售服务有限公司</w:t>
      </w:r>
      <w:r>
        <w:rPr>
          <w:rFonts w:hint="default" w:ascii="宋体" w:hAnsi="宋体" w:eastAsia="宋体" w:cs="宋体"/>
          <w:sz w:val="28"/>
          <w:szCs w:val="28"/>
          <w:lang w:val="en-US" w:eastAsia="zh-CN"/>
        </w:rPr>
        <w:t>应承担的债务减少的，债权人应当在一周内书面告知管理人。</w:t>
      </w:r>
    </w:p>
    <w:p w14:paraId="2E2C611C">
      <w:pPr>
        <w:ind w:firstLine="560"/>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特此通知。</w:t>
      </w:r>
    </w:p>
    <w:p w14:paraId="72F1E61C">
      <w:pPr>
        <w:ind w:firstLine="560"/>
        <w:jc w:val="both"/>
        <w:rPr>
          <w:rFonts w:hint="default" w:ascii="宋体" w:hAnsi="宋体" w:eastAsia="宋体" w:cs="宋体"/>
          <w:sz w:val="28"/>
          <w:szCs w:val="28"/>
          <w:lang w:val="en-US" w:eastAsia="zh-CN"/>
        </w:rPr>
      </w:pPr>
    </w:p>
    <w:p w14:paraId="6A7608BC">
      <w:pPr>
        <w:ind w:firstLine="560"/>
        <w:jc w:val="right"/>
        <w:rPr>
          <w:rFonts w:hint="eastAsia" w:eastAsia="宋体" w:cs="宋体"/>
          <w:sz w:val="28"/>
          <w:szCs w:val="28"/>
          <w:lang w:val="en-US" w:eastAsia="zh-CN"/>
        </w:rPr>
      </w:pPr>
      <w:r>
        <w:rPr>
          <w:rFonts w:hint="eastAsia" w:ascii="宋体" w:hAnsi="宋体" w:eastAsia="宋体" w:cs="宋体"/>
          <w:sz w:val="28"/>
          <w:szCs w:val="28"/>
          <w:lang w:val="en-US" w:eastAsia="zh-CN"/>
        </w:rPr>
        <w:t>成都腾铭名车汇汽车销售服务有限公司</w:t>
      </w:r>
      <w:r>
        <w:rPr>
          <w:rFonts w:hint="eastAsia" w:eastAsia="宋体" w:cs="宋体"/>
          <w:sz w:val="28"/>
          <w:szCs w:val="28"/>
          <w:lang w:val="en-US" w:eastAsia="zh-CN"/>
        </w:rPr>
        <w:t>管理人</w:t>
      </w:r>
    </w:p>
    <w:p w14:paraId="02C0C14F">
      <w:pPr>
        <w:ind w:firstLine="560"/>
        <w:jc w:val="right"/>
        <w:rPr>
          <w:rFonts w:hint="default" w:eastAsia="宋体" w:cs="宋体"/>
          <w:sz w:val="28"/>
          <w:szCs w:val="28"/>
          <w:lang w:val="en-US" w:eastAsia="zh-CN"/>
        </w:rPr>
      </w:pPr>
      <w:r>
        <w:rPr>
          <w:rFonts w:hint="eastAsia" w:eastAsia="宋体" w:cs="宋体"/>
          <w:sz w:val="28"/>
          <w:szCs w:val="28"/>
          <w:lang w:val="en-US" w:eastAsia="zh-CN"/>
        </w:rPr>
        <w:t>2024年10月23日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E95DA5"/>
    <w:multiLevelType w:val="singleLevel"/>
    <w:tmpl w:val="58E95DA5"/>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xYjhhZDcyMGZiYzAwZGU5YzQ4OWUwM2QzYjYxNWIifQ=="/>
  </w:docVars>
  <w:rsids>
    <w:rsidRoot w:val="5FF124AD"/>
    <w:rsid w:val="0B216FF2"/>
    <w:rsid w:val="1FE43FA1"/>
    <w:rsid w:val="5FF124AD"/>
    <w:rsid w:val="65A376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仿宋" w:cs="宋体"/>
      <w:sz w:val="24"/>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1231</Words>
  <Characters>1314</Characters>
  <Lines>0</Lines>
  <Paragraphs>0</Paragraphs>
  <TotalTime>18</TotalTime>
  <ScaleCrop>false</ScaleCrop>
  <LinksUpToDate>false</LinksUpToDate>
  <CharactersWithSpaces>1314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2024-10-23T05:55:00Z</dcterms:created>
  <dc:creator>Echo</dc:creator>
  <cp:lastModifiedBy>Echo</cp:lastModifiedBy>
  <dcterms:modified xsi:type="dcterms:W3CDTF">2024-10-23T09:08:36Z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DB84C1A6DB9E4CDD8781AA66292C481C_11</vt:lpwstr>
  </property>
</Properties>
</file>