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BFE4EB">
      <w:pPr>
        <w:autoSpaceDE/>
        <w:autoSpaceDN/>
        <w:spacing w:before="120" w:beforeLines="50" w:after="120" w:afterLines="50" w:line="360" w:lineRule="auto"/>
        <w:jc w:val="center"/>
        <w:outlineLvl w:val="0"/>
        <w:rPr>
          <w:rFonts w:cs="Times New Roman"/>
          <w:b/>
          <w:bCs/>
          <w:sz w:val="32"/>
          <w:szCs w:val="32"/>
          <w:lang w:val="en-US"/>
        </w:rPr>
      </w:pPr>
      <w:r>
        <w:rPr>
          <w:rFonts w:hint="eastAsia" w:cs="Times New Roman"/>
          <w:b/>
          <w:bCs/>
          <w:sz w:val="32"/>
          <w:szCs w:val="32"/>
          <w:lang w:val="en-US"/>
        </w:rPr>
        <w:t>关于公开选聘评估机构的公告</w:t>
      </w:r>
    </w:p>
    <w:p w14:paraId="42751EC6">
      <w:pPr>
        <w:autoSpaceDE/>
        <w:autoSpaceDN/>
        <w:spacing w:before="120" w:beforeLines="50" w:line="400" w:lineRule="exact"/>
        <w:ind w:firstLine="422" w:firstLineChars="200"/>
        <w:jc w:val="right"/>
        <w:rPr>
          <w:rFonts w:cs="Times New Roman"/>
          <w:b/>
          <w:bCs/>
          <w:sz w:val="21"/>
          <w:szCs w:val="21"/>
          <w:lang w:val="en-US"/>
        </w:rPr>
      </w:pPr>
      <w:r>
        <w:rPr>
          <w:rFonts w:hint="eastAsia" w:cs="Times New Roman"/>
          <w:b/>
          <w:bCs/>
          <w:sz w:val="21"/>
          <w:szCs w:val="21"/>
          <w:lang w:val="en-US"/>
        </w:rPr>
        <w:t>(2024)融仕达破管07号</w:t>
      </w:r>
    </w:p>
    <w:p w14:paraId="0CB0D922">
      <w:pPr>
        <w:autoSpaceDE/>
        <w:autoSpaceDN/>
        <w:spacing w:before="120" w:beforeLines="50" w:line="400" w:lineRule="exact"/>
        <w:ind w:firstLine="560" w:firstLineChars="200"/>
        <w:rPr>
          <w:sz w:val="28"/>
          <w:szCs w:val="28"/>
          <w:lang w:val="en-US"/>
        </w:rPr>
      </w:pPr>
      <w:r>
        <w:rPr>
          <w:rFonts w:hint="eastAsia"/>
          <w:sz w:val="28"/>
          <w:szCs w:val="28"/>
          <w:lang w:val="en-US"/>
        </w:rPr>
        <w:t>2024年9月</w:t>
      </w:r>
      <w:r>
        <w:rPr>
          <w:rFonts w:hint="eastAsia"/>
          <w:sz w:val="28"/>
          <w:szCs w:val="28"/>
          <w:lang w:val="en-US" w:eastAsia="zh-CN"/>
        </w:rPr>
        <w:t>18</w:t>
      </w:r>
      <w:r>
        <w:rPr>
          <w:rFonts w:hint="eastAsia"/>
          <w:sz w:val="28"/>
          <w:szCs w:val="28"/>
          <w:lang w:val="en-US"/>
        </w:rPr>
        <w:t>日，峨眉山市人民法院（下称“峨眉法院”）作出(2024)川1181破申9号民事裁定书，依法裁定受理峨眉山市融仕达商贸有限责任公司（下称“融仕达公司”）破产清算一案，并于2024年9月20日指定四川瑾瑕清算服务有限公司乐山分公司担任融仕达公司管理人。</w:t>
      </w:r>
    </w:p>
    <w:p w14:paraId="5F5B1C78">
      <w:pPr>
        <w:autoSpaceDE/>
        <w:autoSpaceDN/>
        <w:spacing w:line="400" w:lineRule="exact"/>
        <w:ind w:firstLine="560" w:firstLineChars="200"/>
        <w:rPr>
          <w:sz w:val="28"/>
          <w:szCs w:val="28"/>
          <w:lang w:val="en-US"/>
        </w:rPr>
      </w:pPr>
      <w:r>
        <w:rPr>
          <w:rFonts w:hint="eastAsia"/>
          <w:sz w:val="28"/>
          <w:szCs w:val="28"/>
          <w:lang w:val="en-US"/>
        </w:rPr>
        <w:t>管理人为依法履行职责，查明融仕达公司的资产</w:t>
      </w:r>
      <w:r>
        <w:rPr>
          <w:sz w:val="28"/>
          <w:szCs w:val="28"/>
          <w:lang w:val="en-US"/>
        </w:rPr>
        <w:t>情况</w:t>
      </w:r>
      <w:r>
        <w:rPr>
          <w:rFonts w:hint="eastAsia"/>
          <w:sz w:val="28"/>
          <w:szCs w:val="28"/>
          <w:lang w:val="en-US"/>
        </w:rPr>
        <w:t>等，经报峨眉法院许可，现公开选聘评估机构提供评估服务。</w:t>
      </w:r>
    </w:p>
    <w:p w14:paraId="2AB7A211">
      <w:pPr>
        <w:autoSpaceDE/>
        <w:autoSpaceDN/>
        <w:spacing w:line="400" w:lineRule="exact"/>
        <w:ind w:firstLine="560" w:firstLineChars="200"/>
        <w:rPr>
          <w:sz w:val="28"/>
          <w:szCs w:val="28"/>
          <w:lang w:val="en-US"/>
        </w:rPr>
      </w:pPr>
      <w:r>
        <w:rPr>
          <w:rFonts w:hint="eastAsia"/>
          <w:sz w:val="28"/>
          <w:szCs w:val="28"/>
          <w:lang w:val="en-US"/>
        </w:rPr>
        <w:t>一、融仕达公司基本情况</w:t>
      </w:r>
    </w:p>
    <w:p w14:paraId="6C8E0858">
      <w:pPr>
        <w:autoSpaceDE/>
        <w:autoSpaceDN/>
        <w:spacing w:line="400" w:lineRule="exact"/>
        <w:ind w:firstLine="560" w:firstLineChars="200"/>
        <w:rPr>
          <w:sz w:val="28"/>
          <w:szCs w:val="28"/>
          <w:lang w:val="en-US"/>
        </w:rPr>
      </w:pPr>
      <w:r>
        <w:rPr>
          <w:rFonts w:hint="eastAsia"/>
          <w:sz w:val="28"/>
          <w:szCs w:val="28"/>
          <w:lang w:val="en-US"/>
        </w:rPr>
        <w:t>峨眉山市融仕达商贸有限责任公司于 2013年8月12日成立，法定代表人颜楚航，统一信用代码91511181073997358L，登记机关为峨眉山市市场监督管理局，公司经营范围为酒店管理；非居住房地产租赁；旅游开发项目策划咨询；会议及展览服务市场营销策划；体验式拓展活动及策划；采购代理服务；停车场服务。许可项目：住宿服务。（依法须经批准的项目，经相关部门批准后方可开展经营活动）。</w:t>
      </w:r>
    </w:p>
    <w:p w14:paraId="5877AE46">
      <w:pPr>
        <w:autoSpaceDE/>
        <w:autoSpaceDN/>
        <w:spacing w:line="400" w:lineRule="exact"/>
        <w:ind w:firstLine="560" w:firstLineChars="200"/>
        <w:rPr>
          <w:sz w:val="28"/>
          <w:szCs w:val="28"/>
          <w:lang w:val="en-US"/>
        </w:rPr>
      </w:pPr>
      <w:r>
        <w:rPr>
          <w:rFonts w:hint="eastAsia"/>
          <w:sz w:val="28"/>
          <w:szCs w:val="28"/>
          <w:lang w:val="en-US"/>
        </w:rPr>
        <w:t>融仕达公司注册资本为 3,000 万元，现股东为武子翔认缴出2700万元，持股比例90%，认缴出资时间为2014年11月13日，候军华认缴出资300万元，持股比例10%，认缴出资时间为2023年3月1日，出资方式均为货币出资。</w:t>
      </w:r>
    </w:p>
    <w:p w14:paraId="0F27EABD">
      <w:pPr>
        <w:autoSpaceDE/>
        <w:autoSpaceDN/>
        <w:spacing w:line="400" w:lineRule="exact"/>
        <w:ind w:firstLine="562" w:firstLineChars="200"/>
        <w:rPr>
          <w:rFonts w:cs="Times New Roman"/>
          <w:b/>
          <w:bCs/>
          <w:sz w:val="28"/>
          <w:szCs w:val="28"/>
          <w:lang w:val="en-US"/>
        </w:rPr>
      </w:pPr>
      <w:r>
        <w:rPr>
          <w:rFonts w:hint="eastAsia" w:cs="Times New Roman"/>
          <w:b/>
          <w:bCs/>
          <w:sz w:val="28"/>
          <w:szCs w:val="28"/>
          <w:lang w:val="en-US"/>
        </w:rPr>
        <w:t>二、评估机构资格要求</w:t>
      </w:r>
    </w:p>
    <w:p w14:paraId="5FD3EDB9">
      <w:pPr>
        <w:autoSpaceDE/>
        <w:autoSpaceDN/>
        <w:spacing w:line="400" w:lineRule="exact"/>
        <w:ind w:firstLine="560" w:firstLineChars="200"/>
        <w:rPr>
          <w:rFonts w:cs="Times New Roman"/>
          <w:sz w:val="28"/>
          <w:szCs w:val="28"/>
          <w:lang w:val="en-US"/>
        </w:rPr>
      </w:pPr>
      <w:r>
        <w:rPr>
          <w:rFonts w:hint="eastAsia" w:cs="Times New Roman"/>
          <w:sz w:val="28"/>
          <w:szCs w:val="28"/>
          <w:lang w:val="en-US"/>
        </w:rPr>
        <w:t>1.评估机构应符合以下参选资格要求：</w:t>
      </w:r>
    </w:p>
    <w:p w14:paraId="338AF72A">
      <w:pPr>
        <w:pStyle w:val="6"/>
        <w:spacing w:before="165" w:line="500" w:lineRule="exact"/>
        <w:ind w:right="-53" w:rightChars="-24" w:firstLine="560" w:firstLineChars="200"/>
        <w:rPr>
          <w:color w:val="auto"/>
          <w:sz w:val="28"/>
          <w:szCs w:val="28"/>
        </w:rPr>
      </w:pPr>
      <w:r>
        <w:rPr>
          <w:rFonts w:hint="eastAsia" w:ascii="仿宋" w:hAnsi="仿宋" w:eastAsia="仿宋" w:cs="仿宋"/>
          <w:sz w:val="28"/>
          <w:szCs w:val="28"/>
          <w:lang w:val="en-US" w:eastAsia="zh-CN" w:bidi="zh-CN"/>
        </w:rPr>
        <w:t>（1） 截至2024年9月</w:t>
      </w:r>
      <w:r>
        <w:rPr>
          <w:rFonts w:hint="eastAsia" w:cs="仿宋"/>
          <w:sz w:val="28"/>
          <w:szCs w:val="28"/>
          <w:lang w:val="en-US" w:eastAsia="zh-CN" w:bidi="zh-CN"/>
        </w:rPr>
        <w:t>18</w:t>
      </w:r>
      <w:r>
        <w:rPr>
          <w:rFonts w:hint="eastAsia" w:ascii="仿宋" w:hAnsi="仿宋" w:eastAsia="仿宋" w:cs="仿宋"/>
          <w:sz w:val="28"/>
          <w:szCs w:val="28"/>
          <w:lang w:val="en-US" w:eastAsia="zh-CN" w:bidi="zh-CN"/>
        </w:rPr>
        <w:t>日，评估机构已列入四川法院对外委托专业机构电子信息平台库（现行有效）的四川省高级人民法院或各市中级人民法院名单中。</w:t>
      </w:r>
      <w:r>
        <w:rPr>
          <w:color w:val="auto"/>
          <w:sz w:val="28"/>
          <w:szCs w:val="28"/>
          <w:lang w:val="en-US"/>
        </w:rPr>
        <w:t xml:space="preserve"> </w:t>
      </w:r>
    </w:p>
    <w:p w14:paraId="58510128">
      <w:pPr>
        <w:autoSpaceDE/>
        <w:autoSpaceDN/>
        <w:spacing w:line="400" w:lineRule="exact"/>
        <w:ind w:firstLine="560" w:firstLineChars="200"/>
        <w:rPr>
          <w:sz w:val="28"/>
          <w:szCs w:val="28"/>
        </w:rPr>
      </w:pPr>
      <w:r>
        <w:rPr>
          <w:rFonts w:hint="eastAsia"/>
          <w:sz w:val="28"/>
          <w:szCs w:val="28"/>
        </w:rPr>
        <w:t>（</w:t>
      </w:r>
      <w:r>
        <w:rPr>
          <w:sz w:val="28"/>
          <w:szCs w:val="28"/>
          <w:lang w:val="en-US"/>
        </w:rPr>
        <w:t>2</w:t>
      </w:r>
      <w:r>
        <w:rPr>
          <w:rFonts w:hint="eastAsia"/>
          <w:sz w:val="28"/>
          <w:szCs w:val="28"/>
        </w:rPr>
        <w:t>）</w:t>
      </w:r>
      <w:r>
        <w:rPr>
          <w:rFonts w:hint="eastAsia" w:cs="Times New Roman"/>
          <w:sz w:val="28"/>
          <w:szCs w:val="28"/>
          <w:lang w:val="en-US"/>
        </w:rPr>
        <w:t>具备国家行业主管部门颁发的有效执业资格证，具有相应的评估资质；</w:t>
      </w:r>
    </w:p>
    <w:p w14:paraId="59792FCD">
      <w:pPr>
        <w:autoSpaceDE/>
        <w:autoSpaceDN/>
        <w:spacing w:line="400" w:lineRule="exact"/>
        <w:ind w:firstLine="560" w:firstLineChars="200"/>
        <w:rPr>
          <w:bCs/>
          <w:snapToGrid w:val="0"/>
          <w:sz w:val="28"/>
          <w:szCs w:val="28"/>
        </w:rPr>
      </w:pPr>
      <w:r>
        <w:rPr>
          <w:rFonts w:hint="eastAsia"/>
          <w:bCs/>
          <w:snapToGrid w:val="0"/>
          <w:sz w:val="28"/>
          <w:szCs w:val="28"/>
        </w:rPr>
        <w:t>（</w:t>
      </w:r>
      <w:r>
        <w:rPr>
          <w:bCs/>
          <w:snapToGrid w:val="0"/>
          <w:sz w:val="28"/>
          <w:szCs w:val="28"/>
          <w:lang w:val="en-US"/>
        </w:rPr>
        <w:t>3</w:t>
      </w:r>
      <w:r>
        <w:rPr>
          <w:rFonts w:hint="eastAsia"/>
          <w:bCs/>
          <w:snapToGrid w:val="0"/>
          <w:sz w:val="28"/>
          <w:szCs w:val="28"/>
        </w:rPr>
        <w:t>）</w:t>
      </w:r>
      <w:r>
        <w:rPr>
          <w:rFonts w:hint="eastAsia"/>
          <w:sz w:val="28"/>
          <w:szCs w:val="28"/>
        </w:rPr>
        <w:t>评估机构</w:t>
      </w:r>
      <w:r>
        <w:rPr>
          <w:rFonts w:hint="eastAsia"/>
          <w:bCs/>
          <w:snapToGrid w:val="0"/>
          <w:sz w:val="28"/>
          <w:szCs w:val="28"/>
        </w:rPr>
        <w:t>拟派项目负责人同时具备资产评估师、土地估价师、房地产估价师资格</w:t>
      </w:r>
      <w:r>
        <w:rPr>
          <w:rFonts w:hint="eastAsia"/>
          <w:sz w:val="28"/>
          <w:szCs w:val="28"/>
        </w:rPr>
        <w:t>；</w:t>
      </w:r>
    </w:p>
    <w:p w14:paraId="3B6DD047">
      <w:pPr>
        <w:autoSpaceDE/>
        <w:autoSpaceDN/>
        <w:spacing w:line="400" w:lineRule="exact"/>
        <w:ind w:firstLine="560" w:firstLineChars="200"/>
        <w:rPr>
          <w:bCs/>
          <w:snapToGrid w:val="0"/>
          <w:sz w:val="28"/>
          <w:szCs w:val="28"/>
        </w:rPr>
      </w:pPr>
      <w:r>
        <w:rPr>
          <w:rFonts w:hint="eastAsia"/>
          <w:bCs/>
          <w:snapToGrid w:val="0"/>
          <w:sz w:val="28"/>
          <w:szCs w:val="28"/>
        </w:rPr>
        <w:t>（</w:t>
      </w:r>
      <w:r>
        <w:rPr>
          <w:bCs/>
          <w:snapToGrid w:val="0"/>
          <w:sz w:val="28"/>
          <w:szCs w:val="28"/>
          <w:lang w:val="en-US"/>
        </w:rPr>
        <w:t>4</w:t>
      </w:r>
      <w:r>
        <w:rPr>
          <w:rFonts w:hint="eastAsia"/>
          <w:bCs/>
          <w:snapToGrid w:val="0"/>
          <w:sz w:val="28"/>
          <w:szCs w:val="28"/>
        </w:rPr>
        <w:t>）评估机构拥有</w:t>
      </w:r>
      <w:r>
        <w:rPr>
          <w:rFonts w:hint="eastAsia"/>
          <w:bCs/>
          <w:snapToGrid w:val="0"/>
          <w:sz w:val="28"/>
          <w:szCs w:val="28"/>
          <w:lang w:val="en-US"/>
        </w:rPr>
        <w:t>不</w:t>
      </w:r>
      <w:r>
        <w:rPr>
          <w:rFonts w:hint="eastAsia"/>
          <w:bCs/>
          <w:snapToGrid w:val="0"/>
          <w:sz w:val="28"/>
          <w:szCs w:val="28"/>
        </w:rPr>
        <w:t>少</w:t>
      </w:r>
      <w:r>
        <w:rPr>
          <w:rFonts w:hint="eastAsia"/>
          <w:bCs/>
          <w:snapToGrid w:val="0"/>
          <w:sz w:val="28"/>
          <w:szCs w:val="28"/>
          <w:lang w:val="en-US"/>
        </w:rPr>
        <w:t>于</w:t>
      </w:r>
      <w:r>
        <w:rPr>
          <w:bCs/>
          <w:snapToGrid w:val="0"/>
          <w:sz w:val="28"/>
          <w:szCs w:val="28"/>
        </w:rPr>
        <w:t>15名</w:t>
      </w:r>
      <w:r>
        <w:rPr>
          <w:rFonts w:hint="eastAsia"/>
          <w:bCs/>
          <w:snapToGrid w:val="0"/>
          <w:sz w:val="28"/>
          <w:szCs w:val="28"/>
        </w:rPr>
        <w:t>评估师（含资产评估师、土地估价师、房地产估价师）；</w:t>
      </w:r>
    </w:p>
    <w:p w14:paraId="6F3EE485">
      <w:pPr>
        <w:autoSpaceDE/>
        <w:autoSpaceDN/>
        <w:spacing w:line="400" w:lineRule="exact"/>
        <w:ind w:firstLine="560" w:firstLineChars="200"/>
        <w:rPr>
          <w:bCs/>
          <w:snapToGrid w:val="0"/>
          <w:sz w:val="28"/>
          <w:szCs w:val="28"/>
        </w:rPr>
      </w:pPr>
      <w:r>
        <w:rPr>
          <w:rFonts w:hint="eastAsia"/>
          <w:bCs/>
          <w:snapToGrid w:val="0"/>
          <w:sz w:val="28"/>
          <w:szCs w:val="28"/>
        </w:rPr>
        <w:t>（</w:t>
      </w:r>
      <w:r>
        <w:rPr>
          <w:bCs/>
          <w:snapToGrid w:val="0"/>
          <w:sz w:val="28"/>
          <w:szCs w:val="28"/>
          <w:lang w:val="en-US"/>
        </w:rPr>
        <w:t>5</w:t>
      </w:r>
      <w:r>
        <w:rPr>
          <w:rFonts w:hint="eastAsia"/>
          <w:bCs/>
          <w:snapToGrid w:val="0"/>
          <w:sz w:val="28"/>
          <w:szCs w:val="28"/>
        </w:rPr>
        <w:t>）评估机构拟委派的评估团队项目负责人有</w:t>
      </w:r>
      <w:r>
        <w:rPr>
          <w:bCs/>
          <w:snapToGrid w:val="0"/>
          <w:sz w:val="28"/>
          <w:szCs w:val="28"/>
        </w:rPr>
        <w:t>5年以上评估工作经验，以中国资产评估协会查询的累计执业时间为准</w:t>
      </w:r>
      <w:r>
        <w:rPr>
          <w:rFonts w:hint="eastAsia"/>
          <w:bCs/>
          <w:snapToGrid w:val="0"/>
          <w:sz w:val="28"/>
          <w:szCs w:val="28"/>
        </w:rPr>
        <w:t>；</w:t>
      </w:r>
    </w:p>
    <w:p w14:paraId="21EAC98E">
      <w:pPr>
        <w:autoSpaceDE/>
        <w:autoSpaceDN/>
        <w:spacing w:line="400" w:lineRule="exact"/>
        <w:ind w:firstLine="560" w:firstLineChars="200"/>
        <w:rPr>
          <w:bCs/>
          <w:snapToGrid w:val="0"/>
          <w:sz w:val="28"/>
          <w:szCs w:val="28"/>
        </w:rPr>
      </w:pPr>
      <w:r>
        <w:rPr>
          <w:rFonts w:hint="eastAsia"/>
          <w:bCs/>
          <w:snapToGrid w:val="0"/>
          <w:sz w:val="28"/>
          <w:szCs w:val="28"/>
        </w:rPr>
        <w:t>（</w:t>
      </w:r>
      <w:r>
        <w:rPr>
          <w:bCs/>
          <w:snapToGrid w:val="0"/>
          <w:sz w:val="28"/>
          <w:szCs w:val="28"/>
        </w:rPr>
        <w:t>6</w:t>
      </w:r>
      <w:r>
        <w:rPr>
          <w:rFonts w:hint="eastAsia"/>
          <w:bCs/>
          <w:snapToGrid w:val="0"/>
          <w:sz w:val="28"/>
          <w:szCs w:val="28"/>
        </w:rPr>
        <w:t>）</w:t>
      </w:r>
      <w:r>
        <w:rPr>
          <w:rFonts w:hint="eastAsia"/>
          <w:bCs/>
          <w:snapToGrid w:val="0"/>
          <w:sz w:val="28"/>
          <w:szCs w:val="28"/>
          <w:lang w:val="en-US"/>
        </w:rPr>
        <w:t>项目</w:t>
      </w:r>
      <w:r>
        <w:rPr>
          <w:rFonts w:hint="eastAsia"/>
          <w:bCs/>
          <w:snapToGrid w:val="0"/>
          <w:sz w:val="28"/>
          <w:szCs w:val="28"/>
        </w:rPr>
        <w:t>负责人近3年从事过破产案件</w:t>
      </w:r>
      <w:r>
        <w:rPr>
          <w:bCs/>
          <w:snapToGrid w:val="0"/>
          <w:sz w:val="28"/>
          <w:szCs w:val="28"/>
        </w:rPr>
        <w:t>（含破产清算、破产重整）</w:t>
      </w:r>
      <w:r>
        <w:rPr>
          <w:rFonts w:hint="eastAsia"/>
          <w:bCs/>
          <w:snapToGrid w:val="0"/>
          <w:sz w:val="28"/>
          <w:szCs w:val="28"/>
        </w:rPr>
        <w:t>评估工作。</w:t>
      </w:r>
    </w:p>
    <w:p w14:paraId="257EF94C">
      <w:pPr>
        <w:autoSpaceDE/>
        <w:autoSpaceDN/>
        <w:spacing w:line="400" w:lineRule="exact"/>
        <w:ind w:firstLine="560" w:firstLineChars="200"/>
        <w:rPr>
          <w:rFonts w:cs="Times New Roman"/>
          <w:sz w:val="28"/>
          <w:szCs w:val="28"/>
          <w:lang w:val="en-US"/>
        </w:rPr>
      </w:pPr>
      <w:r>
        <w:rPr>
          <w:rFonts w:hint="eastAsia" w:cs="Times New Roman"/>
          <w:sz w:val="28"/>
          <w:szCs w:val="28"/>
          <w:lang w:val="en-US"/>
        </w:rPr>
        <w:t>2.评估机构、评估团队负责人及团队成员近3年无违法、违规行为，无行业处分、惩戒等不良记录，且不存在以下利益冲突情形：</w:t>
      </w:r>
    </w:p>
    <w:p w14:paraId="1B2A9C07">
      <w:pPr>
        <w:numPr>
          <w:ilvl w:val="0"/>
          <w:numId w:val="1"/>
        </w:numPr>
        <w:autoSpaceDE/>
        <w:autoSpaceDN/>
        <w:spacing w:line="400" w:lineRule="exact"/>
        <w:ind w:firstLine="560" w:firstLineChars="200"/>
        <w:rPr>
          <w:bCs/>
          <w:snapToGrid w:val="0"/>
          <w:sz w:val="28"/>
          <w:szCs w:val="28"/>
          <w:lang w:val="en-US"/>
        </w:rPr>
      </w:pPr>
      <w:r>
        <w:rPr>
          <w:rFonts w:hint="eastAsia"/>
          <w:bCs/>
          <w:snapToGrid w:val="0"/>
          <w:sz w:val="28"/>
          <w:szCs w:val="28"/>
          <w:lang w:val="en-US"/>
        </w:rPr>
        <w:t>与融仕达公司有未了结的债权债务关系；</w:t>
      </w:r>
    </w:p>
    <w:p w14:paraId="1842EF12">
      <w:pPr>
        <w:numPr>
          <w:ilvl w:val="0"/>
          <w:numId w:val="1"/>
        </w:numPr>
        <w:autoSpaceDE/>
        <w:autoSpaceDN/>
        <w:spacing w:line="400" w:lineRule="exact"/>
        <w:ind w:firstLine="560" w:firstLineChars="200"/>
        <w:rPr>
          <w:bCs/>
          <w:snapToGrid w:val="0"/>
          <w:sz w:val="28"/>
          <w:szCs w:val="28"/>
          <w:lang w:val="en-US"/>
        </w:rPr>
      </w:pPr>
      <w:r>
        <w:rPr>
          <w:rFonts w:hint="eastAsia"/>
          <w:bCs/>
          <w:snapToGrid w:val="0"/>
          <w:sz w:val="28"/>
          <w:szCs w:val="28"/>
          <w:lang w:val="en-US"/>
        </w:rPr>
        <w:t>在人民法院受理破产申请前三年内，曾为融仕达公司提供相对固定的评估等中介服务；</w:t>
      </w:r>
    </w:p>
    <w:p w14:paraId="41B14F46">
      <w:pPr>
        <w:numPr>
          <w:ilvl w:val="0"/>
          <w:numId w:val="1"/>
        </w:numPr>
        <w:autoSpaceDE/>
        <w:autoSpaceDN/>
        <w:spacing w:line="400" w:lineRule="exact"/>
        <w:ind w:firstLine="560" w:firstLineChars="200"/>
        <w:rPr>
          <w:bCs/>
          <w:snapToGrid w:val="0"/>
          <w:sz w:val="28"/>
          <w:szCs w:val="28"/>
          <w:lang w:val="en-US"/>
        </w:rPr>
      </w:pPr>
      <w:r>
        <w:rPr>
          <w:rFonts w:hint="eastAsia"/>
          <w:bCs/>
          <w:snapToGrid w:val="0"/>
          <w:sz w:val="28"/>
          <w:szCs w:val="28"/>
          <w:lang w:val="en-US"/>
        </w:rPr>
        <w:t>可能影响中介机构履行职责的其他情形。</w:t>
      </w:r>
    </w:p>
    <w:p w14:paraId="6EA21109">
      <w:pPr>
        <w:pStyle w:val="6"/>
        <w:spacing w:before="1"/>
        <w:ind w:right="-53" w:rightChars="-24" w:firstLine="560" w:firstLineChars="200"/>
        <w:rPr>
          <w:rFonts w:ascii="黑体" w:eastAsia="黑体"/>
          <w:sz w:val="28"/>
          <w:szCs w:val="28"/>
        </w:rPr>
      </w:pPr>
      <w:r>
        <w:rPr>
          <w:rFonts w:hint="eastAsia" w:ascii="黑体" w:eastAsia="黑体"/>
          <w:sz w:val="28"/>
          <w:szCs w:val="28"/>
          <w:lang w:val="en-US"/>
        </w:rPr>
        <w:t>三</w:t>
      </w:r>
      <w:r>
        <w:rPr>
          <w:rFonts w:hint="eastAsia" w:ascii="黑体" w:eastAsia="黑体"/>
          <w:sz w:val="28"/>
          <w:szCs w:val="28"/>
        </w:rPr>
        <w:t>、比选程序</w:t>
      </w:r>
    </w:p>
    <w:p w14:paraId="2443467C">
      <w:pPr>
        <w:pStyle w:val="13"/>
        <w:tabs>
          <w:tab w:val="left" w:pos="1660"/>
        </w:tabs>
        <w:spacing w:before="160"/>
        <w:ind w:left="0" w:right="-53" w:rightChars="-24" w:firstLine="572" w:firstLineChars="200"/>
        <w:rPr>
          <w:rFonts w:ascii="楷体" w:eastAsia="楷体"/>
          <w:sz w:val="28"/>
          <w:szCs w:val="28"/>
        </w:rPr>
      </w:pPr>
      <w:r>
        <w:rPr>
          <w:rFonts w:hint="eastAsia" w:ascii="楷体" w:eastAsia="楷体"/>
          <w:spacing w:val="3"/>
          <w:sz w:val="28"/>
          <w:szCs w:val="28"/>
          <w:lang w:val="en-US"/>
        </w:rPr>
        <w:t>1.</w:t>
      </w:r>
      <w:r>
        <w:rPr>
          <w:rFonts w:hint="eastAsia" w:ascii="楷体" w:eastAsia="楷体"/>
          <w:spacing w:val="3"/>
          <w:sz w:val="28"/>
          <w:szCs w:val="28"/>
        </w:rPr>
        <w:t>意向机构提出申请</w:t>
      </w:r>
    </w:p>
    <w:p w14:paraId="53A3475A">
      <w:pPr>
        <w:pStyle w:val="6"/>
        <w:spacing w:before="164" w:line="338" w:lineRule="auto"/>
        <w:ind w:right="-53" w:rightChars="-24" w:firstLine="560" w:firstLineChars="200"/>
        <w:rPr>
          <w:sz w:val="28"/>
          <w:szCs w:val="28"/>
          <w:lang w:val="en-US"/>
        </w:rPr>
      </w:pPr>
      <w:r>
        <w:rPr>
          <w:sz w:val="28"/>
          <w:szCs w:val="28"/>
        </w:rPr>
        <w:t>本次比选先由意向机构向管理人提出参选申请，并按照比选文件的要求提交比选申请文件。</w:t>
      </w:r>
      <w:r>
        <w:rPr>
          <w:rFonts w:hint="eastAsia"/>
          <w:sz w:val="28"/>
          <w:szCs w:val="28"/>
          <w:lang w:val="en-US"/>
        </w:rPr>
        <w:t>并于2024年</w:t>
      </w:r>
      <w:r>
        <w:rPr>
          <w:rFonts w:hint="eastAsia"/>
          <w:color w:val="FF0000"/>
          <w:sz w:val="28"/>
          <w:szCs w:val="28"/>
          <w:lang w:val="en-US"/>
        </w:rPr>
        <w:t>10月</w:t>
      </w:r>
      <w:r>
        <w:rPr>
          <w:rFonts w:hint="eastAsia"/>
          <w:color w:val="FF0000"/>
          <w:sz w:val="28"/>
          <w:szCs w:val="28"/>
          <w:lang w:val="en-US" w:eastAsia="zh-CN"/>
        </w:rPr>
        <w:t>15</w:t>
      </w:r>
      <w:r>
        <w:rPr>
          <w:rFonts w:hint="eastAsia"/>
          <w:color w:val="FF0000"/>
          <w:sz w:val="28"/>
          <w:szCs w:val="28"/>
          <w:lang w:val="en-US"/>
        </w:rPr>
        <w:t>日</w:t>
      </w:r>
      <w:r>
        <w:rPr>
          <w:rFonts w:hint="eastAsia"/>
          <w:sz w:val="28"/>
          <w:szCs w:val="28"/>
          <w:lang w:val="en-US"/>
        </w:rPr>
        <w:t>18:00时前，向管理人邮箱：54889526@qq.com发送参选文件。</w:t>
      </w:r>
    </w:p>
    <w:p w14:paraId="0A3B2A89">
      <w:pPr>
        <w:pStyle w:val="13"/>
        <w:tabs>
          <w:tab w:val="left" w:pos="1660"/>
        </w:tabs>
        <w:spacing w:before="0" w:line="396" w:lineRule="exact"/>
        <w:ind w:left="0" w:right="-53" w:rightChars="-24" w:firstLine="572" w:firstLineChars="200"/>
        <w:rPr>
          <w:rFonts w:ascii="楷体" w:eastAsia="楷体"/>
          <w:sz w:val="28"/>
          <w:szCs w:val="28"/>
        </w:rPr>
      </w:pPr>
      <w:r>
        <w:rPr>
          <w:rFonts w:hint="eastAsia" w:ascii="楷体" w:eastAsia="楷体"/>
          <w:spacing w:val="3"/>
          <w:sz w:val="28"/>
          <w:szCs w:val="28"/>
          <w:lang w:val="en-US"/>
        </w:rPr>
        <w:t>2.</w:t>
      </w:r>
      <w:r>
        <w:rPr>
          <w:rFonts w:hint="eastAsia" w:ascii="楷体" w:eastAsia="楷体"/>
          <w:spacing w:val="3"/>
          <w:sz w:val="28"/>
          <w:szCs w:val="28"/>
        </w:rPr>
        <w:t>管理人</w:t>
      </w:r>
      <w:r>
        <w:rPr>
          <w:rFonts w:hint="eastAsia" w:ascii="楷体" w:eastAsia="楷体"/>
          <w:spacing w:val="3"/>
          <w:sz w:val="28"/>
          <w:szCs w:val="28"/>
          <w:lang w:val="en-US"/>
        </w:rPr>
        <w:t>初步</w:t>
      </w:r>
      <w:r>
        <w:rPr>
          <w:rFonts w:hint="eastAsia" w:ascii="楷体" w:eastAsia="楷体"/>
          <w:spacing w:val="3"/>
          <w:sz w:val="28"/>
          <w:szCs w:val="28"/>
        </w:rPr>
        <w:t>审查</w:t>
      </w:r>
    </w:p>
    <w:p w14:paraId="21781397">
      <w:pPr>
        <w:pStyle w:val="6"/>
        <w:spacing w:before="164" w:line="338" w:lineRule="auto"/>
        <w:ind w:right="-53" w:rightChars="-24" w:firstLine="560" w:firstLineChars="200"/>
        <w:jc w:val="both"/>
        <w:rPr>
          <w:sz w:val="28"/>
          <w:szCs w:val="28"/>
        </w:rPr>
      </w:pPr>
      <w:r>
        <w:rPr>
          <w:rFonts w:hint="eastAsia"/>
          <w:sz w:val="28"/>
          <w:szCs w:val="28"/>
          <w:lang w:val="en-US"/>
        </w:rPr>
        <w:t>管理人将根据各申报机构提交的申报材料，对申报单位的公司资质、业绩能力、工作方案可行性、报价金额等进行综合评分后确定顺位，依顺位通知得分最高的前3</w:t>
      </w:r>
      <w:r>
        <w:rPr>
          <w:rFonts w:hint="eastAsia"/>
          <w:sz w:val="28"/>
          <w:szCs w:val="28"/>
          <w:lang w:val="en-US" w:eastAsia="zh-CN"/>
        </w:rPr>
        <w:t>-5</w:t>
      </w:r>
      <w:r>
        <w:rPr>
          <w:rFonts w:hint="eastAsia"/>
          <w:sz w:val="28"/>
          <w:szCs w:val="28"/>
          <w:lang w:val="en-US"/>
        </w:rPr>
        <w:t>名申报机构参与书面评选，对于已报名但未被选中的机构将不再另行通知。</w:t>
      </w:r>
    </w:p>
    <w:p w14:paraId="087D3DE5">
      <w:pPr>
        <w:autoSpaceDE/>
        <w:autoSpaceDN/>
        <w:spacing w:line="400" w:lineRule="exact"/>
        <w:ind w:left="440" w:leftChars="200" w:firstLine="281" w:firstLineChars="100"/>
        <w:rPr>
          <w:rFonts w:cs="Times New Roman"/>
          <w:b/>
          <w:bCs/>
          <w:sz w:val="28"/>
          <w:szCs w:val="28"/>
          <w:lang w:val="en-US"/>
        </w:rPr>
      </w:pPr>
      <w:r>
        <w:rPr>
          <w:rFonts w:hint="eastAsia" w:cs="Times New Roman"/>
          <w:b/>
          <w:bCs/>
          <w:sz w:val="28"/>
          <w:szCs w:val="28"/>
          <w:lang w:val="en-US"/>
        </w:rPr>
        <w:t>3.评选流程</w:t>
      </w:r>
    </w:p>
    <w:p w14:paraId="03EE5DA9">
      <w:pPr>
        <w:autoSpaceDE/>
        <w:autoSpaceDN/>
        <w:spacing w:line="400" w:lineRule="exact"/>
        <w:ind w:firstLine="560" w:firstLineChars="200"/>
        <w:rPr>
          <w:sz w:val="28"/>
          <w:szCs w:val="28"/>
          <w:lang w:val="en-US"/>
        </w:rPr>
      </w:pPr>
      <w:r>
        <w:rPr>
          <w:rFonts w:hint="eastAsia"/>
          <w:sz w:val="28"/>
          <w:szCs w:val="28"/>
          <w:lang w:val="en-US"/>
        </w:rPr>
        <w:t>管理人评选流程如下：</w:t>
      </w:r>
    </w:p>
    <w:p w14:paraId="740DF334">
      <w:pPr>
        <w:numPr>
          <w:ilvl w:val="0"/>
          <w:numId w:val="2"/>
        </w:numPr>
        <w:adjustRightInd w:val="0"/>
        <w:spacing w:line="400" w:lineRule="exact"/>
        <w:ind w:firstLine="560" w:firstLineChars="200"/>
        <w:rPr>
          <w:sz w:val="28"/>
          <w:szCs w:val="28"/>
          <w:lang w:val="en-US"/>
        </w:rPr>
      </w:pPr>
      <w:r>
        <w:rPr>
          <w:rFonts w:hint="eastAsia"/>
          <w:sz w:val="28"/>
          <w:szCs w:val="28"/>
          <w:lang w:val="en-US"/>
        </w:rPr>
        <w:t>评定参选单位是否符合资格条件；对符合资格条件的，根据评选表进行评分，得分最高的机构中选；</w:t>
      </w:r>
    </w:p>
    <w:p w14:paraId="1EC7F14C">
      <w:pPr>
        <w:numPr>
          <w:ilvl w:val="0"/>
          <w:numId w:val="2"/>
        </w:numPr>
        <w:adjustRightInd w:val="0"/>
        <w:spacing w:line="400" w:lineRule="exact"/>
        <w:ind w:firstLine="560" w:firstLineChars="200"/>
        <w:rPr>
          <w:sz w:val="28"/>
          <w:szCs w:val="28"/>
          <w:lang w:val="en-US"/>
        </w:rPr>
      </w:pPr>
      <w:r>
        <w:rPr>
          <w:rFonts w:hint="eastAsia"/>
          <w:sz w:val="28"/>
          <w:szCs w:val="28"/>
          <w:lang w:val="en-US"/>
        </w:rPr>
        <w:t>分数相同的，报价最低者中选。</w:t>
      </w:r>
    </w:p>
    <w:p w14:paraId="442B07FC">
      <w:pPr>
        <w:autoSpaceDE/>
        <w:autoSpaceDN/>
        <w:spacing w:line="400" w:lineRule="exact"/>
        <w:ind w:left="440" w:leftChars="200" w:firstLine="280" w:firstLineChars="100"/>
        <w:rPr>
          <w:sz w:val="28"/>
          <w:szCs w:val="28"/>
          <w:lang w:val="en-US"/>
        </w:rPr>
      </w:pPr>
      <w:r>
        <w:rPr>
          <w:rFonts w:hint="eastAsia"/>
          <w:sz w:val="28"/>
          <w:szCs w:val="28"/>
          <w:lang w:val="en-US"/>
        </w:rPr>
        <w:t>4.确定中选机构和签订协议</w:t>
      </w:r>
    </w:p>
    <w:p w14:paraId="724655C0">
      <w:pPr>
        <w:autoSpaceDE/>
        <w:autoSpaceDN/>
        <w:spacing w:line="400" w:lineRule="exact"/>
        <w:ind w:firstLine="560" w:firstLineChars="200"/>
        <w:rPr>
          <w:sz w:val="28"/>
          <w:szCs w:val="28"/>
          <w:lang w:val="en-US"/>
        </w:rPr>
      </w:pPr>
      <w:r>
        <w:rPr>
          <w:rFonts w:hint="eastAsia"/>
          <w:sz w:val="28"/>
          <w:szCs w:val="28"/>
          <w:lang w:val="en-US"/>
        </w:rPr>
        <w:t>管理人将在3日内完成评选，确定中选机构后报告法院并发出《中选通知书》。中选机构应在管理人通知后立即派员进场工作。</w:t>
      </w:r>
    </w:p>
    <w:p w14:paraId="5CB2A3C3">
      <w:pPr>
        <w:pStyle w:val="6"/>
        <w:spacing w:before="165" w:line="500" w:lineRule="exact"/>
        <w:ind w:right="-53" w:rightChars="-24" w:firstLine="560" w:firstLineChars="200"/>
        <w:rPr>
          <w:rFonts w:ascii="黑体" w:eastAsia="黑体"/>
          <w:sz w:val="28"/>
          <w:szCs w:val="28"/>
        </w:rPr>
      </w:pPr>
      <w:r>
        <w:rPr>
          <w:rFonts w:hint="eastAsia" w:ascii="黑体" w:eastAsia="黑体"/>
          <w:sz w:val="28"/>
          <w:szCs w:val="28"/>
          <w:lang w:val="en-US"/>
        </w:rPr>
        <w:t>四</w:t>
      </w:r>
      <w:r>
        <w:rPr>
          <w:rFonts w:hint="eastAsia" w:ascii="黑体" w:eastAsia="黑体"/>
          <w:sz w:val="28"/>
          <w:szCs w:val="28"/>
        </w:rPr>
        <w:t>、服务范围及工作要求</w:t>
      </w:r>
    </w:p>
    <w:p w14:paraId="2186D636">
      <w:pPr>
        <w:pStyle w:val="6"/>
        <w:spacing w:before="165" w:line="500" w:lineRule="exact"/>
        <w:ind w:right="-53" w:rightChars="-24" w:firstLine="560" w:firstLineChars="200"/>
        <w:rPr>
          <w:sz w:val="28"/>
          <w:szCs w:val="28"/>
          <w:lang w:val="en-US"/>
        </w:rPr>
      </w:pPr>
      <w:r>
        <w:rPr>
          <w:rFonts w:hint="eastAsia"/>
          <w:sz w:val="28"/>
          <w:szCs w:val="28"/>
          <w:lang w:val="en-US"/>
        </w:rPr>
        <w:t>中选机构为以下资产提供评估服务并出具评估报告：</w:t>
      </w:r>
    </w:p>
    <w:p w14:paraId="0721EAB7">
      <w:pPr>
        <w:pStyle w:val="6"/>
        <w:numPr>
          <w:ilvl w:val="0"/>
          <w:numId w:val="3"/>
        </w:numPr>
        <w:spacing w:before="165" w:line="500" w:lineRule="exact"/>
        <w:ind w:right="-53" w:rightChars="-24" w:firstLine="560" w:firstLineChars="200"/>
        <w:rPr>
          <w:rFonts w:cs="Times New Roman"/>
          <w:sz w:val="28"/>
          <w:szCs w:val="28"/>
          <w:lang w:val="en-US"/>
        </w:rPr>
      </w:pPr>
      <w:r>
        <w:rPr>
          <w:rFonts w:hint="eastAsia" w:cs="Times New Roman"/>
          <w:sz w:val="28"/>
          <w:szCs w:val="28"/>
          <w:lang w:val="en-US"/>
        </w:rPr>
        <w:t>对融仕达公司名下所有资产（包括但不限于土地、房产、货币资金、应收账款、预付款项、其他应收账款、存货、固定资产、无形资产及账外资产等）的价值进行评估，出具清算评估报告（即在评估范围内各类资产快速变现情形下，按照各项资产的合理变现率，计算破产资产清算价值）</w:t>
      </w:r>
    </w:p>
    <w:p w14:paraId="756AA877">
      <w:pPr>
        <w:pStyle w:val="6"/>
        <w:spacing w:before="165" w:line="500" w:lineRule="exact"/>
        <w:ind w:right="-53" w:rightChars="-24" w:firstLine="560" w:firstLineChars="200"/>
        <w:rPr>
          <w:sz w:val="28"/>
          <w:szCs w:val="28"/>
          <w:lang w:val="en-US"/>
        </w:rPr>
      </w:pPr>
      <w:r>
        <w:rPr>
          <w:rFonts w:hint="eastAsia"/>
          <w:sz w:val="28"/>
          <w:szCs w:val="28"/>
          <w:lang w:val="en-US"/>
        </w:rPr>
        <w:t>2、位于四川省峨眉山市胜利街道名山路东段71号融仕达公司装修工程及债务人应收账款等；</w:t>
      </w:r>
    </w:p>
    <w:p w14:paraId="61B9B09E">
      <w:pPr>
        <w:pStyle w:val="6"/>
        <w:spacing w:before="165" w:line="500" w:lineRule="exact"/>
        <w:ind w:right="-53" w:rightChars="-24" w:firstLine="560" w:firstLineChars="200"/>
        <w:rPr>
          <w:sz w:val="28"/>
          <w:szCs w:val="28"/>
          <w:lang w:val="en-US"/>
        </w:rPr>
      </w:pPr>
      <w:r>
        <w:rPr>
          <w:rFonts w:hint="eastAsia"/>
          <w:sz w:val="28"/>
          <w:szCs w:val="28"/>
          <w:lang w:val="en-US"/>
        </w:rPr>
        <w:t>3、根据债务人财产变价需要，管理人要求进行评估的其他资产。</w:t>
      </w:r>
    </w:p>
    <w:p w14:paraId="43DD4BE9">
      <w:pPr>
        <w:pStyle w:val="6"/>
        <w:spacing w:before="165" w:line="500" w:lineRule="exact"/>
        <w:ind w:right="-53" w:rightChars="-24" w:firstLine="560" w:firstLineChars="200"/>
        <w:rPr>
          <w:sz w:val="28"/>
          <w:szCs w:val="28"/>
          <w:lang w:val="en-US"/>
        </w:rPr>
      </w:pPr>
      <w:r>
        <w:rPr>
          <w:rFonts w:hint="eastAsia"/>
          <w:sz w:val="28"/>
          <w:szCs w:val="28"/>
          <w:lang w:val="en-US"/>
        </w:rPr>
        <w:t>中选机构为上述资产提供评估服务按照中选价格收取服务费用，不得再另行主张其他费用。</w:t>
      </w:r>
    </w:p>
    <w:p w14:paraId="388489AB">
      <w:pPr>
        <w:numPr>
          <w:ilvl w:val="255"/>
          <w:numId w:val="0"/>
        </w:numPr>
        <w:adjustRightInd w:val="0"/>
        <w:spacing w:line="400" w:lineRule="exact"/>
        <w:ind w:firstLine="562" w:firstLineChars="200"/>
        <w:rPr>
          <w:b/>
          <w:sz w:val="28"/>
          <w:szCs w:val="28"/>
        </w:rPr>
      </w:pPr>
      <w:r>
        <w:rPr>
          <w:rFonts w:hint="eastAsia"/>
          <w:b/>
          <w:sz w:val="28"/>
          <w:szCs w:val="28"/>
        </w:rPr>
        <w:t>特别注意：</w:t>
      </w:r>
    </w:p>
    <w:p w14:paraId="0C5EBF95">
      <w:pPr>
        <w:numPr>
          <w:ilvl w:val="0"/>
          <w:numId w:val="4"/>
        </w:numPr>
        <w:adjustRightInd w:val="0"/>
        <w:spacing w:line="400" w:lineRule="exact"/>
        <w:ind w:firstLine="562" w:firstLineChars="200"/>
        <w:rPr>
          <w:rFonts w:cs="Times New Roman"/>
          <w:b/>
          <w:bCs/>
          <w:sz w:val="28"/>
          <w:szCs w:val="28"/>
          <w:lang w:val="en-US"/>
        </w:rPr>
      </w:pPr>
      <w:r>
        <w:rPr>
          <w:rFonts w:hint="eastAsia" w:cs="Times New Roman"/>
          <w:b/>
          <w:bCs/>
          <w:sz w:val="28"/>
          <w:szCs w:val="28"/>
          <w:lang w:val="en-US"/>
        </w:rPr>
        <w:t>融仕达公司破产程序终结前，评估报告已届有效期的，根据管理人或人民法院的要求另行确定基准日，出具上述报告（如需）</w:t>
      </w:r>
      <w:r>
        <w:rPr>
          <w:rFonts w:cs="Times New Roman"/>
          <w:b/>
          <w:bCs/>
          <w:sz w:val="28"/>
          <w:szCs w:val="28"/>
        </w:rPr>
        <w:t>；</w:t>
      </w:r>
      <w:r>
        <w:rPr>
          <w:rFonts w:hint="eastAsia" w:cs="Times New Roman"/>
          <w:b/>
          <w:bCs/>
          <w:sz w:val="28"/>
          <w:szCs w:val="28"/>
          <w:lang w:val="en-US"/>
        </w:rPr>
        <w:t xml:space="preserve">    </w:t>
      </w:r>
    </w:p>
    <w:p w14:paraId="5B029C80">
      <w:pPr>
        <w:adjustRightInd w:val="0"/>
        <w:spacing w:line="400" w:lineRule="exact"/>
        <w:ind w:firstLine="562" w:firstLineChars="200"/>
        <w:rPr>
          <w:rFonts w:cs="Times New Roman"/>
          <w:b/>
          <w:bCs/>
          <w:sz w:val="28"/>
          <w:szCs w:val="28"/>
          <w:lang w:val="en-US"/>
        </w:rPr>
      </w:pPr>
      <w:r>
        <w:rPr>
          <w:rFonts w:hint="eastAsia" w:cs="Times New Roman"/>
          <w:b/>
          <w:bCs/>
          <w:sz w:val="28"/>
          <w:szCs w:val="28"/>
        </w:rPr>
        <w:t>（</w:t>
      </w:r>
      <w:r>
        <w:rPr>
          <w:rFonts w:hint="eastAsia" w:cs="Times New Roman"/>
          <w:b/>
          <w:bCs/>
          <w:sz w:val="28"/>
          <w:szCs w:val="28"/>
          <w:lang w:val="en-US"/>
        </w:rPr>
        <w:t>2）融仕达公司破产程序终结后，管理人新发现的融仕达公司的财产，根据管理人或人民法院的要求确定基准日，出具专项评估报告。</w:t>
      </w:r>
    </w:p>
    <w:p w14:paraId="11D06525">
      <w:pPr>
        <w:pStyle w:val="6"/>
        <w:spacing w:before="165" w:line="500" w:lineRule="exact"/>
        <w:ind w:right="-53" w:rightChars="-24" w:firstLine="560" w:firstLineChars="200"/>
        <w:rPr>
          <w:rFonts w:ascii="黑体" w:eastAsia="黑体"/>
          <w:sz w:val="28"/>
          <w:szCs w:val="28"/>
          <w:lang w:val="en-US"/>
        </w:rPr>
      </w:pPr>
      <w:r>
        <w:rPr>
          <w:rFonts w:hint="eastAsia" w:ascii="黑体" w:eastAsia="黑体"/>
          <w:sz w:val="28"/>
          <w:szCs w:val="28"/>
          <w:lang w:val="en-US"/>
        </w:rPr>
        <w:t>五、参选文件</w:t>
      </w:r>
    </w:p>
    <w:p w14:paraId="3693F4A6">
      <w:pPr>
        <w:autoSpaceDE/>
        <w:autoSpaceDN/>
        <w:spacing w:line="400" w:lineRule="exact"/>
        <w:ind w:firstLine="560" w:firstLineChars="200"/>
        <w:rPr>
          <w:sz w:val="28"/>
          <w:szCs w:val="28"/>
          <w:lang w:val="en-US"/>
        </w:rPr>
      </w:pPr>
      <w:r>
        <w:rPr>
          <w:rFonts w:hint="eastAsia"/>
          <w:sz w:val="28"/>
          <w:szCs w:val="28"/>
          <w:lang w:val="en-US"/>
        </w:rPr>
        <w:t>参选机构应提交的报名参与遴选材料，包括：</w:t>
      </w:r>
    </w:p>
    <w:p w14:paraId="459C5C37">
      <w:pPr>
        <w:autoSpaceDE/>
        <w:autoSpaceDN/>
        <w:spacing w:line="400" w:lineRule="exact"/>
        <w:ind w:firstLine="560" w:firstLineChars="200"/>
        <w:rPr>
          <w:sz w:val="28"/>
          <w:szCs w:val="28"/>
          <w:lang w:val="en-US"/>
        </w:rPr>
      </w:pPr>
      <w:r>
        <w:rPr>
          <w:rFonts w:hint="eastAsia"/>
          <w:sz w:val="28"/>
          <w:szCs w:val="28"/>
          <w:lang w:val="en-US"/>
        </w:rPr>
        <w:t>1.参加评估工作的意向书（自行撰写）；</w:t>
      </w:r>
    </w:p>
    <w:p w14:paraId="65A2D43E">
      <w:pPr>
        <w:autoSpaceDE/>
        <w:autoSpaceDN/>
        <w:spacing w:line="400" w:lineRule="exact"/>
        <w:ind w:firstLine="560" w:firstLineChars="200"/>
        <w:rPr>
          <w:sz w:val="28"/>
          <w:szCs w:val="28"/>
          <w:lang w:val="en-US"/>
        </w:rPr>
      </w:pPr>
      <w:r>
        <w:rPr>
          <w:rFonts w:hint="eastAsia"/>
          <w:sz w:val="28"/>
          <w:szCs w:val="28"/>
          <w:lang w:val="en-US"/>
        </w:rPr>
        <w:t>2.参选主体情况介绍（主体设立与历史沿革、规模等基本情况、财务状况、业务业绩情况、破产项目服务案例经验等）；</w:t>
      </w:r>
    </w:p>
    <w:p w14:paraId="08C7E7DA">
      <w:pPr>
        <w:autoSpaceDE/>
        <w:autoSpaceDN/>
        <w:spacing w:line="400" w:lineRule="exact"/>
        <w:ind w:firstLine="560" w:firstLineChars="200"/>
        <w:rPr>
          <w:sz w:val="28"/>
          <w:szCs w:val="28"/>
          <w:lang w:val="en-US"/>
        </w:rPr>
      </w:pPr>
      <w:r>
        <w:rPr>
          <w:rFonts w:hint="eastAsia"/>
          <w:sz w:val="28"/>
          <w:szCs w:val="28"/>
          <w:lang w:val="en-US"/>
        </w:rPr>
        <w:t>3.参选工作方案</w:t>
      </w:r>
    </w:p>
    <w:p w14:paraId="68407469">
      <w:pPr>
        <w:numPr>
          <w:ilvl w:val="0"/>
          <w:numId w:val="5"/>
        </w:numPr>
        <w:autoSpaceDE/>
        <w:autoSpaceDN/>
        <w:spacing w:line="400" w:lineRule="exact"/>
        <w:ind w:left="440" w:leftChars="200"/>
        <w:rPr>
          <w:sz w:val="28"/>
          <w:szCs w:val="28"/>
          <w:lang w:val="en-US"/>
        </w:rPr>
      </w:pPr>
      <w:r>
        <w:rPr>
          <w:rFonts w:hint="eastAsia"/>
          <w:sz w:val="28"/>
          <w:szCs w:val="28"/>
          <w:lang w:val="en-US"/>
        </w:rPr>
        <w:t>对项目的理解；</w:t>
      </w:r>
    </w:p>
    <w:p w14:paraId="6242EEC7">
      <w:pPr>
        <w:numPr>
          <w:ilvl w:val="0"/>
          <w:numId w:val="5"/>
        </w:numPr>
        <w:autoSpaceDE/>
        <w:autoSpaceDN/>
        <w:spacing w:line="400" w:lineRule="exact"/>
        <w:ind w:left="440" w:leftChars="200"/>
        <w:rPr>
          <w:sz w:val="28"/>
          <w:szCs w:val="28"/>
          <w:lang w:val="en-US"/>
        </w:rPr>
      </w:pPr>
      <w:r>
        <w:rPr>
          <w:rFonts w:hint="eastAsia"/>
          <w:sz w:val="28"/>
          <w:szCs w:val="28"/>
          <w:lang w:val="en-US"/>
        </w:rPr>
        <w:t>对工作内容、承诺事项的响应；</w:t>
      </w:r>
    </w:p>
    <w:p w14:paraId="6EAB697F">
      <w:pPr>
        <w:numPr>
          <w:ilvl w:val="0"/>
          <w:numId w:val="5"/>
        </w:numPr>
        <w:autoSpaceDE/>
        <w:autoSpaceDN/>
        <w:spacing w:line="400" w:lineRule="exact"/>
        <w:ind w:left="440" w:leftChars="200"/>
        <w:rPr>
          <w:sz w:val="28"/>
          <w:szCs w:val="28"/>
          <w:lang w:val="en-US"/>
        </w:rPr>
      </w:pPr>
      <w:r>
        <w:rPr>
          <w:rFonts w:hint="eastAsia"/>
          <w:sz w:val="28"/>
          <w:szCs w:val="28"/>
          <w:lang w:val="en-US"/>
        </w:rPr>
        <w:t>对报告出具时间的响应；</w:t>
      </w:r>
    </w:p>
    <w:p w14:paraId="1DA0E8BB">
      <w:pPr>
        <w:numPr>
          <w:ilvl w:val="0"/>
          <w:numId w:val="5"/>
        </w:numPr>
        <w:autoSpaceDE/>
        <w:autoSpaceDN/>
        <w:spacing w:line="400" w:lineRule="exact"/>
        <w:ind w:left="440" w:leftChars="200"/>
        <w:rPr>
          <w:sz w:val="28"/>
          <w:szCs w:val="28"/>
          <w:lang w:val="en-US"/>
        </w:rPr>
      </w:pPr>
      <w:r>
        <w:rPr>
          <w:rFonts w:hint="eastAsia"/>
          <w:sz w:val="28"/>
          <w:szCs w:val="28"/>
          <w:lang w:val="en-US"/>
        </w:rPr>
        <w:t>派驻团队简要介绍：负责人及执业业绩、成员执业情况等；</w:t>
      </w:r>
    </w:p>
    <w:p w14:paraId="0E318CA5">
      <w:pPr>
        <w:autoSpaceDE/>
        <w:autoSpaceDN/>
        <w:spacing w:line="400" w:lineRule="exact"/>
        <w:ind w:firstLine="560" w:firstLineChars="200"/>
        <w:rPr>
          <w:sz w:val="28"/>
          <w:szCs w:val="28"/>
          <w:lang w:val="en-US"/>
        </w:rPr>
      </w:pPr>
      <w:r>
        <w:rPr>
          <w:rFonts w:hint="eastAsia"/>
          <w:sz w:val="28"/>
          <w:szCs w:val="28"/>
          <w:lang w:val="en-US"/>
        </w:rPr>
        <w:t>4.项目报价。</w:t>
      </w:r>
    </w:p>
    <w:p w14:paraId="11460940">
      <w:pPr>
        <w:autoSpaceDE/>
        <w:autoSpaceDN/>
        <w:spacing w:line="400" w:lineRule="exact"/>
        <w:ind w:firstLine="560" w:firstLineChars="200"/>
        <w:rPr>
          <w:sz w:val="28"/>
          <w:szCs w:val="28"/>
          <w:lang w:val="en-US"/>
        </w:rPr>
      </w:pPr>
      <w:r>
        <w:rPr>
          <w:sz w:val="28"/>
          <w:szCs w:val="28"/>
          <w:lang w:val="en-US"/>
        </w:rPr>
        <w:t>（1）报价需为一次性包干费用(含税价)，工作过程中所发生的一切相关费用均由中介机构自行承担。</w:t>
      </w:r>
    </w:p>
    <w:p w14:paraId="72DD0B09">
      <w:pPr>
        <w:autoSpaceDE/>
        <w:autoSpaceDN/>
        <w:spacing w:line="400" w:lineRule="exact"/>
        <w:ind w:firstLine="560" w:firstLineChars="200"/>
        <w:rPr>
          <w:sz w:val="28"/>
          <w:szCs w:val="28"/>
          <w:lang w:val="en-US"/>
        </w:rPr>
      </w:pPr>
      <w:r>
        <w:rPr>
          <w:sz w:val="28"/>
          <w:szCs w:val="28"/>
          <w:lang w:val="en-US"/>
        </w:rPr>
        <w:t>（2）费用的支付:无预付款项，该费用纳入破产费用，</w:t>
      </w:r>
      <w:r>
        <w:rPr>
          <w:rFonts w:hint="eastAsia"/>
          <w:sz w:val="28"/>
          <w:szCs w:val="28"/>
          <w:lang w:val="en-US"/>
        </w:rPr>
        <w:t>评估</w:t>
      </w:r>
      <w:r>
        <w:rPr>
          <w:sz w:val="28"/>
          <w:szCs w:val="28"/>
          <w:lang w:val="en-US"/>
        </w:rPr>
        <w:t>机构应在报价时承诺先行提交</w:t>
      </w:r>
      <w:r>
        <w:rPr>
          <w:rFonts w:hint="eastAsia"/>
          <w:sz w:val="28"/>
          <w:szCs w:val="28"/>
          <w:lang w:val="en-US"/>
        </w:rPr>
        <w:t>评估</w:t>
      </w:r>
      <w:r>
        <w:rPr>
          <w:sz w:val="28"/>
          <w:szCs w:val="28"/>
          <w:lang w:val="en-US"/>
        </w:rPr>
        <w:t>报告、专项报告以及配合管理人完成其他工作，</w:t>
      </w:r>
      <w:r>
        <w:rPr>
          <w:rFonts w:hint="eastAsia"/>
          <w:sz w:val="28"/>
          <w:szCs w:val="28"/>
          <w:lang w:val="en-US"/>
        </w:rPr>
        <w:t>评估</w:t>
      </w:r>
      <w:r>
        <w:rPr>
          <w:sz w:val="28"/>
          <w:szCs w:val="28"/>
          <w:lang w:val="en-US"/>
        </w:rPr>
        <w:t>费用</w:t>
      </w:r>
      <w:r>
        <w:rPr>
          <w:rFonts w:hint="eastAsia"/>
          <w:sz w:val="28"/>
          <w:szCs w:val="28"/>
          <w:lang w:val="en-US"/>
        </w:rPr>
        <w:t>由管理人根据破产进展情况支付报酬。</w:t>
      </w:r>
      <w:r>
        <w:rPr>
          <w:sz w:val="28"/>
          <w:szCs w:val="28"/>
          <w:lang w:val="en-US"/>
        </w:rPr>
        <w:t>如评估机构未能按照约定的时间完成工作应调减相应服务费用。</w:t>
      </w:r>
    </w:p>
    <w:p w14:paraId="32F79B42">
      <w:pPr>
        <w:autoSpaceDE/>
        <w:autoSpaceDN/>
        <w:spacing w:line="400" w:lineRule="exact"/>
        <w:ind w:firstLine="560" w:firstLineChars="200"/>
        <w:rPr>
          <w:sz w:val="28"/>
          <w:szCs w:val="28"/>
          <w:lang w:val="en-US"/>
        </w:rPr>
      </w:pPr>
      <w:r>
        <w:rPr>
          <w:sz w:val="28"/>
          <w:szCs w:val="28"/>
          <w:lang w:val="en-US"/>
        </w:rPr>
        <w:t>（3）本项目在审理过程中因对评估工作内容及工作事项进行调整或评估报告过期后。管理人要求出具新的或补充报告的，不再额外增加费用。</w:t>
      </w:r>
    </w:p>
    <w:p w14:paraId="04B7E8A0">
      <w:pPr>
        <w:autoSpaceDE/>
        <w:autoSpaceDN/>
        <w:spacing w:line="400" w:lineRule="exact"/>
        <w:ind w:firstLine="560" w:firstLineChars="200"/>
        <w:rPr>
          <w:sz w:val="28"/>
          <w:szCs w:val="28"/>
          <w:lang w:val="en-US"/>
        </w:rPr>
      </w:pPr>
      <w:r>
        <w:rPr>
          <w:rFonts w:hint="eastAsia"/>
          <w:sz w:val="28"/>
          <w:szCs w:val="28"/>
          <w:lang w:val="en-US"/>
        </w:rPr>
        <w:t>5.本机构出具的承诺书，承诺内容包括但不限于:</w:t>
      </w:r>
    </w:p>
    <w:p w14:paraId="5A48396B">
      <w:pPr>
        <w:autoSpaceDE/>
        <w:autoSpaceDN/>
        <w:spacing w:line="400" w:lineRule="exact"/>
        <w:ind w:firstLine="560" w:firstLineChars="200"/>
        <w:rPr>
          <w:sz w:val="28"/>
          <w:szCs w:val="28"/>
          <w:lang w:val="en-US"/>
        </w:rPr>
      </w:pPr>
      <w:r>
        <w:rPr>
          <w:rFonts w:hint="eastAsia"/>
          <w:sz w:val="28"/>
          <w:szCs w:val="28"/>
          <w:lang w:val="en-US"/>
        </w:rPr>
        <w:t>（1）承诺按照所提交的项目人员名单，组建项目团队，实际开展工作，项目负责人需要实际到岗，管理人有权要求驻点员现场办公，并有权根据实际工作情况，要求中介机构调整人员安排;</w:t>
      </w:r>
    </w:p>
    <w:p w14:paraId="1A3DDA2C">
      <w:pPr>
        <w:autoSpaceDE/>
        <w:autoSpaceDN/>
        <w:spacing w:line="400" w:lineRule="exact"/>
        <w:ind w:firstLine="560" w:firstLineChars="200"/>
        <w:rPr>
          <w:sz w:val="28"/>
          <w:szCs w:val="28"/>
          <w:lang w:val="en-US"/>
        </w:rPr>
      </w:pPr>
      <w:r>
        <w:rPr>
          <w:rFonts w:hint="eastAsia"/>
          <w:sz w:val="28"/>
          <w:szCs w:val="28"/>
          <w:lang w:val="en-US"/>
        </w:rPr>
        <w:t>（2）承诺本机构及人员最近3年内没有违法违纪等不良记录或行政处罚、惩戒，未被司法机关判处承担法律责任;</w:t>
      </w:r>
    </w:p>
    <w:p w14:paraId="61E7DC41">
      <w:pPr>
        <w:autoSpaceDE/>
        <w:autoSpaceDN/>
        <w:spacing w:line="400" w:lineRule="exact"/>
        <w:ind w:firstLine="560" w:firstLineChars="200"/>
        <w:rPr>
          <w:sz w:val="28"/>
          <w:szCs w:val="28"/>
          <w:lang w:val="en-US"/>
        </w:rPr>
      </w:pPr>
      <w:r>
        <w:rPr>
          <w:rFonts w:hint="eastAsia"/>
          <w:sz w:val="28"/>
          <w:szCs w:val="28"/>
          <w:lang w:val="en-US"/>
        </w:rPr>
        <w:t>（3）承诺开展工作时，坚持严格遵守国家有关法律法规和行业规范，独立开展工作，不接受任何第三方的指示和干涉，公平公正、实事求是;</w:t>
      </w:r>
    </w:p>
    <w:p w14:paraId="1121DAF6">
      <w:pPr>
        <w:autoSpaceDE/>
        <w:autoSpaceDN/>
        <w:spacing w:line="400" w:lineRule="exact"/>
        <w:ind w:firstLine="560" w:firstLineChars="200"/>
        <w:rPr>
          <w:sz w:val="28"/>
          <w:szCs w:val="28"/>
          <w:lang w:val="en-US"/>
        </w:rPr>
      </w:pPr>
      <w:r>
        <w:rPr>
          <w:rFonts w:hint="eastAsia"/>
          <w:sz w:val="28"/>
          <w:szCs w:val="28"/>
          <w:lang w:val="en-US"/>
        </w:rPr>
        <w:t>（4）承诺按照管理人规定时间及公告要求，及时出具评估报告;</w:t>
      </w:r>
    </w:p>
    <w:p w14:paraId="6B2E5951">
      <w:pPr>
        <w:autoSpaceDE/>
        <w:autoSpaceDN/>
        <w:spacing w:line="400" w:lineRule="exact"/>
        <w:ind w:firstLine="560" w:firstLineChars="200"/>
        <w:rPr>
          <w:sz w:val="28"/>
          <w:szCs w:val="28"/>
          <w:lang w:val="en-US"/>
        </w:rPr>
      </w:pPr>
      <w:r>
        <w:rPr>
          <w:rFonts w:hint="eastAsia"/>
          <w:sz w:val="28"/>
          <w:szCs w:val="28"/>
          <w:lang w:val="en-US"/>
        </w:rPr>
        <w:t>（5）承诺列席债权人会议并接受法院、债权人会议和债权人的咨询，负责报告内容的解释工作;</w:t>
      </w:r>
    </w:p>
    <w:p w14:paraId="7E542CB0">
      <w:pPr>
        <w:autoSpaceDE/>
        <w:autoSpaceDN/>
        <w:spacing w:line="400" w:lineRule="exact"/>
        <w:ind w:firstLine="560" w:firstLineChars="200"/>
        <w:rPr>
          <w:sz w:val="28"/>
          <w:szCs w:val="28"/>
          <w:lang w:val="en-US"/>
        </w:rPr>
      </w:pPr>
      <w:r>
        <w:rPr>
          <w:rFonts w:hint="eastAsia"/>
          <w:sz w:val="28"/>
          <w:szCs w:val="28"/>
          <w:lang w:val="en-US"/>
        </w:rPr>
        <w:t>（6）承诺与本案债务人、债权人不存在利害关系或其他可能影响公正判断的关系。</w:t>
      </w:r>
    </w:p>
    <w:p w14:paraId="16BDD5DD">
      <w:pPr>
        <w:autoSpaceDE/>
        <w:autoSpaceDN/>
        <w:spacing w:line="400" w:lineRule="exact"/>
        <w:ind w:firstLine="560" w:firstLineChars="200"/>
        <w:rPr>
          <w:sz w:val="28"/>
          <w:szCs w:val="28"/>
          <w:lang w:val="en-US"/>
        </w:rPr>
      </w:pPr>
      <w:r>
        <w:rPr>
          <w:rFonts w:hint="eastAsia"/>
          <w:sz w:val="28"/>
          <w:szCs w:val="28"/>
          <w:lang w:val="en-US"/>
        </w:rPr>
        <w:t>以上承诺事项若没有兑现，管理人将有权解除聘任或调整报酬。</w:t>
      </w:r>
    </w:p>
    <w:p w14:paraId="41BCBA68">
      <w:pPr>
        <w:autoSpaceDE/>
        <w:autoSpaceDN/>
        <w:spacing w:line="400" w:lineRule="exact"/>
        <w:ind w:firstLine="560" w:firstLineChars="200"/>
        <w:rPr>
          <w:sz w:val="28"/>
          <w:szCs w:val="28"/>
          <w:lang w:val="en-US"/>
        </w:rPr>
      </w:pPr>
      <w:r>
        <w:rPr>
          <w:rFonts w:hint="eastAsia"/>
          <w:sz w:val="28"/>
          <w:szCs w:val="28"/>
          <w:lang w:val="en-US"/>
        </w:rPr>
        <w:t>6.其他参选材料</w:t>
      </w:r>
    </w:p>
    <w:p w14:paraId="6FF6B60E">
      <w:pPr>
        <w:numPr>
          <w:ilvl w:val="0"/>
          <w:numId w:val="6"/>
        </w:numPr>
        <w:adjustRightInd w:val="0"/>
        <w:spacing w:line="360" w:lineRule="auto"/>
        <w:ind w:firstLine="560" w:firstLineChars="200"/>
        <w:jc w:val="both"/>
        <w:rPr>
          <w:rFonts w:hint="eastAsia"/>
          <w:sz w:val="28"/>
          <w:szCs w:val="28"/>
        </w:rPr>
      </w:pPr>
      <w:r>
        <w:rPr>
          <w:rFonts w:hint="eastAsia"/>
          <w:sz w:val="28"/>
          <w:szCs w:val="28"/>
          <w:lang w:val="en-US"/>
        </w:rPr>
        <w:t>评估机构</w:t>
      </w:r>
      <w:r>
        <w:rPr>
          <w:rFonts w:hint="eastAsia"/>
          <w:sz w:val="28"/>
          <w:szCs w:val="28"/>
        </w:rPr>
        <w:t>在四川法院对外委托专业机构电子信息平台库（现行有效）截图；</w:t>
      </w:r>
    </w:p>
    <w:p w14:paraId="5CC3C7C8">
      <w:pPr>
        <w:numPr>
          <w:ilvl w:val="0"/>
          <w:numId w:val="7"/>
        </w:numPr>
        <w:autoSpaceDE/>
        <w:autoSpaceDN/>
        <w:spacing w:line="400" w:lineRule="exact"/>
        <w:ind w:firstLine="560" w:firstLineChars="200"/>
        <w:rPr>
          <w:sz w:val="28"/>
          <w:szCs w:val="28"/>
          <w:lang w:val="en-US"/>
        </w:rPr>
      </w:pPr>
      <w:r>
        <w:rPr>
          <w:rFonts w:hint="eastAsia"/>
          <w:sz w:val="28"/>
          <w:szCs w:val="28"/>
          <w:lang w:val="en-US"/>
        </w:rPr>
        <w:t>评估机构评估资质证书或备案公告与企业法人营业执照；</w:t>
      </w:r>
    </w:p>
    <w:p w14:paraId="364EEDCE">
      <w:pPr>
        <w:numPr>
          <w:ilvl w:val="0"/>
          <w:numId w:val="7"/>
        </w:numPr>
        <w:autoSpaceDE/>
        <w:autoSpaceDN/>
        <w:spacing w:line="400" w:lineRule="exact"/>
        <w:ind w:firstLine="560" w:firstLineChars="200"/>
        <w:rPr>
          <w:sz w:val="28"/>
          <w:szCs w:val="28"/>
          <w:lang w:val="en-US"/>
        </w:rPr>
      </w:pPr>
      <w:r>
        <w:rPr>
          <w:rFonts w:hint="eastAsia"/>
          <w:sz w:val="28"/>
          <w:szCs w:val="28"/>
          <w:lang w:val="en-US"/>
        </w:rPr>
        <w:t>评估机构拟派项目负责人同时具备资产评估师、土地估价师、房地产估价师资格、价格鉴定师等证明；</w:t>
      </w:r>
    </w:p>
    <w:p w14:paraId="429EE155">
      <w:pPr>
        <w:numPr>
          <w:ilvl w:val="0"/>
          <w:numId w:val="7"/>
        </w:numPr>
        <w:autoSpaceDE/>
        <w:autoSpaceDN/>
        <w:spacing w:line="400" w:lineRule="exact"/>
        <w:ind w:firstLine="560" w:firstLineChars="200"/>
        <w:rPr>
          <w:sz w:val="28"/>
          <w:szCs w:val="28"/>
          <w:lang w:val="en-US"/>
        </w:rPr>
      </w:pPr>
      <w:r>
        <w:rPr>
          <w:rFonts w:hint="eastAsia"/>
          <w:sz w:val="28"/>
          <w:szCs w:val="28"/>
          <w:lang w:val="en-US"/>
        </w:rPr>
        <w:t>项目负责人有5年以上评估工作经验证明，以中国资产评估协会查询的累计执业时间为准。</w:t>
      </w:r>
    </w:p>
    <w:p w14:paraId="5AAC25F5">
      <w:pPr>
        <w:numPr>
          <w:ilvl w:val="0"/>
          <w:numId w:val="7"/>
        </w:numPr>
        <w:autoSpaceDE/>
        <w:autoSpaceDN/>
        <w:spacing w:line="400" w:lineRule="exact"/>
        <w:ind w:firstLine="560" w:firstLineChars="200"/>
        <w:rPr>
          <w:sz w:val="28"/>
          <w:szCs w:val="28"/>
          <w:lang w:val="en-US"/>
        </w:rPr>
      </w:pPr>
      <w:r>
        <w:rPr>
          <w:rFonts w:hint="eastAsia"/>
          <w:sz w:val="28"/>
          <w:szCs w:val="28"/>
          <w:lang w:val="en-US"/>
        </w:rPr>
        <w:t>业绩情况；</w:t>
      </w:r>
    </w:p>
    <w:p w14:paraId="76CF9F03">
      <w:pPr>
        <w:numPr>
          <w:ilvl w:val="0"/>
          <w:numId w:val="7"/>
        </w:numPr>
        <w:autoSpaceDE/>
        <w:autoSpaceDN/>
        <w:spacing w:line="400" w:lineRule="exact"/>
        <w:ind w:firstLine="560" w:firstLineChars="200"/>
        <w:rPr>
          <w:sz w:val="28"/>
          <w:szCs w:val="28"/>
          <w:lang w:val="en-US"/>
        </w:rPr>
      </w:pPr>
      <w:r>
        <w:rPr>
          <w:rFonts w:hint="eastAsia"/>
          <w:sz w:val="28"/>
          <w:szCs w:val="28"/>
          <w:lang w:val="en-US"/>
        </w:rPr>
        <w:t>拟派本项目团队人员证件；</w:t>
      </w:r>
    </w:p>
    <w:p w14:paraId="6746B5B8">
      <w:pPr>
        <w:numPr>
          <w:ilvl w:val="0"/>
          <w:numId w:val="7"/>
        </w:numPr>
        <w:autoSpaceDE/>
        <w:autoSpaceDN/>
        <w:spacing w:line="400" w:lineRule="exact"/>
        <w:ind w:firstLine="560" w:firstLineChars="200"/>
        <w:rPr>
          <w:sz w:val="28"/>
          <w:szCs w:val="28"/>
          <w:lang w:val="en-US"/>
        </w:rPr>
      </w:pPr>
      <w:r>
        <w:rPr>
          <w:rFonts w:hint="eastAsia"/>
          <w:sz w:val="28"/>
          <w:szCs w:val="28"/>
          <w:lang w:val="en-US"/>
        </w:rPr>
        <w:t>参选经办人的授权委托书原件及受托人身份证复印件，需载明经办人的联系电话、电子邮箱、通信地址的书面文件。</w:t>
      </w:r>
    </w:p>
    <w:p w14:paraId="572E9D21">
      <w:pPr>
        <w:adjustRightInd w:val="0"/>
        <w:spacing w:line="400" w:lineRule="exact"/>
        <w:ind w:firstLine="562" w:firstLineChars="200"/>
        <w:rPr>
          <w:b/>
          <w:bCs/>
          <w:color w:val="0000FF"/>
          <w:sz w:val="28"/>
          <w:szCs w:val="28"/>
          <w:lang w:val="en-US"/>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b/>
          <w:bCs/>
          <w:color w:val="0000FF"/>
          <w:sz w:val="28"/>
          <w:szCs w:val="28"/>
          <w:lang w:val="en-US"/>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注:经管理人初步调查，融仕达公司主要财产为土地和房屋，该企业2013年8月12日成立，请报名机构综合考虑实际工作量，谨慎报价。</w:t>
      </w:r>
    </w:p>
    <w:p w14:paraId="29CE9726">
      <w:pPr>
        <w:pStyle w:val="6"/>
        <w:spacing w:before="165" w:line="500" w:lineRule="exact"/>
        <w:ind w:right="-53" w:rightChars="-24" w:firstLine="560" w:firstLineChars="200"/>
        <w:rPr>
          <w:rFonts w:ascii="黑体" w:eastAsia="黑体"/>
          <w:sz w:val="28"/>
          <w:szCs w:val="28"/>
          <w:lang w:val="en-US"/>
        </w:rPr>
      </w:pPr>
      <w:r>
        <w:rPr>
          <w:rFonts w:hint="eastAsia" w:ascii="黑体" w:eastAsia="黑体"/>
          <w:sz w:val="28"/>
          <w:szCs w:val="28"/>
          <w:lang w:val="en-US"/>
        </w:rPr>
        <w:t>六、其他事项</w:t>
      </w:r>
    </w:p>
    <w:p w14:paraId="2178C3FC">
      <w:pPr>
        <w:adjustRightInd w:val="0"/>
        <w:spacing w:line="400" w:lineRule="exact"/>
        <w:ind w:firstLine="560" w:firstLineChars="200"/>
        <w:rPr>
          <w:sz w:val="28"/>
          <w:szCs w:val="28"/>
          <w:lang w:val="en-US"/>
        </w:rPr>
      </w:pPr>
      <w:r>
        <w:rPr>
          <w:rFonts w:hint="eastAsia"/>
          <w:sz w:val="28"/>
          <w:szCs w:val="28"/>
          <w:lang w:val="en-US"/>
        </w:rPr>
        <w:t>1.本次公开选聘评估机构系管理人依据法律法规的要求并经峨眉山市法院同意而为。管理人依法履行职责，接受峨眉山市法院与债权人的监督与建议;</w:t>
      </w:r>
    </w:p>
    <w:p w14:paraId="2046D365">
      <w:pPr>
        <w:adjustRightInd w:val="0"/>
        <w:spacing w:line="400" w:lineRule="exact"/>
        <w:ind w:firstLine="560" w:firstLineChars="200"/>
        <w:rPr>
          <w:sz w:val="28"/>
          <w:szCs w:val="28"/>
          <w:lang w:val="en-US"/>
        </w:rPr>
      </w:pPr>
      <w:r>
        <w:rPr>
          <w:rFonts w:hint="eastAsia"/>
          <w:sz w:val="28"/>
          <w:szCs w:val="28"/>
          <w:lang w:val="en-US"/>
        </w:rPr>
        <w:t>2.根据公开、公平、公正原则、管理人将综合考虑各申报机构的资质、规模、经验、报价等事项综合评定；</w:t>
      </w:r>
    </w:p>
    <w:p w14:paraId="6EDF67D9">
      <w:pPr>
        <w:adjustRightInd w:val="0"/>
        <w:spacing w:line="400" w:lineRule="exact"/>
        <w:ind w:firstLine="560" w:firstLineChars="200"/>
        <w:rPr>
          <w:sz w:val="28"/>
          <w:szCs w:val="28"/>
          <w:lang w:val="en-US"/>
        </w:rPr>
      </w:pPr>
      <w:r>
        <w:rPr>
          <w:rFonts w:hint="eastAsia"/>
          <w:sz w:val="28"/>
          <w:szCs w:val="28"/>
          <w:lang w:val="en-US"/>
        </w:rPr>
        <w:t>3.关于最终入选结果，管理人将于报名截止后通知入选机构，对于已报名但未被选中的机构，管理人不再另行通知；</w:t>
      </w:r>
    </w:p>
    <w:p w14:paraId="4091658D">
      <w:pPr>
        <w:adjustRightInd w:val="0"/>
        <w:spacing w:line="400" w:lineRule="exact"/>
        <w:ind w:firstLine="560" w:firstLineChars="200"/>
        <w:rPr>
          <w:sz w:val="28"/>
          <w:szCs w:val="28"/>
          <w:lang w:val="en-US"/>
        </w:rPr>
      </w:pPr>
      <w:r>
        <w:rPr>
          <w:rFonts w:hint="eastAsia"/>
          <w:sz w:val="28"/>
          <w:szCs w:val="28"/>
          <w:lang w:val="en-US"/>
        </w:rPr>
        <w:t>4.评估机构的入场时间以约定时间为准，管理人另行通知除外;</w:t>
      </w:r>
    </w:p>
    <w:p w14:paraId="700BB97E">
      <w:pPr>
        <w:adjustRightInd w:val="0"/>
        <w:spacing w:line="400" w:lineRule="exact"/>
        <w:ind w:firstLine="560" w:firstLineChars="200"/>
        <w:rPr>
          <w:sz w:val="28"/>
          <w:szCs w:val="28"/>
          <w:lang w:val="en-US"/>
        </w:rPr>
      </w:pPr>
      <w:r>
        <w:rPr>
          <w:rFonts w:hint="eastAsia"/>
          <w:sz w:val="28"/>
          <w:szCs w:val="28"/>
          <w:lang w:val="en-US"/>
        </w:rPr>
        <w:t>5.本选聘评估机构的公告作为委托合同的有效附件:</w:t>
      </w:r>
    </w:p>
    <w:p w14:paraId="73817C02">
      <w:pPr>
        <w:adjustRightInd w:val="0"/>
        <w:spacing w:line="400" w:lineRule="exact"/>
        <w:ind w:firstLine="560" w:firstLineChars="200"/>
        <w:rPr>
          <w:sz w:val="28"/>
          <w:szCs w:val="28"/>
          <w:lang w:val="en-US"/>
        </w:rPr>
      </w:pPr>
      <w:r>
        <w:rPr>
          <w:rFonts w:hint="eastAsia"/>
          <w:sz w:val="28"/>
          <w:szCs w:val="28"/>
          <w:lang w:val="en-US"/>
        </w:rPr>
        <w:t>6.本公告的最终解释权归至融仕达公司管理人。</w:t>
      </w:r>
    </w:p>
    <w:p w14:paraId="6F3CDBED">
      <w:pPr>
        <w:pStyle w:val="6"/>
        <w:spacing w:before="165" w:line="500" w:lineRule="exact"/>
        <w:ind w:right="-53" w:rightChars="-24" w:firstLine="560" w:firstLineChars="200"/>
        <w:rPr>
          <w:sz w:val="28"/>
          <w:szCs w:val="28"/>
          <w:lang w:val="en-US"/>
        </w:rPr>
      </w:pPr>
    </w:p>
    <w:p w14:paraId="7512FC33">
      <w:pPr>
        <w:pStyle w:val="6"/>
        <w:spacing w:line="500" w:lineRule="exact"/>
        <w:ind w:right="-53" w:rightChars="-24" w:firstLine="560" w:firstLineChars="200"/>
        <w:rPr>
          <w:sz w:val="28"/>
          <w:szCs w:val="28"/>
          <w:lang w:val="en-US"/>
        </w:rPr>
      </w:pPr>
      <w:r>
        <w:rPr>
          <w:rFonts w:hint="eastAsia" w:ascii="黑体" w:eastAsia="黑体"/>
          <w:sz w:val="28"/>
          <w:szCs w:val="28"/>
          <w:lang w:val="en-US"/>
        </w:rPr>
        <w:t>七、其他事项</w:t>
      </w:r>
    </w:p>
    <w:p w14:paraId="372C39A7">
      <w:pPr>
        <w:pStyle w:val="6"/>
        <w:spacing w:before="165" w:line="500" w:lineRule="exact"/>
        <w:ind w:right="-53" w:rightChars="-24" w:firstLine="560" w:firstLineChars="200"/>
        <w:rPr>
          <w:sz w:val="28"/>
          <w:szCs w:val="28"/>
          <w:lang w:val="en-US"/>
        </w:rPr>
      </w:pPr>
      <w:r>
        <w:rPr>
          <w:rFonts w:hint="eastAsia"/>
          <w:sz w:val="28"/>
          <w:szCs w:val="28"/>
          <w:lang w:val="en-US"/>
        </w:rPr>
        <w:t>联系人及联系电话</w:t>
      </w:r>
    </w:p>
    <w:p w14:paraId="51D79AAB">
      <w:pPr>
        <w:pStyle w:val="6"/>
        <w:spacing w:before="165" w:line="500" w:lineRule="exact"/>
        <w:ind w:right="-53" w:rightChars="-24" w:firstLine="560" w:firstLineChars="200"/>
        <w:rPr>
          <w:sz w:val="28"/>
          <w:szCs w:val="28"/>
          <w:lang w:val="en-US"/>
        </w:rPr>
      </w:pPr>
      <w:r>
        <w:rPr>
          <w:rFonts w:hint="eastAsia"/>
          <w:sz w:val="28"/>
          <w:szCs w:val="28"/>
          <w:lang w:val="en-US"/>
        </w:rPr>
        <w:t>联系人：叶瑞杰，联系号码：13980261881。</w:t>
      </w:r>
    </w:p>
    <w:p w14:paraId="1CFD9AE6">
      <w:pPr>
        <w:pStyle w:val="6"/>
        <w:spacing w:before="165" w:line="500" w:lineRule="exact"/>
        <w:ind w:right="-53" w:rightChars="-24" w:firstLine="560" w:firstLineChars="200"/>
        <w:jc w:val="right"/>
        <w:rPr>
          <w:sz w:val="28"/>
          <w:szCs w:val="28"/>
          <w:lang w:val="en-US"/>
        </w:rPr>
      </w:pPr>
      <w:r>
        <w:rPr>
          <w:rFonts w:hint="eastAsia"/>
          <w:sz w:val="28"/>
          <w:szCs w:val="28"/>
          <w:lang w:val="en-US"/>
        </w:rPr>
        <w:t xml:space="preserve">            </w:t>
      </w:r>
      <w:r>
        <w:rPr>
          <w:rFonts w:hint="eastAsia" w:cs="Times New Roman"/>
          <w:sz w:val="28"/>
          <w:szCs w:val="28"/>
          <w:lang w:val="en-US"/>
        </w:rPr>
        <w:t>峨眉山市融仕达商贸有限责任公司</w:t>
      </w:r>
      <w:r>
        <w:rPr>
          <w:rFonts w:hint="eastAsia"/>
          <w:sz w:val="28"/>
          <w:szCs w:val="28"/>
          <w:lang w:val="en-US"/>
        </w:rPr>
        <w:t>管理人</w:t>
      </w:r>
    </w:p>
    <w:p w14:paraId="73BD60E8">
      <w:pPr>
        <w:pStyle w:val="6"/>
        <w:spacing w:before="165" w:line="500" w:lineRule="exact"/>
        <w:ind w:right="-53" w:rightChars="-24"/>
        <w:jc w:val="right"/>
        <w:rPr>
          <w:sz w:val="28"/>
          <w:szCs w:val="28"/>
          <w:lang w:val="en-US"/>
        </w:rPr>
      </w:pPr>
      <w:r>
        <w:rPr>
          <w:rFonts w:hint="eastAsia"/>
          <w:sz w:val="28"/>
          <w:szCs w:val="28"/>
          <w:lang w:val="en-US"/>
        </w:rPr>
        <w:t>二0二四年十月</w:t>
      </w:r>
      <w:r>
        <w:rPr>
          <w:rFonts w:hint="eastAsia"/>
          <w:sz w:val="28"/>
          <w:szCs w:val="28"/>
          <w:lang w:val="en-US" w:eastAsia="zh-CN"/>
        </w:rPr>
        <w:t>11</w:t>
      </w:r>
      <w:bookmarkStart w:id="0" w:name="_GoBack"/>
      <w:bookmarkEnd w:id="0"/>
      <w:r>
        <w:rPr>
          <w:rFonts w:hint="eastAsia"/>
          <w:sz w:val="28"/>
          <w:szCs w:val="28"/>
          <w:lang w:val="en-US"/>
        </w:rPr>
        <w:t>日</w:t>
      </w:r>
    </w:p>
    <w:p w14:paraId="337672A0">
      <w:pPr>
        <w:autoSpaceDE/>
        <w:autoSpaceDN/>
        <w:spacing w:line="400" w:lineRule="exact"/>
        <w:rPr>
          <w:sz w:val="28"/>
          <w:szCs w:val="28"/>
        </w:rPr>
      </w:pPr>
    </w:p>
    <w:p w14:paraId="29BF5AB8">
      <w:pPr>
        <w:autoSpaceDE/>
        <w:autoSpaceDN/>
        <w:spacing w:line="400" w:lineRule="exact"/>
        <w:rPr>
          <w:sz w:val="28"/>
          <w:szCs w:val="28"/>
        </w:rPr>
      </w:pPr>
    </w:p>
    <w:p w14:paraId="3F5E2186">
      <w:pPr>
        <w:autoSpaceDE/>
        <w:autoSpaceDN/>
        <w:spacing w:line="400" w:lineRule="exact"/>
        <w:rPr>
          <w:sz w:val="28"/>
          <w:szCs w:val="28"/>
        </w:rPr>
      </w:pPr>
    </w:p>
    <w:p w14:paraId="5B85D2E6">
      <w:pPr>
        <w:autoSpaceDE/>
        <w:autoSpaceDN/>
        <w:spacing w:line="400" w:lineRule="exact"/>
        <w:rPr>
          <w:sz w:val="28"/>
        </w:rPr>
      </w:pPr>
    </w:p>
    <w:p w14:paraId="3A4DC0BF">
      <w:pPr>
        <w:autoSpaceDE/>
        <w:autoSpaceDN/>
        <w:spacing w:line="400" w:lineRule="exact"/>
        <w:rPr>
          <w:sz w:val="28"/>
        </w:rPr>
      </w:pPr>
    </w:p>
    <w:p w14:paraId="1E35F387">
      <w:pPr>
        <w:autoSpaceDE/>
        <w:autoSpaceDN/>
        <w:spacing w:line="400" w:lineRule="exact"/>
        <w:rPr>
          <w:sz w:val="28"/>
        </w:rPr>
      </w:pPr>
    </w:p>
    <w:p w14:paraId="4AD03070">
      <w:pPr>
        <w:autoSpaceDE/>
        <w:autoSpaceDN/>
        <w:spacing w:line="400" w:lineRule="exact"/>
        <w:rPr>
          <w:sz w:val="28"/>
        </w:rPr>
      </w:pPr>
    </w:p>
    <w:p w14:paraId="7DA031EA">
      <w:pPr>
        <w:autoSpaceDE/>
        <w:autoSpaceDN/>
        <w:spacing w:line="400" w:lineRule="exact"/>
        <w:rPr>
          <w:sz w:val="28"/>
        </w:rPr>
      </w:pPr>
    </w:p>
    <w:p w14:paraId="061ED232">
      <w:pPr>
        <w:autoSpaceDE/>
        <w:autoSpaceDN/>
        <w:spacing w:line="400" w:lineRule="exact"/>
        <w:rPr>
          <w:sz w:val="28"/>
        </w:rPr>
      </w:pPr>
    </w:p>
    <w:p w14:paraId="0FB5A494">
      <w:pPr>
        <w:autoSpaceDE/>
        <w:autoSpaceDN/>
        <w:spacing w:line="400" w:lineRule="exact"/>
        <w:rPr>
          <w:sz w:val="28"/>
        </w:rPr>
      </w:pPr>
    </w:p>
    <w:p w14:paraId="25081500">
      <w:pPr>
        <w:autoSpaceDE/>
        <w:autoSpaceDN/>
        <w:spacing w:line="400" w:lineRule="exact"/>
        <w:rPr>
          <w:sz w:val="28"/>
        </w:rPr>
      </w:pPr>
    </w:p>
    <w:p w14:paraId="01F6254C">
      <w:pPr>
        <w:autoSpaceDE/>
        <w:autoSpaceDN/>
        <w:spacing w:line="400" w:lineRule="exact"/>
        <w:rPr>
          <w:sz w:val="28"/>
        </w:rPr>
      </w:pPr>
    </w:p>
    <w:p w14:paraId="19F395B0">
      <w:pPr>
        <w:autoSpaceDE/>
        <w:autoSpaceDN/>
        <w:spacing w:line="400" w:lineRule="exact"/>
        <w:rPr>
          <w:sz w:val="28"/>
        </w:rPr>
      </w:pPr>
    </w:p>
    <w:p w14:paraId="04164DAB">
      <w:pPr>
        <w:autoSpaceDE/>
        <w:autoSpaceDN/>
        <w:spacing w:line="400" w:lineRule="exact"/>
        <w:rPr>
          <w:sz w:val="28"/>
        </w:rPr>
      </w:pPr>
    </w:p>
    <w:p w14:paraId="273AD01C">
      <w:pPr>
        <w:autoSpaceDE/>
        <w:autoSpaceDN/>
        <w:spacing w:line="400" w:lineRule="exact"/>
        <w:rPr>
          <w:rFonts w:hint="eastAsia"/>
          <w:sz w:val="28"/>
        </w:rPr>
      </w:pPr>
    </w:p>
    <w:p w14:paraId="117BA046">
      <w:pPr>
        <w:spacing w:line="560" w:lineRule="exact"/>
        <w:jc w:val="both"/>
        <w:rPr>
          <w:sz w:val="28"/>
          <w:szCs w:val="28"/>
          <w:lang w:val="en-US"/>
        </w:rPr>
      </w:pPr>
    </w:p>
    <w:p w14:paraId="462EE970">
      <w:pPr>
        <w:pStyle w:val="6"/>
        <w:spacing w:before="165" w:line="500" w:lineRule="exact"/>
        <w:ind w:right="-53" w:rightChars="-24"/>
        <w:jc w:val="both"/>
        <w:rPr>
          <w:lang w:val="en-US"/>
        </w:rPr>
      </w:pPr>
    </w:p>
    <w:p w14:paraId="68D91FB1">
      <w:pPr>
        <w:pStyle w:val="13"/>
        <w:tabs>
          <w:tab w:val="left" w:pos="1020"/>
        </w:tabs>
        <w:spacing w:before="0" w:line="500" w:lineRule="exact"/>
        <w:ind w:left="0" w:right="-53" w:rightChars="-24" w:firstLine="0"/>
        <w:rPr>
          <w:rFonts w:ascii="黑体" w:eastAsia="黑体"/>
        </w:rPr>
      </w:pPr>
    </w:p>
    <w:sectPr>
      <w:pgSz w:w="11900" w:h="16840"/>
      <w:pgMar w:top="1446" w:right="1247" w:bottom="1446" w:left="1247"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PMingLiU">
    <w:altName w:val="PMingLiU-ExtB"/>
    <w:panose1 w:val="02020500000000000000"/>
    <w:charset w:val="88"/>
    <w:family w:val="roman"/>
    <w:pitch w:val="default"/>
    <w:sig w:usb0="00000000" w:usb1="00000000" w:usb2="00000016" w:usb3="00000000" w:csb0="00100001" w:csb1="00000000"/>
  </w:font>
  <w:font w:name="Microsoft JhengHei">
    <w:panose1 w:val="020B0604030504040204"/>
    <w:charset w:val="88"/>
    <w:family w:val="swiss"/>
    <w:pitch w:val="default"/>
    <w:sig w:usb0="000002A7" w:usb1="28CF4400" w:usb2="00000016" w:usb3="00000000" w:csb0="00100009" w:csb1="00000000"/>
  </w:font>
  <w:font w:name="仿宋_GB2312">
    <w:altName w:val="仿宋"/>
    <w:panose1 w:val="020B0604020202020204"/>
    <w:charset w:val="00"/>
    <w:family w:val="modern"/>
    <w:pitch w:val="default"/>
    <w:sig w:usb0="00000000" w:usb1="00000000" w:usb2="00000010" w:usb3="00000000" w:csb0="00040001" w:csb1="00000000"/>
  </w:font>
  <w:font w:name="楷体">
    <w:panose1 w:val="02010609060101010101"/>
    <w:charset w:val="86"/>
    <w:family w:val="modern"/>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80A010"/>
    <w:multiLevelType w:val="singleLevel"/>
    <w:tmpl w:val="9280A010"/>
    <w:lvl w:ilvl="0" w:tentative="0">
      <w:start w:val="1"/>
      <w:numFmt w:val="decimal"/>
      <w:suff w:val="nothing"/>
      <w:lvlText w:val="%1、"/>
      <w:lvlJc w:val="left"/>
    </w:lvl>
  </w:abstractNum>
  <w:abstractNum w:abstractNumId="1">
    <w:nsid w:val="AD84639B"/>
    <w:multiLevelType w:val="singleLevel"/>
    <w:tmpl w:val="AD84639B"/>
    <w:lvl w:ilvl="0" w:tentative="0">
      <w:start w:val="1"/>
      <w:numFmt w:val="decimal"/>
      <w:suff w:val="nothing"/>
      <w:lvlText w:val="（%1）"/>
      <w:lvlJc w:val="left"/>
    </w:lvl>
  </w:abstractNum>
  <w:abstractNum w:abstractNumId="2">
    <w:nsid w:val="D84C5B9E"/>
    <w:multiLevelType w:val="singleLevel"/>
    <w:tmpl w:val="D84C5B9E"/>
    <w:lvl w:ilvl="0" w:tentative="0">
      <w:start w:val="1"/>
      <w:numFmt w:val="decimal"/>
      <w:suff w:val="nothing"/>
      <w:lvlText w:val="（%1）"/>
      <w:lvlJc w:val="left"/>
    </w:lvl>
  </w:abstractNum>
  <w:abstractNum w:abstractNumId="3">
    <w:nsid w:val="093CA865"/>
    <w:multiLevelType w:val="singleLevel"/>
    <w:tmpl w:val="093CA865"/>
    <w:lvl w:ilvl="0" w:tentative="0">
      <w:start w:val="1"/>
      <w:numFmt w:val="decimal"/>
      <w:suff w:val="nothing"/>
      <w:lvlText w:val="（%1）"/>
      <w:lvlJc w:val="left"/>
    </w:lvl>
  </w:abstractNum>
  <w:abstractNum w:abstractNumId="4">
    <w:nsid w:val="0F936649"/>
    <w:multiLevelType w:val="singleLevel"/>
    <w:tmpl w:val="0F936649"/>
    <w:lvl w:ilvl="0" w:tentative="0">
      <w:start w:val="1"/>
      <w:numFmt w:val="decimal"/>
      <w:suff w:val="nothing"/>
      <w:lvlText w:val="（%1）"/>
      <w:lvlJc w:val="left"/>
    </w:lvl>
  </w:abstractNum>
  <w:abstractNum w:abstractNumId="5">
    <w:nsid w:val="1F769956"/>
    <w:multiLevelType w:val="singleLevel"/>
    <w:tmpl w:val="1F769956"/>
    <w:lvl w:ilvl="0" w:tentative="0">
      <w:start w:val="1"/>
      <w:numFmt w:val="decimal"/>
      <w:suff w:val="nothing"/>
      <w:lvlText w:val="（%1）"/>
      <w:lvlJc w:val="left"/>
    </w:lvl>
  </w:abstractNum>
  <w:abstractNum w:abstractNumId="6">
    <w:nsid w:val="5347C662"/>
    <w:multiLevelType w:val="singleLevel"/>
    <w:tmpl w:val="5347C662"/>
    <w:lvl w:ilvl="0" w:tentative="0">
      <w:start w:val="1"/>
      <w:numFmt w:val="decimal"/>
      <w:suff w:val="nothing"/>
      <w:lvlText w:val="（%1）"/>
      <w:lvlJc w:val="left"/>
      <w:rPr>
        <w:rFonts w:hint="default"/>
        <w:b w:val="0"/>
        <w:bCs w:val="0"/>
        <w:lang w:val="en-US"/>
      </w:rPr>
    </w:lvl>
  </w:abstractNum>
  <w:num w:numId="1">
    <w:abstractNumId w:val="1"/>
  </w:num>
  <w:num w:numId="2">
    <w:abstractNumId w:val="6"/>
  </w:num>
  <w:num w:numId="3">
    <w:abstractNumId w:val="0"/>
  </w:num>
  <w:num w:numId="4">
    <w:abstractNumId w:val="3"/>
  </w:num>
  <w:num w:numId="5">
    <w:abstractNumId w:val="2"/>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4NzIyN2MxYTlmMzQ1NGE2MjU5NWRkMjhlOGMxYTAifQ=="/>
  </w:docVars>
  <w:rsids>
    <w:rsidRoot w:val="00BD689B"/>
    <w:rsid w:val="000955A5"/>
    <w:rsid w:val="00580E98"/>
    <w:rsid w:val="00BD689B"/>
    <w:rsid w:val="00C221B1"/>
    <w:rsid w:val="00DC5C1F"/>
    <w:rsid w:val="00F34E8B"/>
    <w:rsid w:val="03B65B28"/>
    <w:rsid w:val="05645814"/>
    <w:rsid w:val="07CE40B5"/>
    <w:rsid w:val="0C2A544C"/>
    <w:rsid w:val="0E7A2298"/>
    <w:rsid w:val="106A3F24"/>
    <w:rsid w:val="1117023F"/>
    <w:rsid w:val="12374699"/>
    <w:rsid w:val="1440284A"/>
    <w:rsid w:val="1DAE4D54"/>
    <w:rsid w:val="1FC732C0"/>
    <w:rsid w:val="20DD4429"/>
    <w:rsid w:val="23C0685D"/>
    <w:rsid w:val="245F02C4"/>
    <w:rsid w:val="27095F54"/>
    <w:rsid w:val="2AE834D9"/>
    <w:rsid w:val="2BF4498D"/>
    <w:rsid w:val="2CC24862"/>
    <w:rsid w:val="31CD0BA8"/>
    <w:rsid w:val="36A007CA"/>
    <w:rsid w:val="3AA83EA6"/>
    <w:rsid w:val="3EBA3652"/>
    <w:rsid w:val="3ED4116E"/>
    <w:rsid w:val="40741FCD"/>
    <w:rsid w:val="40C81AA1"/>
    <w:rsid w:val="441A70AB"/>
    <w:rsid w:val="45D6356A"/>
    <w:rsid w:val="4A857FAB"/>
    <w:rsid w:val="4AAD35DE"/>
    <w:rsid w:val="528943B0"/>
    <w:rsid w:val="568E01E7"/>
    <w:rsid w:val="571F781B"/>
    <w:rsid w:val="585C7A3B"/>
    <w:rsid w:val="5CB06289"/>
    <w:rsid w:val="5ED54D16"/>
    <w:rsid w:val="5F2A22A7"/>
    <w:rsid w:val="5FA5702C"/>
    <w:rsid w:val="60D409F3"/>
    <w:rsid w:val="62A2534F"/>
    <w:rsid w:val="684B7035"/>
    <w:rsid w:val="687E5C9E"/>
    <w:rsid w:val="68BE5B3C"/>
    <w:rsid w:val="6B3D4ABD"/>
    <w:rsid w:val="6B8379E6"/>
    <w:rsid w:val="6BAC13E3"/>
    <w:rsid w:val="6BAD10DF"/>
    <w:rsid w:val="70BC5DF3"/>
    <w:rsid w:val="714237C4"/>
    <w:rsid w:val="754937FF"/>
    <w:rsid w:val="75766845"/>
    <w:rsid w:val="7755702A"/>
    <w:rsid w:val="7D8135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仿宋" w:hAnsi="仿宋" w:eastAsia="仿宋" w:cs="仿宋"/>
      <w:sz w:val="22"/>
      <w:szCs w:val="22"/>
      <w:lang w:val="zh-CN" w:eastAsia="zh-CN" w:bidi="zh-CN"/>
    </w:rPr>
  </w:style>
  <w:style w:type="paragraph" w:styleId="2">
    <w:name w:val="heading 1"/>
    <w:basedOn w:val="1"/>
    <w:next w:val="1"/>
    <w:qFormat/>
    <w:uiPriority w:val="1"/>
    <w:pPr>
      <w:ind w:left="700"/>
      <w:outlineLvl w:val="0"/>
    </w:pPr>
    <w:rPr>
      <w:rFonts w:ascii="PMingLiU" w:hAnsi="PMingLiU" w:eastAsia="PMingLiU" w:cs="PMingLiU"/>
      <w:sz w:val="43"/>
      <w:szCs w:val="43"/>
    </w:rPr>
  </w:style>
  <w:style w:type="paragraph" w:styleId="3">
    <w:name w:val="heading 2"/>
    <w:basedOn w:val="1"/>
    <w:next w:val="1"/>
    <w:qFormat/>
    <w:uiPriority w:val="1"/>
    <w:pPr>
      <w:ind w:left="700"/>
      <w:outlineLvl w:val="1"/>
    </w:pPr>
    <w:rPr>
      <w:rFonts w:ascii="Microsoft JhengHei" w:hAnsi="Microsoft JhengHei" w:eastAsia="Microsoft JhengHei" w:cs="Microsoft JhengHei"/>
      <w:b/>
      <w:bCs/>
      <w:sz w:val="42"/>
      <w:szCs w:val="42"/>
    </w:rPr>
  </w:style>
  <w:style w:type="paragraph" w:styleId="4">
    <w:name w:val="heading 3"/>
    <w:basedOn w:val="1"/>
    <w:next w:val="1"/>
    <w:qFormat/>
    <w:uiPriority w:val="1"/>
    <w:pPr>
      <w:ind w:left="700"/>
      <w:outlineLvl w:val="2"/>
    </w:pPr>
    <w:rPr>
      <w:b/>
      <w:bCs/>
      <w:sz w:val="31"/>
      <w:szCs w:val="31"/>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Normal Indent"/>
    <w:basedOn w:val="1"/>
    <w:unhideWhenUsed/>
    <w:qFormat/>
    <w:uiPriority w:val="99"/>
    <w:pPr>
      <w:widowControl/>
      <w:snapToGrid w:val="0"/>
      <w:spacing w:line="300" w:lineRule="auto"/>
      <w:ind w:firstLine="556" w:firstLineChars="210"/>
    </w:pPr>
    <w:rPr>
      <w:rFonts w:ascii="仿宋_GB2312" w:eastAsia="仿宋_GB2312"/>
      <w:sz w:val="28"/>
      <w:szCs w:val="20"/>
    </w:rPr>
  </w:style>
  <w:style w:type="paragraph" w:styleId="6">
    <w:name w:val="Body Text"/>
    <w:basedOn w:val="1"/>
    <w:qFormat/>
    <w:uiPriority w:val="1"/>
    <w:rPr>
      <w:sz w:val="31"/>
      <w:szCs w:val="31"/>
    </w:rPr>
  </w:style>
  <w:style w:type="paragraph" w:styleId="7">
    <w:name w:val="Body Text Indent"/>
    <w:basedOn w:val="1"/>
    <w:qFormat/>
    <w:uiPriority w:val="0"/>
    <w:pPr>
      <w:ind w:firstLine="3600" w:firstLineChars="1125"/>
    </w:pPr>
    <w:rPr>
      <w:rFonts w:ascii="仿宋_GB2312" w:eastAsia="仿宋_GB2312"/>
      <w:sz w:val="32"/>
    </w:rPr>
  </w:style>
  <w:style w:type="paragraph" w:styleId="8">
    <w:name w:val="footer"/>
    <w:basedOn w:val="1"/>
    <w:unhideWhenUsed/>
    <w:qFormat/>
    <w:uiPriority w:val="99"/>
    <w:pPr>
      <w:tabs>
        <w:tab w:val="center" w:pos="4153"/>
        <w:tab w:val="right" w:pos="8306"/>
      </w:tabs>
      <w:snapToGrid w:val="0"/>
    </w:pPr>
    <w:rPr>
      <w:sz w:val="18"/>
    </w:rPr>
  </w:style>
  <w:style w:type="paragraph" w:styleId="9">
    <w:name w:val="Body Text First Indent 2"/>
    <w:basedOn w:val="7"/>
    <w:next w:val="7"/>
    <w:qFormat/>
    <w:uiPriority w:val="0"/>
    <w:pPr>
      <w:ind w:firstLine="420" w:firstLineChars="200"/>
    </w:pPr>
    <w:rPr>
      <w:rFonts w:ascii="Times New Roman" w:hAnsi="Times New Roman"/>
    </w:rPr>
  </w:style>
  <w:style w:type="table" w:customStyle="1" w:styleId="12">
    <w:name w:val="Table Normal"/>
    <w:semiHidden/>
    <w:unhideWhenUsed/>
    <w:qFormat/>
    <w:uiPriority w:val="2"/>
    <w:tblPr>
      <w:tblCellMar>
        <w:top w:w="0" w:type="dxa"/>
        <w:left w:w="0" w:type="dxa"/>
        <w:bottom w:w="0" w:type="dxa"/>
        <w:right w:w="0" w:type="dxa"/>
      </w:tblCellMar>
    </w:tblPr>
  </w:style>
  <w:style w:type="paragraph" w:styleId="13">
    <w:name w:val="List Paragraph"/>
    <w:basedOn w:val="1"/>
    <w:qFormat/>
    <w:uiPriority w:val="1"/>
    <w:pPr>
      <w:spacing w:before="1"/>
      <w:ind w:left="700" w:firstLine="640"/>
    </w:pPr>
  </w:style>
  <w:style w:type="paragraph" w:customStyle="1" w:styleId="14">
    <w:name w:val="Table Paragraph"/>
    <w:basedOn w:val="1"/>
    <w:qFormat/>
    <w:uiPriority w:val="1"/>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2928</Words>
  <Characters>3052</Characters>
  <Lines>27</Lines>
  <Paragraphs>7</Paragraphs>
  <TotalTime>78</TotalTime>
  <ScaleCrop>false</ScaleCrop>
  <LinksUpToDate>false</LinksUpToDate>
  <CharactersWithSpaces>3077</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2021-08-11T07:58:00Z</dcterms:created>
  <dc:creator>Administrator</dc:creator>
  <cp:lastModifiedBy>开心就好</cp:lastModifiedBy>
  <dcterms:modified xsi:type="dcterms:W3CDTF">2024-10-11T03:12:23Z</dcterms:modified>
  <dc:title>Microsoft Word - 龙凌公司施工器具、设备拆除机构比选公告.docx</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2020-08-20T00:00:00Z</vt:filetime>
  </property>
  <property fmtid="{D5CDD505-2E9C-101B-9397-08002B2CF9AE}" pid="3" name="Creator">
    <vt:lpwstr>Word</vt:lpwstr>
  </property>
  <property fmtid="{D5CDD505-2E9C-101B-9397-08002B2CF9AE}" pid="4" name="LastSaved">
    <vt:filetime>2021-08-11T00:00:00Z</vt:filetime>
  </property>
  <property fmtid="{D5CDD505-2E9C-101B-9397-08002B2CF9AE}" pid="5" name="KSOProductBuildVer">
    <vt:lpwstr>2052-12.1.0.18240</vt:lpwstr>
  </property>
  <property fmtid="{D5CDD505-2E9C-101B-9397-08002B2CF9AE}" pid="6" name="ICV">
    <vt:lpwstr>FC92F6BFE6B74DF0A5EA8B8FB515E5EF_13</vt:lpwstr>
  </property>
</Properties>
</file>