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7F3B0">
      <w:pPr>
        <w:spacing w:before="85" w:line="225" w:lineRule="auto"/>
        <w:ind w:left="3440" w:right="1656" w:hanging="2050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19"/>
          <w:sz w:val="42"/>
          <w:szCs w:val="42"/>
        </w:rPr>
        <w:t>安徽省阜阳市颍泉区人民法院</w:t>
      </w:r>
      <w:r>
        <w:rPr>
          <w:rFonts w:ascii="宋体" w:hAnsi="宋体" w:eastAsia="宋体" w:cs="宋体"/>
          <w:spacing w:val="10"/>
          <w:sz w:val="42"/>
          <w:szCs w:val="42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2"/>
          <w:szCs w:val="42"/>
        </w:rPr>
        <w:t>决定书</w:t>
      </w:r>
    </w:p>
    <w:p w14:paraId="0D45D838">
      <w:pPr>
        <w:pStyle w:val="2"/>
        <w:spacing w:before="1" w:line="215" w:lineRule="auto"/>
        <w:ind w:left="5055"/>
      </w:pPr>
      <w:r>
        <w:rPr>
          <w:spacing w:val="-17"/>
        </w:rPr>
        <w:t>(2024)皖1204破24号</w:t>
      </w:r>
    </w:p>
    <w:p w14:paraId="0B41CA51">
      <w:pPr>
        <w:pStyle w:val="2"/>
        <w:tabs>
          <w:tab w:val="left" w:pos="83"/>
        </w:tabs>
        <w:spacing w:before="5" w:line="208" w:lineRule="auto"/>
        <w:ind w:left="4" w:right="264" w:firstLine="679"/>
        <w:jc w:val="both"/>
      </w:pPr>
      <w:r>
        <w:rPr>
          <w:spacing w:val="-14"/>
        </w:rPr>
        <w:t>2024年10月21日，本院依据刘春晖的申请，裁定受理阜</w:t>
      </w:r>
      <w:r>
        <w:rPr>
          <w:spacing w:val="3"/>
        </w:rPr>
        <w:t xml:space="preserve"> </w:t>
      </w:r>
      <w:r>
        <w:rPr>
          <w:spacing w:val="-14"/>
        </w:rPr>
        <w:t>阳市伍雁极生物科技有限责任公司破产清算</w:t>
      </w:r>
      <w:r>
        <w:rPr>
          <w:spacing w:val="-15"/>
        </w:rPr>
        <w:t>一案。本院依照</w:t>
      </w:r>
      <w:r>
        <w:t xml:space="preserve"> </w:t>
      </w:r>
      <w:r>
        <w:rPr>
          <w:spacing w:val="-10"/>
        </w:rPr>
        <w:t>《最高人民法院关于审理企业破产案件指定管理人的规定》</w:t>
      </w:r>
      <w:r>
        <w:t xml:space="preserve"> </w:t>
      </w:r>
      <w:r>
        <w:tab/>
      </w:r>
      <w:r>
        <w:rPr>
          <w:position w:val="-2"/>
        </w:rPr>
        <w:drawing>
          <wp:inline distT="0" distB="0" distL="0" distR="0">
            <wp:extent cx="209550" cy="571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0155" cy="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</w:rPr>
        <w:t>《安徽省高级人民法院关于审理企业破产案件指定管理人</w:t>
      </w:r>
      <w:r>
        <w:rPr>
          <w:spacing w:val="4"/>
        </w:rPr>
        <w:t xml:space="preserve"> </w:t>
      </w:r>
      <w:r>
        <w:rPr>
          <w:spacing w:val="-12"/>
        </w:rPr>
        <w:t>工作办法(试行)》的相关规定，指定安徽志豪律师事务</w:t>
      </w:r>
      <w:r>
        <w:rPr>
          <w:spacing w:val="-13"/>
        </w:rPr>
        <w:t>所为</w:t>
      </w:r>
      <w:r>
        <w:t xml:space="preserve"> </w:t>
      </w:r>
      <w:r>
        <w:rPr>
          <w:spacing w:val="-12"/>
        </w:rPr>
        <w:t>阜阳市伍雁极生物科技有限责任公司管理人。管理人应当勤</w:t>
      </w:r>
      <w:r>
        <w:rPr>
          <w:spacing w:val="10"/>
        </w:rPr>
        <w:t xml:space="preserve"> </w:t>
      </w:r>
      <w:r>
        <w:rPr>
          <w:spacing w:val="-12"/>
        </w:rPr>
        <w:t>勉尽责，忠实执行职务，履行《中华人民共和国企业破产法</w:t>
      </w:r>
      <w:r>
        <w:rPr>
          <w:spacing w:val="1"/>
        </w:rPr>
        <w:t xml:space="preserve"> </w:t>
      </w:r>
      <w:r>
        <w:rPr>
          <w:spacing w:val="-12"/>
        </w:rPr>
        <w:t>》规定的管理人的各项职责，向人民法院报告工作，并接受</w:t>
      </w:r>
      <w:r>
        <w:rPr>
          <w:spacing w:val="10"/>
        </w:rPr>
        <w:t xml:space="preserve"> </w:t>
      </w:r>
      <w:r>
        <w:rPr>
          <w:spacing w:val="-18"/>
        </w:rPr>
        <w:t>债权人会议和债权人委员会的监督。管理人职责如下：</w:t>
      </w:r>
    </w:p>
    <w:p w14:paraId="513114E5">
      <w:pPr>
        <w:pStyle w:val="2"/>
        <w:spacing w:line="220" w:lineRule="auto"/>
        <w:ind w:left="684"/>
      </w:pPr>
      <w:r>
        <w:rPr>
          <w:spacing w:val="-6"/>
        </w:rPr>
        <w:t>(一)接管债务人的财产、印章和账簿、文书等资料；</w:t>
      </w:r>
    </w:p>
    <w:p w14:paraId="613C5765">
      <w:pPr>
        <w:pStyle w:val="2"/>
        <w:spacing w:before="8" w:line="220" w:lineRule="auto"/>
        <w:ind w:left="684"/>
      </w:pPr>
      <w:r>
        <w:rPr>
          <w:spacing w:val="-17"/>
        </w:rPr>
        <w:t>(二)调查债务人财产状况，制作财产状况报告；</w:t>
      </w:r>
    </w:p>
    <w:p w14:paraId="321BE5B5">
      <w:pPr>
        <w:pStyle w:val="2"/>
        <w:spacing w:before="9" w:line="196" w:lineRule="auto"/>
        <w:ind w:left="684"/>
      </w:pPr>
      <w:r>
        <w:rPr>
          <w:spacing w:val="-24"/>
        </w:rPr>
        <w:t>(三)决定债务人的内部管理人事务；</w:t>
      </w:r>
    </w:p>
    <w:p w14:paraId="1767B848">
      <w:pPr>
        <w:pStyle w:val="2"/>
        <w:spacing w:before="2" w:line="211" w:lineRule="auto"/>
        <w:ind w:left="684"/>
      </w:pPr>
      <w:r>
        <w:rPr>
          <w:spacing w:val="-7"/>
        </w:rPr>
        <w:t>(四)决定债务人的日常开支和其他必要开支；</w:t>
      </w:r>
    </w:p>
    <w:p w14:paraId="025156D9">
      <w:pPr>
        <w:pStyle w:val="2"/>
        <w:spacing w:before="3" w:line="222" w:lineRule="auto"/>
        <w:ind w:left="4" w:right="573" w:firstLine="679"/>
      </w:pPr>
      <w:r>
        <w:rPr>
          <w:spacing w:val="-12"/>
        </w:rPr>
        <w:t>(五)在第一次债权人会议召开之前，决定继续或</w:t>
      </w:r>
      <w:r>
        <w:rPr>
          <w:spacing w:val="-13"/>
        </w:rPr>
        <w:t>者停</w:t>
      </w:r>
      <w:r>
        <w:t xml:space="preserve"> </w:t>
      </w:r>
      <w:r>
        <w:rPr>
          <w:spacing w:val="-15"/>
        </w:rPr>
        <w:t>止债务人的营业；</w:t>
      </w:r>
    </w:p>
    <w:p w14:paraId="41F5D885">
      <w:pPr>
        <w:pStyle w:val="2"/>
        <w:spacing w:before="1" w:line="207" w:lineRule="auto"/>
        <w:ind w:left="684"/>
      </w:pPr>
      <w:r>
        <w:rPr>
          <w:spacing w:val="-17"/>
        </w:rPr>
        <w:t>(六)管理和处分债务人的财产；</w:t>
      </w:r>
    </w:p>
    <w:p w14:paraId="58CBF000">
      <w:pPr>
        <w:pStyle w:val="2"/>
        <w:spacing w:line="219" w:lineRule="auto"/>
        <w:ind w:left="684"/>
      </w:pPr>
      <w:r>
        <w:rPr>
          <w:spacing w:val="-2"/>
        </w:rPr>
        <w:t>(七)代表债务人参加诉讼、仲裁或者其他法律程</w:t>
      </w:r>
      <w:r>
        <w:rPr>
          <w:spacing w:val="-3"/>
        </w:rPr>
        <w:t>序；</w:t>
      </w:r>
    </w:p>
    <w:p w14:paraId="34977CC3">
      <w:pPr>
        <w:pStyle w:val="2"/>
        <w:spacing w:before="1" w:line="219" w:lineRule="auto"/>
        <w:ind w:left="684"/>
      </w:pPr>
      <w:r>
        <w:rPr>
          <w:spacing w:val="9"/>
        </w:rPr>
        <w:t>(八)提议召开债权人会议；</w:t>
      </w:r>
    </w:p>
    <w:p w14:paraId="79B5D0B0">
      <w:pPr>
        <w:pStyle w:val="2"/>
        <w:spacing w:before="1" w:line="220" w:lineRule="auto"/>
        <w:ind w:left="684"/>
      </w:pPr>
      <w:r>
        <w:rPr>
          <w:spacing w:val="-5"/>
        </w:rPr>
        <w:t>(九)人民法院认为管理人应当履行的其他职责。</w:t>
      </w:r>
    </w:p>
    <w:p w14:paraId="52E880CB">
      <w:pPr>
        <w:pStyle w:val="2"/>
        <w:spacing w:before="70" w:line="222" w:lineRule="auto"/>
        <w:ind w:left="684"/>
      </w:pPr>
      <w:r>
        <w:rPr>
          <w:spacing w:val="-9"/>
        </w:rPr>
        <w:t>企业破产法对管理人的职责另有规定的，适用其规定。</w:t>
      </w:r>
    </w:p>
    <w:p w14:paraId="5CCA1F8E">
      <w:pPr>
        <w:pStyle w:val="2"/>
        <w:spacing w:before="45" w:line="228" w:lineRule="auto"/>
        <w:ind w:left="4" w:right="89" w:firstLine="679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956310</wp:posOffset>
            </wp:positionV>
            <wp:extent cx="1606550" cy="1600200"/>
            <wp:effectExtent l="0" t="0" r="1270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6587" cy="160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本案债权债务关系明确，债务人财产状况清楚，为提高</w:t>
      </w:r>
      <w:r>
        <w:rPr>
          <w:spacing w:val="18"/>
        </w:rPr>
        <w:t xml:space="preserve"> </w:t>
      </w:r>
      <w:r>
        <w:rPr>
          <w:spacing w:val="-4"/>
        </w:rPr>
        <w:t>审判效率，按照《最高人民法院关于推进破产案件依法高效</w:t>
      </w:r>
      <w:r>
        <w:rPr>
          <w:spacing w:val="12"/>
        </w:rPr>
        <w:t xml:space="preserve"> </w:t>
      </w:r>
      <w:r>
        <w:rPr>
          <w:spacing w:val="-5"/>
        </w:rPr>
        <w:t>审理的意见》《安徽省高级人民法院关于简化程序加快破产</w:t>
      </w:r>
      <w:r>
        <w:rPr>
          <w:spacing w:val="2"/>
        </w:rPr>
        <w:t xml:space="preserve"> </w:t>
      </w:r>
      <w:r>
        <w:rPr>
          <w:spacing w:val="1"/>
        </w:rPr>
        <w:t>案件审理的办案指南》的规定，本案适用简化审理方式。</w:t>
      </w:r>
    </w:p>
    <w:p w14:paraId="6107E6DB">
      <w:pPr>
        <w:spacing w:line="256" w:lineRule="auto"/>
        <w:rPr>
          <w:rFonts w:ascii="Arial"/>
          <w:sz w:val="21"/>
        </w:rPr>
      </w:pPr>
    </w:p>
    <w:p w14:paraId="5F8104BC">
      <w:pPr>
        <w:spacing w:line="257" w:lineRule="auto"/>
        <w:rPr>
          <w:rFonts w:ascii="Arial"/>
          <w:sz w:val="21"/>
        </w:rPr>
      </w:pPr>
    </w:p>
    <w:p w14:paraId="601A6A45">
      <w:pPr>
        <w:spacing w:line="257" w:lineRule="auto"/>
        <w:rPr>
          <w:rFonts w:ascii="Arial"/>
          <w:sz w:val="21"/>
        </w:rPr>
      </w:pPr>
    </w:p>
    <w:p w14:paraId="3A9C2697">
      <w:pPr>
        <w:spacing w:line="257" w:lineRule="auto"/>
        <w:rPr>
          <w:rFonts w:ascii="Arial"/>
          <w:sz w:val="21"/>
        </w:rPr>
      </w:pPr>
    </w:p>
    <w:p w14:paraId="6DF1C1A0">
      <w:pPr>
        <w:spacing w:line="257" w:lineRule="auto"/>
        <w:rPr>
          <w:rFonts w:ascii="Arial"/>
          <w:sz w:val="21"/>
        </w:rPr>
      </w:pPr>
    </w:p>
    <w:p w14:paraId="387B97B7">
      <w:pPr>
        <w:spacing w:line="257" w:lineRule="auto"/>
        <w:rPr>
          <w:rFonts w:ascii="Arial"/>
          <w:sz w:val="21"/>
        </w:rPr>
      </w:pPr>
    </w:p>
    <w:p w14:paraId="2A7A4EE5">
      <w:pPr>
        <w:spacing w:line="257" w:lineRule="auto"/>
        <w:rPr>
          <w:rFonts w:ascii="Arial"/>
          <w:sz w:val="21"/>
        </w:rPr>
      </w:pPr>
    </w:p>
    <w:p w14:paraId="7BE69918">
      <w:pPr>
        <w:spacing w:line="440" w:lineRule="exact"/>
        <w:ind w:firstLine="4975"/>
      </w:pPr>
      <w:r>
        <w:rPr>
          <w:position w:val="-8"/>
        </w:rPr>
        <w:drawing>
          <wp:inline distT="0" distB="0" distL="0" distR="0">
            <wp:extent cx="2057400" cy="279400"/>
            <wp:effectExtent l="0" t="0" r="0" b="635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7408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lMjc5YWZiNzVmZGNjODJhZDk5YWE4NjlkZTg4YmYifQ=="/>
  </w:docVars>
  <w:rsids>
    <w:rsidRoot w:val="485533D2"/>
    <w:rsid w:val="4855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2024-10-23T08:36:00Z</dcterms:created>
  <dc:creator>酉长</dc:creator>
  <cp:lastModifiedBy>酉长</cp:lastModifiedBy>
  <dcterms:modified xsi:type="dcterms:W3CDTF">2024-10-23T08:36:40Z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EDBBD943BF034D9F8008278D278B3FB6_11</vt:lpwstr>
  </property>
</Properties>
</file>