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EDFDF3">
      <w:pPr>
        <w:pStyle w:val="12"/>
        <w:tabs>
          <w:tab w:val="left" w:pos="1661"/>
        </w:tabs>
        <w:spacing w:before="0" w:line="600" w:lineRule="exact"/>
        <w:ind w:left="0" w:firstLine="0"/>
        <w:jc w:val="both"/>
        <w:rPr>
          <w:rFonts w:hint="eastAsia" w:ascii="黑体" w:hAnsi="黑体" w:eastAsia="黑体" w:cs="黑体"/>
          <w:color w:val="auto"/>
          <w:sz w:val="32"/>
          <w:szCs w:val="32"/>
          <w:highlight w:val="none"/>
          <w:lang w:val="en-US"/>
        </w:rPr>
      </w:pPr>
      <w:r>
        <w:rPr>
          <w:rFonts w:hint="eastAsia" w:ascii="黑体" w:hAnsi="黑体" w:eastAsia="黑体" w:cs="黑体"/>
          <w:color w:val="auto"/>
          <w:sz w:val="32"/>
          <w:szCs w:val="32"/>
          <w:highlight w:val="none"/>
          <w:lang w:val="en-US"/>
        </w:rPr>
        <w:t>附件2</w:t>
      </w:r>
    </w:p>
    <w:p w14:paraId="4A12A34A">
      <w:pPr>
        <w:pStyle w:val="12"/>
        <w:tabs>
          <w:tab w:val="left" w:pos="1661"/>
        </w:tabs>
        <w:spacing w:before="0" w:line="600" w:lineRule="exact"/>
        <w:ind w:left="0" w:firstLine="0"/>
        <w:jc w:val="center"/>
        <w:rPr>
          <w:rFonts w:ascii="华文中宋" w:hAnsi="华文中宋" w:eastAsia="华文中宋" w:cs="华文中宋"/>
          <w:b/>
          <w:bCs/>
          <w:color w:val="auto"/>
          <w:sz w:val="44"/>
          <w:szCs w:val="44"/>
          <w:highlight w:val="none"/>
          <w:lang w:val="en-US"/>
        </w:rPr>
      </w:pPr>
      <w:r>
        <w:rPr>
          <w:rFonts w:hint="eastAsia" w:ascii="华文中宋" w:hAnsi="华文中宋" w:eastAsia="华文中宋" w:cs="华文中宋"/>
          <w:b/>
          <w:bCs/>
          <w:color w:val="auto"/>
          <w:sz w:val="44"/>
          <w:szCs w:val="44"/>
          <w:highlight w:val="none"/>
          <w:lang w:val="en-US"/>
        </w:rPr>
        <w:t>比选规则</w:t>
      </w:r>
    </w:p>
    <w:p w14:paraId="2A3C7684">
      <w:pPr>
        <w:pStyle w:val="12"/>
        <w:tabs>
          <w:tab w:val="left" w:pos="1661"/>
        </w:tabs>
        <w:spacing w:before="0" w:line="600" w:lineRule="exact"/>
        <w:ind w:left="0" w:firstLine="0"/>
        <w:jc w:val="both"/>
        <w:rPr>
          <w:b/>
          <w:bCs/>
          <w:color w:val="auto"/>
          <w:sz w:val="32"/>
          <w:szCs w:val="32"/>
          <w:highlight w:val="none"/>
          <w:lang w:val="en-US"/>
        </w:rPr>
      </w:pPr>
    </w:p>
    <w:p w14:paraId="40A4A6E6">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黑体" w:hAnsi="黑体" w:eastAsia="黑体" w:cs="黑体"/>
          <w:color w:val="auto"/>
          <w:sz w:val="32"/>
          <w:szCs w:val="32"/>
          <w:highlight w:val="none"/>
          <w:lang w:val="en-US"/>
        </w:rPr>
      </w:pPr>
      <w:r>
        <w:rPr>
          <w:rFonts w:hint="eastAsia" w:ascii="黑体" w:hAnsi="黑体" w:eastAsia="黑体" w:cs="黑体"/>
          <w:color w:val="auto"/>
          <w:sz w:val="32"/>
          <w:szCs w:val="32"/>
          <w:highlight w:val="none"/>
          <w:lang w:val="en-US"/>
        </w:rPr>
        <w:t>一、总则</w:t>
      </w:r>
    </w:p>
    <w:p w14:paraId="607D2E5F">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rPr>
        <w:t>1、说明</w:t>
      </w:r>
    </w:p>
    <w:p w14:paraId="1B95A525">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本项目的比选人为</w:t>
      </w:r>
      <w:r>
        <w:rPr>
          <w:rFonts w:hint="eastAsia" w:ascii="仿宋_GB2312" w:hAnsi="仿宋_GB2312" w:eastAsia="仿宋_GB2312" w:cs="仿宋_GB2312"/>
          <w:color w:val="auto"/>
          <w:sz w:val="32"/>
          <w:szCs w:val="32"/>
          <w:highlight w:val="none"/>
          <w:lang w:eastAsia="zh-CN"/>
        </w:rPr>
        <w:t>攀枝花立博房地产开发有限公司（</w:t>
      </w:r>
      <w:r>
        <w:rPr>
          <w:rFonts w:hint="eastAsia" w:ascii="仿宋_GB2312" w:hAnsi="仿宋_GB2312" w:eastAsia="仿宋_GB2312" w:cs="仿宋_GB2312"/>
          <w:color w:val="auto"/>
          <w:sz w:val="32"/>
          <w:szCs w:val="32"/>
          <w:highlight w:val="none"/>
          <w:lang w:val="en-US" w:eastAsia="zh-CN"/>
        </w:rPr>
        <w:t>以下简称：立博公司）重整</w:t>
      </w:r>
      <w:r>
        <w:rPr>
          <w:rFonts w:hint="eastAsia" w:ascii="仿宋_GB2312" w:hAnsi="仿宋_GB2312" w:eastAsia="仿宋_GB2312" w:cs="仿宋_GB2312"/>
          <w:color w:val="auto"/>
          <w:sz w:val="32"/>
          <w:szCs w:val="32"/>
          <w:highlight w:val="none"/>
          <w:lang w:val="en-US"/>
        </w:rPr>
        <w:t>管理人，比选人组建的评选小组负责评选工作，必要时可邀请债务人、债权人代表、</w:t>
      </w:r>
      <w:r>
        <w:rPr>
          <w:rFonts w:hint="eastAsia" w:ascii="仿宋_GB2312" w:hAnsi="仿宋_GB2312" w:eastAsia="仿宋_GB2312" w:cs="仿宋_GB2312"/>
          <w:color w:val="auto"/>
          <w:sz w:val="32"/>
          <w:szCs w:val="32"/>
          <w:highlight w:val="none"/>
          <w:lang w:val="en-US" w:eastAsia="zh-CN"/>
        </w:rPr>
        <w:t>主管部门、</w:t>
      </w:r>
      <w:r>
        <w:rPr>
          <w:rFonts w:hint="eastAsia" w:ascii="仿宋_GB2312" w:hAnsi="仿宋_GB2312" w:eastAsia="仿宋_GB2312" w:cs="仿宋_GB2312"/>
          <w:color w:val="auto"/>
          <w:sz w:val="32"/>
          <w:szCs w:val="32"/>
          <w:highlight w:val="none"/>
          <w:lang w:val="en-US"/>
        </w:rPr>
        <w:t>法院工作人员参与监督比选过程。</w:t>
      </w:r>
    </w:p>
    <w:p w14:paraId="5971FBFA">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rPr>
        <w:t>2、服务范围及工作要求</w:t>
      </w:r>
    </w:p>
    <w:p w14:paraId="715327B9">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对</w:t>
      </w:r>
      <w:r>
        <w:rPr>
          <w:rFonts w:hint="eastAsia" w:ascii="仿宋_GB2312" w:hAnsi="仿宋_GB2312" w:eastAsia="仿宋_GB2312" w:cs="仿宋_GB2312"/>
          <w:color w:val="auto"/>
          <w:sz w:val="32"/>
          <w:szCs w:val="32"/>
          <w:highlight w:val="none"/>
          <w:lang w:eastAsia="zh-CN"/>
        </w:rPr>
        <w:t>立博公司</w:t>
      </w:r>
      <w:r>
        <w:rPr>
          <w:rFonts w:hint="eastAsia" w:ascii="仿宋_GB2312" w:hAnsi="仿宋_GB2312" w:eastAsia="仿宋_GB2312" w:cs="仿宋_GB2312"/>
          <w:color w:val="auto"/>
          <w:sz w:val="32"/>
          <w:szCs w:val="32"/>
          <w:highlight w:val="none"/>
          <w:lang w:val="en-US"/>
        </w:rPr>
        <w:t>名下全部资产进行评估，并出具评估报告，具体如下：</w:t>
      </w:r>
    </w:p>
    <w:p w14:paraId="58FF2409">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val="en-US"/>
        </w:rPr>
        <w:t>）对房屋及车位的在建工程价值和竣工状态下的市场价值分别进行评估；</w:t>
      </w:r>
    </w:p>
    <w:p w14:paraId="2EC211BA">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val="en-US"/>
        </w:rPr>
        <w:t>）</w:t>
      </w:r>
      <w:r>
        <w:rPr>
          <w:rFonts w:hint="eastAsia" w:ascii="仿宋_GB2312" w:hAnsi="仿宋_GB2312" w:eastAsia="仿宋_GB2312" w:cs="仿宋_GB2312"/>
          <w:color w:val="auto"/>
          <w:sz w:val="32"/>
          <w:szCs w:val="32"/>
          <w:highlight w:val="none"/>
          <w:lang w:val="en-US" w:eastAsia="zh-Hans"/>
        </w:rPr>
        <w:t>对</w:t>
      </w:r>
      <w:r>
        <w:rPr>
          <w:rFonts w:hint="eastAsia" w:ascii="仿宋_GB2312" w:hAnsi="仿宋_GB2312" w:eastAsia="仿宋_GB2312" w:cs="仿宋_GB2312"/>
          <w:color w:val="auto"/>
          <w:sz w:val="32"/>
          <w:szCs w:val="32"/>
          <w:highlight w:val="none"/>
          <w:lang w:val="en-US" w:eastAsia="zh-CN"/>
        </w:rPr>
        <w:t>抵押资产价值</w:t>
      </w:r>
      <w:r>
        <w:rPr>
          <w:rFonts w:hint="eastAsia" w:ascii="仿宋_GB2312" w:hAnsi="仿宋_GB2312" w:eastAsia="仿宋_GB2312" w:cs="仿宋_GB2312"/>
          <w:color w:val="auto"/>
          <w:sz w:val="32"/>
          <w:szCs w:val="32"/>
          <w:highlight w:val="none"/>
          <w:lang w:val="en-US" w:eastAsia="zh-Hans"/>
        </w:rPr>
        <w:t>进行评估；</w:t>
      </w:r>
    </w:p>
    <w:p w14:paraId="10765162">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Hans"/>
        </w:rPr>
      </w:pPr>
      <w:r>
        <w:rPr>
          <w:rFonts w:hint="eastAsia" w:ascii="仿宋_GB2312" w:hAnsi="仿宋_GB2312" w:eastAsia="仿宋_GB2312" w:cs="仿宋_GB2312"/>
          <w:color w:val="auto"/>
          <w:sz w:val="32"/>
          <w:szCs w:val="32"/>
          <w:highlight w:val="none"/>
          <w:lang w:val="en-US" w:eastAsia="zh-Hans"/>
        </w:rPr>
        <w:t>（</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val="en-US" w:eastAsia="zh-Hans"/>
        </w:rPr>
        <w:t>）</w:t>
      </w:r>
      <w:r>
        <w:rPr>
          <w:rFonts w:hint="eastAsia" w:ascii="仿宋_GB2312" w:hAnsi="仿宋_GB2312" w:eastAsia="仿宋_GB2312" w:cs="仿宋_GB2312"/>
          <w:color w:val="auto"/>
          <w:sz w:val="32"/>
          <w:szCs w:val="32"/>
          <w:highlight w:val="none"/>
          <w:lang w:val="en-US"/>
        </w:rPr>
        <w:t>对其他资产的市场价值进行评估</w:t>
      </w:r>
      <w:r>
        <w:rPr>
          <w:rFonts w:hint="eastAsia" w:ascii="仿宋_GB2312" w:hAnsi="仿宋_GB2312" w:eastAsia="仿宋_GB2312" w:cs="仿宋_GB2312"/>
          <w:color w:val="auto"/>
          <w:sz w:val="32"/>
          <w:szCs w:val="32"/>
          <w:highlight w:val="none"/>
          <w:lang w:val="en-US" w:eastAsia="zh-Hans"/>
        </w:rPr>
        <w:t>；</w:t>
      </w:r>
    </w:p>
    <w:p w14:paraId="38B47F47">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lang w:val="en-US"/>
        </w:rPr>
        <w:t>）</w:t>
      </w:r>
      <w:r>
        <w:rPr>
          <w:rFonts w:hint="eastAsia" w:ascii="仿宋_GB2312" w:hAnsi="仿宋_GB2312" w:eastAsia="仿宋_GB2312" w:cs="仿宋_GB2312"/>
          <w:color w:val="auto"/>
          <w:sz w:val="32"/>
          <w:szCs w:val="32"/>
          <w:highlight w:val="none"/>
          <w:lang w:val="en-US" w:eastAsia="zh-CN"/>
        </w:rPr>
        <w:t>重整</w:t>
      </w:r>
      <w:r>
        <w:rPr>
          <w:rFonts w:hint="eastAsia" w:ascii="仿宋_GB2312" w:hAnsi="仿宋_GB2312" w:eastAsia="仿宋_GB2312" w:cs="仿宋_GB2312"/>
          <w:color w:val="auto"/>
          <w:sz w:val="32"/>
          <w:szCs w:val="32"/>
          <w:highlight w:val="none"/>
          <w:lang w:val="en-US"/>
        </w:rPr>
        <w:t>管理人根据案件需要安排的其他专项资产评估工作。</w:t>
      </w:r>
    </w:p>
    <w:p w14:paraId="50AF809D">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中选机构为上述资产提供评估服务按照中选价格收取服务费用，不得再另行主张其他费用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管理人视破产程序的进展情况报法院后安排支付时间。</w:t>
      </w:r>
    </w:p>
    <w:p w14:paraId="5DCFEC9C">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rPr>
        <w:t>3.申请人资格要求</w:t>
      </w:r>
    </w:p>
    <w:p w14:paraId="34CD15B2">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val="en-US"/>
        </w:rPr>
        <w:t>）截至202</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lang w:val="en-US"/>
        </w:rPr>
        <w:t>年</w:t>
      </w:r>
      <w:r>
        <w:rPr>
          <w:rFonts w:hint="eastAsia" w:ascii="仿宋_GB2312" w:hAnsi="仿宋_GB2312" w:eastAsia="仿宋_GB2312" w:cs="仿宋_GB2312"/>
          <w:color w:val="auto"/>
          <w:sz w:val="32"/>
          <w:szCs w:val="32"/>
          <w:highlight w:val="none"/>
          <w:lang w:val="en-US" w:eastAsia="zh-CN"/>
        </w:rPr>
        <w:t>10</w:t>
      </w:r>
      <w:r>
        <w:rPr>
          <w:rFonts w:hint="eastAsia" w:ascii="仿宋_GB2312" w:hAnsi="仿宋_GB2312" w:eastAsia="仿宋_GB2312" w:cs="仿宋_GB2312"/>
          <w:color w:val="auto"/>
          <w:sz w:val="32"/>
          <w:szCs w:val="32"/>
          <w:highlight w:val="none"/>
          <w:lang w:val="en-US"/>
        </w:rPr>
        <w:t>月</w:t>
      </w:r>
      <w:r>
        <w:rPr>
          <w:rFonts w:hint="eastAsia" w:ascii="仿宋_GB2312" w:hAnsi="仿宋_GB2312" w:eastAsia="仿宋_GB2312" w:cs="仿宋_GB2312"/>
          <w:color w:val="auto"/>
          <w:sz w:val="32"/>
          <w:szCs w:val="32"/>
          <w:highlight w:val="none"/>
          <w:lang w:val="en-US" w:eastAsia="zh-CN"/>
        </w:rPr>
        <w:t>30</w:t>
      </w:r>
      <w:r>
        <w:rPr>
          <w:rFonts w:hint="eastAsia" w:ascii="仿宋_GB2312" w:hAnsi="仿宋_GB2312" w:eastAsia="仿宋_GB2312" w:cs="仿宋_GB2312"/>
          <w:color w:val="auto"/>
          <w:sz w:val="32"/>
          <w:szCs w:val="32"/>
          <w:highlight w:val="none"/>
          <w:lang w:val="en-US"/>
        </w:rPr>
        <w:t>日，资产评估机构已列入四川法院对外委</w:t>
      </w:r>
      <w:r>
        <w:rPr>
          <w:rFonts w:hint="eastAsia" w:ascii="仿宋_GB2312" w:hAnsi="仿宋_GB2312" w:eastAsia="仿宋_GB2312" w:cs="仿宋_GB2312"/>
          <w:color w:val="000000" w:themeColor="text1"/>
          <w:sz w:val="32"/>
          <w:szCs w:val="32"/>
          <w:highlight w:val="none"/>
          <w:lang w:val="en-US"/>
          <w14:textFill>
            <w14:solidFill>
              <w14:schemeClr w14:val="tx1"/>
            </w14:solidFill>
          </w14:textFill>
        </w:rPr>
        <w:t>托专业机构电子信息平台库（现行有效）的四川省高级人民法院或者</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攀枝花</w:t>
      </w:r>
      <w:r>
        <w:rPr>
          <w:rFonts w:hint="eastAsia" w:ascii="仿宋_GB2312" w:hAnsi="仿宋_GB2312" w:eastAsia="仿宋_GB2312" w:cs="仿宋_GB2312"/>
          <w:color w:val="000000" w:themeColor="text1"/>
          <w:sz w:val="32"/>
          <w:szCs w:val="32"/>
          <w:highlight w:val="none"/>
          <w:lang w:val="en-US"/>
          <w14:textFill>
            <w14:solidFill>
              <w14:schemeClr w14:val="tx1"/>
            </w14:solidFill>
          </w14:textFill>
        </w:rPr>
        <w:t>市中级人民法</w:t>
      </w:r>
      <w:r>
        <w:rPr>
          <w:rFonts w:hint="eastAsia" w:ascii="仿宋_GB2312" w:hAnsi="仿宋_GB2312" w:eastAsia="仿宋_GB2312" w:cs="仿宋_GB2312"/>
          <w:color w:val="auto"/>
          <w:sz w:val="32"/>
          <w:szCs w:val="32"/>
          <w:highlight w:val="none"/>
          <w:lang w:val="en-US"/>
        </w:rPr>
        <w:t>院名单</w:t>
      </w:r>
      <w:bookmarkStart w:id="0" w:name="_GoBack"/>
      <w:bookmarkEnd w:id="0"/>
      <w:r>
        <w:rPr>
          <w:rFonts w:hint="eastAsia" w:ascii="仿宋_GB2312" w:hAnsi="仿宋_GB2312" w:eastAsia="仿宋_GB2312" w:cs="仿宋_GB2312"/>
          <w:color w:val="auto"/>
          <w:sz w:val="32"/>
          <w:szCs w:val="32"/>
          <w:highlight w:val="none"/>
          <w:lang w:val="en-US"/>
        </w:rPr>
        <w:t>中。</w:t>
      </w:r>
    </w:p>
    <w:p w14:paraId="16A16FCD">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val="en-US"/>
        </w:rPr>
        <w:t>）资产评估机构需具备房地产、固定资产、股权、知识产权评估相关的评估资质。</w:t>
      </w:r>
    </w:p>
    <w:p w14:paraId="46E0A0F3">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val="en-US"/>
        </w:rPr>
        <w:t>）参选机构与本案债务人、债权人、</w:t>
      </w:r>
      <w:r>
        <w:rPr>
          <w:rFonts w:hint="eastAsia" w:ascii="仿宋_GB2312" w:hAnsi="仿宋_GB2312" w:eastAsia="仿宋_GB2312" w:cs="仿宋_GB2312"/>
          <w:color w:val="auto"/>
          <w:sz w:val="32"/>
          <w:szCs w:val="32"/>
          <w:highlight w:val="none"/>
          <w:lang w:val="en-US" w:eastAsia="zh-CN"/>
        </w:rPr>
        <w:t>重整</w:t>
      </w:r>
      <w:r>
        <w:rPr>
          <w:rFonts w:hint="eastAsia" w:ascii="仿宋_GB2312" w:hAnsi="仿宋_GB2312" w:eastAsia="仿宋_GB2312" w:cs="仿宋_GB2312"/>
          <w:color w:val="auto"/>
          <w:sz w:val="32"/>
          <w:szCs w:val="32"/>
          <w:highlight w:val="none"/>
          <w:lang w:val="en-US"/>
        </w:rPr>
        <w:t>管理人及人员无利益关系或其他影响独立公正评估的利害关系，无其他依规定应当予以回避的情形。</w:t>
      </w:r>
    </w:p>
    <w:p w14:paraId="5F3198C5">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lang w:val="en-US"/>
        </w:rPr>
        <w:t>）参选机构及其从业人员在三年内未因执业、经营中断或重大过失等受到行政机关、监管机构、人民法院或行业自律组织的处罚或处分，且不得进入国家信用信息公示的失信人名单。</w:t>
      </w:r>
    </w:p>
    <w:p w14:paraId="00834ECD">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lang w:val="en-US"/>
        </w:rPr>
        <w:t>）能够根据管理人的要求及时开展评估工作，按时出具评估报告。</w:t>
      </w:r>
    </w:p>
    <w:p w14:paraId="2CD3E0A1">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lang w:val="en-US"/>
        </w:rPr>
        <w:t>）有破产案件评估经验者优先考虑。</w:t>
      </w:r>
    </w:p>
    <w:p w14:paraId="72313128">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w:t>
      </w: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lang w:val="en-US"/>
        </w:rPr>
        <w:t>）中小微企业优先考虑。</w:t>
      </w:r>
    </w:p>
    <w:p w14:paraId="7BD1ACFA">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rPr>
        <w:t>4、比选费用</w:t>
      </w:r>
    </w:p>
    <w:p w14:paraId="1D7A380B">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本次比选，比选人不收取任何费用。但参选人应自行承担其编制比选申请文件及递交比选申请文件所涉及的一切费用。无论比选结果如何，比选人对上述费用不负任何责任。</w:t>
      </w:r>
    </w:p>
    <w:p w14:paraId="6C52A426">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rPr>
        <w:t>5、备选机构接替条件</w:t>
      </w:r>
    </w:p>
    <w:p w14:paraId="7516CFCF">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（1）中选机构在比选截止日期后，在比选有效期内撤回比选或中选机构在收到中选通知书后，由于自身原因未能在约定的时间内与比选人进行合同谈判，其中选资格将被取消，并由备选机构接替。</w:t>
      </w:r>
    </w:p>
    <w:p w14:paraId="64727EAE">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（2）中选机构如存在不当行为（包括但不限于逾期完成工作任务、拒不整改、虽整改后仍不符合要求、违反保密义务、违反职业准则等），法院、管理人有权终止与其的服务合同，并由备选机构接替。</w:t>
      </w:r>
    </w:p>
    <w:p w14:paraId="77632A08">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黑体" w:hAnsi="黑体" w:eastAsia="黑体" w:cs="黑体"/>
          <w:color w:val="auto"/>
          <w:sz w:val="32"/>
          <w:szCs w:val="32"/>
          <w:highlight w:val="none"/>
          <w:lang w:val="en-US"/>
        </w:rPr>
      </w:pPr>
      <w:r>
        <w:rPr>
          <w:rFonts w:hint="eastAsia" w:ascii="黑体" w:hAnsi="黑体" w:eastAsia="黑体" w:cs="黑体"/>
          <w:color w:val="auto"/>
          <w:sz w:val="32"/>
          <w:szCs w:val="32"/>
          <w:highlight w:val="none"/>
          <w:lang w:val="en-US"/>
        </w:rPr>
        <w:t>二、比选文件</w:t>
      </w:r>
    </w:p>
    <w:p w14:paraId="7A1F8C90">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rPr>
        <w:t>1、比选文件的组成</w:t>
      </w:r>
    </w:p>
    <w:p w14:paraId="69F7861B">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（1）比选文件包括：比选公告、比选须知、比选规则、比选申请文件格式。</w:t>
      </w:r>
    </w:p>
    <w:p w14:paraId="7E161238">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（2）除（1）条列明的内容外，参选人在提交比选申请文件前，比选人以书面形式发出的对比选文件的澄清或修改内容，均视为比选文件的组成部分。</w:t>
      </w:r>
    </w:p>
    <w:p w14:paraId="2D6183B1">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3）参选人收到比选文件时，应检查页数。参选人发现任何页数的遗缺、任何数字或词汇模糊不清、任何词义含混或意义不清，应通知比选人补全或澄清。参选人应认真审阅比选文件中所有的比选须知及比选规则，如果参选人编制的比选申请文件不符合规定的要求，其比选申请文件将被视为不合格的比选申请文件。</w:t>
      </w:r>
    </w:p>
    <w:p w14:paraId="01BF5439">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（4）比选文件及补充资料前后有矛盾的，以时间在后的为准。</w:t>
      </w:r>
    </w:p>
    <w:p w14:paraId="57839637">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rPr>
        <w:t>2、比选文件的澄清</w:t>
      </w:r>
    </w:p>
    <w:p w14:paraId="43756A55">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（1）任何要求对比选文件提出澄清的参选人，应以书面或传真形式（须加盖公章）提出。</w:t>
      </w:r>
    </w:p>
    <w:p w14:paraId="0C8EF146">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（2）本比选文件由比选人负责解释。</w:t>
      </w:r>
    </w:p>
    <w:p w14:paraId="1F8B7ED7">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黑体" w:hAnsi="黑体" w:eastAsia="黑体" w:cs="黑体"/>
          <w:color w:val="auto"/>
          <w:sz w:val="32"/>
          <w:szCs w:val="32"/>
          <w:highlight w:val="none"/>
          <w:lang w:val="en-US"/>
        </w:rPr>
      </w:pPr>
      <w:r>
        <w:rPr>
          <w:rFonts w:hint="eastAsia" w:ascii="黑体" w:hAnsi="黑体" w:eastAsia="黑体" w:cs="黑体"/>
          <w:color w:val="auto"/>
          <w:sz w:val="32"/>
          <w:szCs w:val="32"/>
          <w:highlight w:val="none"/>
          <w:lang w:val="en-US"/>
        </w:rPr>
        <w:t>三、比选申请文件</w:t>
      </w:r>
    </w:p>
    <w:p w14:paraId="370E6935">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left="0" w:firstLine="663" w:firstLineChars="200"/>
        <w:jc w:val="left"/>
        <w:textAlignment w:val="auto"/>
        <w:rPr>
          <w:rStyle w:val="11"/>
          <w:rFonts w:hint="eastAsia" w:ascii="仿宋" w:hAnsi="仿宋" w:eastAsia="仿宋" w:cs="仿宋"/>
          <w:spacing w:val="5"/>
          <w:kern w:val="0"/>
          <w:sz w:val="32"/>
          <w:szCs w:val="32"/>
          <w:lang w:val="en-US" w:eastAsia="zh-CN" w:bidi="ar"/>
        </w:rPr>
      </w:pPr>
      <w:r>
        <w:rPr>
          <w:rStyle w:val="11"/>
          <w:rFonts w:hint="eastAsia" w:ascii="仿宋" w:hAnsi="仿宋" w:eastAsia="仿宋" w:cs="仿宋"/>
          <w:spacing w:val="5"/>
          <w:kern w:val="0"/>
          <w:sz w:val="32"/>
          <w:szCs w:val="32"/>
          <w:lang w:val="en-US" w:eastAsia="zh-CN" w:bidi="ar"/>
        </w:rPr>
        <w:t>（一）比选申请文件编写</w:t>
      </w:r>
    </w:p>
    <w:p w14:paraId="2DE1773A">
      <w:pPr>
        <w:keepNext w:val="0"/>
        <w:keepLines w:val="0"/>
        <w:pageBreakBefore w:val="0"/>
        <w:widowControl/>
        <w:suppressLineNumbers w:val="0"/>
        <w:kinsoku/>
        <w:wordWrap/>
        <w:overflowPunct/>
        <w:topLinePunct w:val="0"/>
        <w:autoSpaceDE/>
        <w:autoSpaceDN/>
        <w:bidi w:val="0"/>
        <w:adjustRightInd/>
        <w:snapToGrid/>
        <w:spacing w:line="560" w:lineRule="exact"/>
        <w:ind w:left="0" w:firstLine="660" w:firstLineChars="200"/>
        <w:jc w:val="left"/>
        <w:textAlignment w:val="auto"/>
        <w:rPr>
          <w:rFonts w:hint="eastAsia" w:ascii="仿宋" w:hAnsi="仿宋" w:eastAsia="仿宋" w:cs="仿宋"/>
          <w:spacing w:val="5"/>
          <w:kern w:val="0"/>
          <w:sz w:val="32"/>
          <w:szCs w:val="32"/>
          <w:lang w:val="en-US" w:eastAsia="zh-CN" w:bidi="ar"/>
        </w:rPr>
      </w:pPr>
      <w:r>
        <w:rPr>
          <w:rFonts w:hint="eastAsia" w:ascii="仿宋" w:hAnsi="仿宋" w:eastAsia="仿宋" w:cs="仿宋"/>
          <w:spacing w:val="5"/>
          <w:kern w:val="0"/>
          <w:sz w:val="32"/>
          <w:szCs w:val="32"/>
          <w:lang w:val="en-US" w:eastAsia="zh-CN" w:bidi="ar"/>
        </w:rPr>
        <w:t>1.参选机构主体资质材料，包括营业执照、法定代表人证明书及身份证复印件、经办人委托书及经办人身份证复印件；</w:t>
      </w:r>
    </w:p>
    <w:p w14:paraId="61F8F515">
      <w:pPr>
        <w:keepNext w:val="0"/>
        <w:keepLines w:val="0"/>
        <w:pageBreakBefore w:val="0"/>
        <w:widowControl/>
        <w:suppressLineNumbers w:val="0"/>
        <w:kinsoku/>
        <w:wordWrap/>
        <w:overflowPunct/>
        <w:topLinePunct w:val="0"/>
        <w:autoSpaceDE/>
        <w:autoSpaceDN/>
        <w:bidi w:val="0"/>
        <w:adjustRightInd/>
        <w:snapToGrid/>
        <w:spacing w:line="560" w:lineRule="exact"/>
        <w:ind w:left="0" w:firstLine="660" w:firstLineChars="200"/>
        <w:jc w:val="left"/>
        <w:textAlignment w:val="auto"/>
        <w:rPr>
          <w:rFonts w:hint="eastAsia" w:ascii="仿宋" w:hAnsi="仿宋" w:eastAsia="仿宋" w:cs="仿宋"/>
          <w:spacing w:val="5"/>
          <w:kern w:val="0"/>
          <w:sz w:val="32"/>
          <w:szCs w:val="32"/>
          <w:lang w:val="en-US" w:eastAsia="zh-CN" w:bidi="ar"/>
        </w:rPr>
      </w:pPr>
      <w:r>
        <w:rPr>
          <w:rFonts w:hint="eastAsia" w:ascii="仿宋" w:hAnsi="仿宋" w:eastAsia="仿宋" w:cs="仿宋"/>
          <w:spacing w:val="5"/>
          <w:kern w:val="0"/>
          <w:sz w:val="32"/>
          <w:szCs w:val="32"/>
          <w:lang w:val="en-US" w:eastAsia="zh-CN" w:bidi="ar"/>
        </w:rPr>
        <w:t>2.相关</w:t>
      </w:r>
      <w:r>
        <w:rPr>
          <w:rFonts w:hint="eastAsia" w:ascii="仿宋_GB2312" w:hAnsi="仿宋_GB2312" w:eastAsia="仿宋_GB2312" w:cs="仿宋_GB2312"/>
          <w:color w:val="auto"/>
          <w:sz w:val="32"/>
          <w:szCs w:val="32"/>
          <w:highlight w:val="none"/>
          <w:lang w:val="en-US"/>
        </w:rPr>
        <w:t>破产案件评估</w:t>
      </w:r>
      <w:r>
        <w:rPr>
          <w:rFonts w:hint="eastAsia" w:ascii="仿宋" w:hAnsi="仿宋" w:eastAsia="仿宋" w:cs="仿宋"/>
          <w:spacing w:val="5"/>
          <w:kern w:val="0"/>
          <w:sz w:val="32"/>
          <w:szCs w:val="32"/>
          <w:lang w:val="en-US" w:eastAsia="zh-CN" w:bidi="ar"/>
        </w:rPr>
        <w:t>经验和能力的证明材料，符合要求的成功业绩（需提供工作成果证明材料，包含经办房地产领域破产案件</w:t>
      </w:r>
      <w:r>
        <w:rPr>
          <w:rFonts w:hint="eastAsia" w:ascii="仿宋_GB2312" w:hAnsi="仿宋_GB2312" w:eastAsia="仿宋_GB2312" w:cs="仿宋_GB2312"/>
          <w:color w:val="auto"/>
          <w:sz w:val="32"/>
          <w:szCs w:val="32"/>
          <w:highlight w:val="none"/>
          <w:lang w:val="en-US"/>
        </w:rPr>
        <w:t>评估</w:t>
      </w:r>
      <w:r>
        <w:rPr>
          <w:rFonts w:hint="eastAsia" w:ascii="仿宋" w:hAnsi="仿宋" w:eastAsia="仿宋" w:cs="仿宋"/>
          <w:spacing w:val="5"/>
          <w:kern w:val="0"/>
          <w:sz w:val="32"/>
          <w:szCs w:val="32"/>
          <w:lang w:val="en-US" w:eastAsia="zh-CN" w:bidi="ar"/>
        </w:rPr>
        <w:t>服务的证明文件等）；</w:t>
      </w:r>
    </w:p>
    <w:p w14:paraId="159B5A91">
      <w:pPr>
        <w:keepNext w:val="0"/>
        <w:keepLines w:val="0"/>
        <w:pageBreakBefore w:val="0"/>
        <w:widowControl/>
        <w:suppressLineNumbers w:val="0"/>
        <w:kinsoku/>
        <w:wordWrap/>
        <w:overflowPunct/>
        <w:topLinePunct w:val="0"/>
        <w:autoSpaceDE/>
        <w:autoSpaceDN/>
        <w:bidi w:val="0"/>
        <w:adjustRightInd/>
        <w:snapToGrid/>
        <w:spacing w:line="560" w:lineRule="exact"/>
        <w:ind w:left="0" w:firstLine="660" w:firstLineChars="200"/>
        <w:jc w:val="left"/>
        <w:textAlignment w:val="auto"/>
        <w:rPr>
          <w:rFonts w:hint="eastAsia" w:ascii="仿宋" w:hAnsi="仿宋" w:eastAsia="仿宋" w:cs="仿宋"/>
          <w:spacing w:val="5"/>
          <w:kern w:val="0"/>
          <w:sz w:val="32"/>
          <w:szCs w:val="32"/>
          <w:lang w:val="en-US" w:eastAsia="zh-CN" w:bidi="ar"/>
        </w:rPr>
      </w:pPr>
      <w:r>
        <w:rPr>
          <w:rFonts w:hint="eastAsia" w:ascii="仿宋" w:hAnsi="仿宋" w:eastAsia="仿宋" w:cs="仿宋"/>
          <w:spacing w:val="5"/>
          <w:kern w:val="0"/>
          <w:sz w:val="32"/>
          <w:szCs w:val="32"/>
          <w:lang w:val="en-US" w:eastAsia="zh-CN" w:bidi="ar"/>
        </w:rPr>
        <w:t>3.对本项目的</w:t>
      </w:r>
      <w:r>
        <w:rPr>
          <w:rFonts w:hint="eastAsia" w:ascii="仿宋_GB2312" w:hAnsi="仿宋_GB2312" w:eastAsia="仿宋_GB2312" w:cs="仿宋_GB2312"/>
          <w:color w:val="auto"/>
          <w:sz w:val="32"/>
          <w:szCs w:val="32"/>
          <w:highlight w:val="none"/>
          <w:lang w:val="en-US"/>
        </w:rPr>
        <w:t>评估</w:t>
      </w:r>
      <w:r>
        <w:rPr>
          <w:rFonts w:hint="eastAsia" w:ascii="仿宋" w:hAnsi="仿宋" w:eastAsia="仿宋" w:cs="仿宋"/>
          <w:spacing w:val="5"/>
          <w:kern w:val="0"/>
          <w:sz w:val="32"/>
          <w:szCs w:val="32"/>
          <w:lang w:val="en-US" w:eastAsia="zh-CN" w:bidi="ar"/>
        </w:rPr>
        <w:t>服务工作方案，包括工作思路、团队配置、服务计划、工作步骤以及其他值得关注的问题；</w:t>
      </w:r>
    </w:p>
    <w:p w14:paraId="701D9E90">
      <w:pPr>
        <w:keepNext w:val="0"/>
        <w:keepLines w:val="0"/>
        <w:pageBreakBefore w:val="0"/>
        <w:widowControl/>
        <w:suppressLineNumbers w:val="0"/>
        <w:kinsoku/>
        <w:wordWrap/>
        <w:overflowPunct/>
        <w:topLinePunct w:val="0"/>
        <w:autoSpaceDE/>
        <w:autoSpaceDN/>
        <w:bidi w:val="0"/>
        <w:adjustRightInd/>
        <w:snapToGrid/>
        <w:spacing w:line="560" w:lineRule="exact"/>
        <w:ind w:left="0" w:firstLine="660" w:firstLineChars="200"/>
        <w:jc w:val="left"/>
        <w:textAlignment w:val="auto"/>
        <w:rPr>
          <w:rFonts w:hint="eastAsia" w:ascii="仿宋" w:hAnsi="仿宋" w:eastAsia="仿宋" w:cs="仿宋"/>
          <w:spacing w:val="5"/>
          <w:kern w:val="0"/>
          <w:sz w:val="32"/>
          <w:szCs w:val="32"/>
          <w:lang w:val="en-US" w:eastAsia="zh-CN" w:bidi="ar"/>
        </w:rPr>
      </w:pPr>
      <w:r>
        <w:rPr>
          <w:rFonts w:hint="eastAsia" w:ascii="仿宋" w:hAnsi="仿宋" w:eastAsia="仿宋" w:cs="仿宋"/>
          <w:spacing w:val="5"/>
          <w:kern w:val="0"/>
          <w:sz w:val="32"/>
          <w:szCs w:val="32"/>
          <w:lang w:val="en-US" w:eastAsia="zh-CN" w:bidi="ar"/>
        </w:rPr>
        <w:t>4.报价函。参选人报价必须符</w:t>
      </w:r>
      <w:r>
        <w:rPr>
          <w:rFonts w:hint="eastAsia" w:ascii="仿宋" w:hAnsi="仿宋" w:eastAsia="仿宋" w:cs="仿宋"/>
          <w:spacing w:val="5"/>
          <w:kern w:val="0"/>
          <w:sz w:val="32"/>
          <w:szCs w:val="32"/>
          <w:highlight w:val="none"/>
          <w:lang w:val="en-US" w:eastAsia="zh-CN" w:bidi="ar"/>
        </w:rPr>
        <w:t>合附件1《比选须知》的“报</w:t>
      </w:r>
      <w:r>
        <w:rPr>
          <w:rFonts w:hint="eastAsia" w:ascii="仿宋" w:hAnsi="仿宋" w:eastAsia="仿宋" w:cs="仿宋"/>
          <w:spacing w:val="5"/>
          <w:kern w:val="0"/>
          <w:sz w:val="32"/>
          <w:szCs w:val="32"/>
          <w:lang w:val="en-US" w:eastAsia="zh-CN" w:bidi="ar"/>
        </w:rPr>
        <w:t>价要求”，否则视为无效报价。参选人的比选报价应是比选文件所确定的服务范围内的全部工作内容的价格体现。参选人的报价应是完成所有工作的费用，包括但不限于人工费、差旅费、税费；</w:t>
      </w:r>
    </w:p>
    <w:p w14:paraId="6E74993C">
      <w:pPr>
        <w:keepNext w:val="0"/>
        <w:keepLines w:val="0"/>
        <w:pageBreakBefore w:val="0"/>
        <w:widowControl/>
        <w:suppressLineNumbers w:val="0"/>
        <w:kinsoku/>
        <w:wordWrap/>
        <w:overflowPunct/>
        <w:topLinePunct w:val="0"/>
        <w:autoSpaceDE/>
        <w:autoSpaceDN/>
        <w:bidi w:val="0"/>
        <w:adjustRightInd/>
        <w:snapToGrid/>
        <w:spacing w:line="560" w:lineRule="exact"/>
        <w:ind w:left="0" w:firstLine="660" w:firstLineChars="200"/>
        <w:jc w:val="left"/>
        <w:textAlignment w:val="auto"/>
        <w:rPr>
          <w:rFonts w:hint="eastAsia" w:ascii="仿宋" w:hAnsi="仿宋" w:eastAsia="仿宋" w:cs="仿宋"/>
          <w:spacing w:val="5"/>
          <w:kern w:val="0"/>
          <w:sz w:val="32"/>
          <w:szCs w:val="32"/>
          <w:lang w:val="en-US" w:eastAsia="zh-CN" w:bidi="ar"/>
        </w:rPr>
      </w:pPr>
      <w:r>
        <w:rPr>
          <w:rFonts w:hint="eastAsia" w:ascii="仿宋" w:hAnsi="仿宋" w:eastAsia="仿宋" w:cs="仿宋"/>
          <w:spacing w:val="5"/>
          <w:kern w:val="0"/>
          <w:sz w:val="32"/>
          <w:szCs w:val="32"/>
          <w:lang w:val="en-US" w:eastAsia="zh-CN" w:bidi="ar"/>
        </w:rPr>
        <w:t>5.书面承诺。承诺内容包含：认可本公告内容、不存在利益冲突等应当回避事由、所提交文件真实、合法、有效等。</w:t>
      </w:r>
    </w:p>
    <w:p w14:paraId="0D13C042">
      <w:pPr>
        <w:keepNext w:val="0"/>
        <w:keepLines w:val="0"/>
        <w:pageBreakBefore w:val="0"/>
        <w:widowControl/>
        <w:suppressLineNumbers w:val="0"/>
        <w:kinsoku/>
        <w:wordWrap/>
        <w:overflowPunct/>
        <w:topLinePunct w:val="0"/>
        <w:autoSpaceDE/>
        <w:autoSpaceDN/>
        <w:bidi w:val="0"/>
        <w:adjustRightInd/>
        <w:snapToGrid/>
        <w:spacing w:line="560" w:lineRule="exact"/>
        <w:ind w:left="0" w:firstLine="660" w:firstLineChars="200"/>
        <w:jc w:val="left"/>
        <w:textAlignment w:val="auto"/>
        <w:rPr>
          <w:rFonts w:hint="eastAsia" w:ascii="仿宋_GB2312" w:hAnsi="仿宋_GB2312" w:eastAsia="仿宋_GB2312" w:cs="仿宋_GB2312"/>
          <w:b/>
          <w:bCs/>
          <w:color w:val="auto"/>
          <w:sz w:val="32"/>
          <w:szCs w:val="32"/>
          <w:highlight w:val="none"/>
          <w:lang w:val="en-US"/>
        </w:rPr>
      </w:pPr>
      <w:r>
        <w:rPr>
          <w:rFonts w:hint="eastAsia" w:ascii="仿宋" w:hAnsi="仿宋" w:eastAsia="仿宋" w:cs="仿宋"/>
          <w:spacing w:val="5"/>
          <w:kern w:val="0"/>
          <w:sz w:val="32"/>
          <w:szCs w:val="32"/>
          <w:lang w:val="en-US" w:eastAsia="zh-CN" w:bidi="ar"/>
        </w:rPr>
        <w:t>6.附件3</w:t>
      </w:r>
      <w:r>
        <w:rPr>
          <w:rFonts w:hint="eastAsia" w:ascii="仿宋" w:hAnsi="仿宋" w:eastAsia="仿宋" w:cs="仿宋"/>
          <w:sz w:val="32"/>
          <w:szCs w:val="32"/>
          <w:highlight w:val="none"/>
          <w:lang w:val="en-US"/>
        </w:rPr>
        <w:t>《</w:t>
      </w:r>
      <w:r>
        <w:rPr>
          <w:rFonts w:hint="eastAsia" w:ascii="仿宋" w:hAnsi="仿宋" w:eastAsia="仿宋" w:cs="仿宋"/>
          <w:sz w:val="32"/>
          <w:szCs w:val="32"/>
          <w:highlight w:val="none"/>
          <w:lang w:val="en-US" w:eastAsia="zh-CN"/>
        </w:rPr>
        <w:t>比选申请文件</w:t>
      </w:r>
      <w:r>
        <w:rPr>
          <w:rFonts w:hint="eastAsia" w:ascii="仿宋" w:hAnsi="仿宋" w:eastAsia="仿宋" w:cs="仿宋"/>
          <w:sz w:val="32"/>
          <w:szCs w:val="32"/>
          <w:highlight w:val="none"/>
          <w:lang w:val="en-US"/>
        </w:rPr>
        <w:t>格式》</w:t>
      </w:r>
      <w:r>
        <w:rPr>
          <w:rFonts w:hint="eastAsia" w:ascii="仿宋" w:hAnsi="仿宋" w:eastAsia="仿宋" w:cs="仿宋"/>
          <w:spacing w:val="5"/>
          <w:kern w:val="0"/>
          <w:sz w:val="32"/>
          <w:szCs w:val="32"/>
          <w:lang w:val="en-US" w:eastAsia="zh-CN" w:bidi="ar"/>
        </w:rPr>
        <w:t>中要求的其他文件。</w:t>
      </w:r>
    </w:p>
    <w:p w14:paraId="6F8A67A7">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eastAsia="zh-CN"/>
        </w:rPr>
        <w:t>（二）</w:t>
      </w:r>
      <w:r>
        <w:rPr>
          <w:rFonts w:hint="eastAsia" w:ascii="仿宋_GB2312" w:hAnsi="仿宋_GB2312" w:eastAsia="仿宋_GB2312" w:cs="仿宋_GB2312"/>
          <w:b/>
          <w:bCs/>
          <w:color w:val="auto"/>
          <w:sz w:val="32"/>
          <w:szCs w:val="32"/>
          <w:highlight w:val="none"/>
          <w:lang w:val="en-US"/>
        </w:rPr>
        <w:t>比选申请文件的语言</w:t>
      </w:r>
    </w:p>
    <w:p w14:paraId="701EEBA3">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比选申请文件及比选人与参选人之间与比选有关的函件和文件均应使用汉语言文字。</w:t>
      </w:r>
    </w:p>
    <w:p w14:paraId="42E53EAE">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eastAsia="zh-CN"/>
        </w:rPr>
        <w:t>（三）</w:t>
      </w:r>
      <w:r>
        <w:rPr>
          <w:rFonts w:hint="eastAsia" w:ascii="仿宋_GB2312" w:hAnsi="仿宋_GB2312" w:eastAsia="仿宋_GB2312" w:cs="仿宋_GB2312"/>
          <w:b/>
          <w:bCs/>
          <w:color w:val="auto"/>
          <w:sz w:val="32"/>
          <w:szCs w:val="32"/>
          <w:highlight w:val="none"/>
          <w:lang w:val="en-US"/>
        </w:rPr>
        <w:t>比选申请文件的组成及填制要求</w:t>
      </w:r>
    </w:p>
    <w:p w14:paraId="7878FFB0">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val="en-US"/>
        </w:rPr>
        <w:t>比选申请文件一式三份，正本一份，副本一份，电子文档一份；在每一份比选申请文件上要明确注明“正本”或“副本”字样，一旦正本和副本有差异，以正本为准；同时电子文档需发送至指定邮箱。</w:t>
      </w:r>
    </w:p>
    <w:p w14:paraId="76DB1899">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rPr>
        <w:t>2</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val="en-US"/>
        </w:rPr>
        <w:t xml:space="preserve">比选人的比选申请文件主要清单见附件 </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val="en-US"/>
        </w:rPr>
        <w:t>《比选申请文件格式》</w:t>
      </w:r>
      <w:r>
        <w:rPr>
          <w:rFonts w:hint="eastAsia" w:ascii="仿宋_GB2312" w:hAnsi="仿宋_GB2312" w:eastAsia="仿宋_GB2312" w:cs="仿宋_GB2312"/>
          <w:color w:val="auto"/>
          <w:sz w:val="32"/>
          <w:szCs w:val="32"/>
          <w:highlight w:val="none"/>
          <w:lang w:val="en-US" w:eastAsia="zh-CN"/>
        </w:rPr>
        <w:t>。</w:t>
      </w:r>
    </w:p>
    <w:p w14:paraId="0FAC15D3">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3</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val="en-US"/>
        </w:rPr>
        <w:t>比选申请文件的正、副本应用不褪色的墨水（墨粉）书写或打印、复印，并按比选文件要求，由法定代表人或委托代理人做相应的签字、加盖机构公章。</w:t>
      </w:r>
    </w:p>
    <w:p w14:paraId="2025BC43">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4</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val="en-US"/>
        </w:rPr>
        <w:t>除比选申请人对错处作必要修改外，比选申请文件中不许有加行、涂抹或改写。</w:t>
      </w:r>
    </w:p>
    <w:p w14:paraId="0E0E2F13">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5</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val="en-US"/>
        </w:rPr>
        <w:t>无论比选结果如何，参选人的比选申请文件均不退回。</w:t>
      </w:r>
    </w:p>
    <w:p w14:paraId="3731F2A6">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（四）</w:t>
      </w:r>
      <w:r>
        <w:rPr>
          <w:rFonts w:hint="eastAsia" w:ascii="仿宋_GB2312" w:hAnsi="仿宋_GB2312" w:eastAsia="仿宋_GB2312" w:cs="仿宋_GB2312"/>
          <w:b/>
          <w:bCs/>
          <w:color w:val="auto"/>
          <w:sz w:val="32"/>
          <w:szCs w:val="32"/>
          <w:highlight w:val="none"/>
        </w:rPr>
        <w:t>比选申请文件格式</w:t>
      </w:r>
    </w:p>
    <w:p w14:paraId="5A45A12E">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参选人提交的比选申请文件应当使用比选文件所提供的比选申请文件全部格式和顺序。</w:t>
      </w:r>
    </w:p>
    <w:p w14:paraId="1EC67FC7">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黑体" w:hAnsi="黑体" w:eastAsia="黑体" w:cs="黑体"/>
          <w:color w:val="auto"/>
          <w:sz w:val="32"/>
          <w:szCs w:val="32"/>
          <w:highlight w:val="none"/>
          <w:lang w:val="en-US"/>
        </w:rPr>
      </w:pPr>
      <w:r>
        <w:rPr>
          <w:rFonts w:hint="eastAsia" w:ascii="黑体" w:hAnsi="黑体" w:eastAsia="黑体" w:cs="黑体"/>
          <w:color w:val="auto"/>
          <w:sz w:val="32"/>
          <w:szCs w:val="32"/>
          <w:highlight w:val="none"/>
          <w:lang w:val="en-US"/>
        </w:rPr>
        <w:t>四、有关比选的特别说明</w:t>
      </w:r>
    </w:p>
    <w:p w14:paraId="56798636">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rPr>
        <w:t>1、</w:t>
      </w:r>
      <w:r>
        <w:rPr>
          <w:rFonts w:hint="eastAsia" w:ascii="仿宋_GB2312" w:hAnsi="仿宋_GB2312" w:eastAsia="仿宋_GB2312" w:cs="仿宋_GB2312"/>
          <w:b/>
          <w:bCs/>
          <w:color w:val="auto"/>
          <w:sz w:val="32"/>
          <w:szCs w:val="32"/>
          <w:highlight w:val="none"/>
        </w:rPr>
        <w:t>比选申请报价</w:t>
      </w:r>
    </w:p>
    <w:p w14:paraId="7E559AFB">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（1）参选人报价</w:t>
      </w:r>
      <w:r>
        <w:rPr>
          <w:rFonts w:hint="eastAsia" w:ascii="仿宋_GB2312" w:hAnsi="仿宋_GB2312" w:eastAsia="仿宋_GB2312" w:cs="仿宋_GB2312"/>
          <w:color w:val="auto"/>
          <w:sz w:val="32"/>
          <w:szCs w:val="32"/>
          <w:highlight w:val="none"/>
          <w:lang w:val="en-US" w:eastAsia="zh-CN"/>
        </w:rPr>
        <w:t>不超过最高限额</w:t>
      </w:r>
      <w:r>
        <w:rPr>
          <w:rFonts w:hint="eastAsia" w:ascii="仿宋_GB2312" w:hAnsi="仿宋_GB2312" w:eastAsia="仿宋_GB2312" w:cs="仿宋_GB2312"/>
          <w:color w:val="auto"/>
          <w:sz w:val="32"/>
          <w:szCs w:val="32"/>
          <w:highlight w:val="none"/>
        </w:rPr>
        <w:t>，超过</w:t>
      </w:r>
      <w:r>
        <w:rPr>
          <w:rFonts w:hint="eastAsia" w:ascii="仿宋_GB2312" w:hAnsi="仿宋_GB2312" w:eastAsia="仿宋_GB2312" w:cs="仿宋_GB2312"/>
          <w:color w:val="auto"/>
          <w:sz w:val="32"/>
          <w:szCs w:val="32"/>
          <w:highlight w:val="none"/>
          <w:lang w:val="en-US" w:eastAsia="zh-CN"/>
        </w:rPr>
        <w:t>最高限额</w:t>
      </w:r>
      <w:r>
        <w:rPr>
          <w:rFonts w:hint="eastAsia" w:ascii="仿宋_GB2312" w:hAnsi="仿宋_GB2312" w:eastAsia="仿宋_GB2312" w:cs="仿宋_GB2312"/>
          <w:color w:val="auto"/>
          <w:sz w:val="32"/>
          <w:szCs w:val="32"/>
          <w:highlight w:val="none"/>
        </w:rPr>
        <w:t>的报价为无效标价。</w:t>
      </w:r>
      <w:r>
        <w:rPr>
          <w:rFonts w:hint="eastAsia" w:ascii="仿宋_GB2312" w:hAnsi="仿宋_GB2312" w:eastAsia="仿宋_GB2312" w:cs="仿宋_GB2312"/>
          <w:color w:val="auto"/>
          <w:sz w:val="32"/>
          <w:szCs w:val="32"/>
          <w:highlight w:val="none"/>
          <w:lang w:val="en-US"/>
        </w:rPr>
        <w:t>参</w:t>
      </w:r>
      <w:r>
        <w:rPr>
          <w:rFonts w:hint="eastAsia" w:ascii="仿宋_GB2312" w:hAnsi="仿宋_GB2312" w:eastAsia="仿宋_GB2312" w:cs="仿宋_GB2312"/>
          <w:color w:val="auto"/>
          <w:sz w:val="32"/>
          <w:szCs w:val="32"/>
          <w:highlight w:val="none"/>
        </w:rPr>
        <w:t>选人应充分考虑服务期间各种情况和风险。</w:t>
      </w:r>
    </w:p>
    <w:p w14:paraId="18B156AA">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（2）参选人的比选报价应是比选文件所确定的服务范围内的全部工作内容的价格体现。</w:t>
      </w:r>
    </w:p>
    <w:p w14:paraId="06B215F6">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（3）参选人的报价应是完成所有工作的费用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包括但不限于人工费、差旅费、税费</w:t>
      </w:r>
      <w:r>
        <w:rPr>
          <w:rFonts w:hint="eastAsia" w:ascii="仿宋_GB2312" w:hAnsi="仿宋_GB2312" w:eastAsia="仿宋_GB2312" w:cs="仿宋_GB2312"/>
          <w:color w:val="auto"/>
          <w:sz w:val="32"/>
          <w:szCs w:val="32"/>
          <w:highlight w:val="none"/>
        </w:rPr>
        <w:t>。</w:t>
      </w:r>
    </w:p>
    <w:p w14:paraId="43C07AFB">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2、比选货币</w:t>
      </w:r>
    </w:p>
    <w:p w14:paraId="6C137BAA">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比选报价采用的币种为人民币。</w:t>
      </w:r>
    </w:p>
    <w:p w14:paraId="79D1576E">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rPr>
        <w:t>3、</w:t>
      </w:r>
      <w:r>
        <w:rPr>
          <w:rFonts w:hint="eastAsia" w:ascii="仿宋_GB2312" w:hAnsi="仿宋_GB2312" w:eastAsia="仿宋_GB2312" w:cs="仿宋_GB2312"/>
          <w:b/>
          <w:bCs/>
          <w:color w:val="auto"/>
          <w:sz w:val="32"/>
          <w:szCs w:val="32"/>
          <w:highlight w:val="none"/>
        </w:rPr>
        <w:t>比选有效期</w:t>
      </w:r>
    </w:p>
    <w:p w14:paraId="230E383C">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比选文件在比选申请文件递交后60日内有效。</w:t>
      </w:r>
    </w:p>
    <w:p w14:paraId="0A5DA3C4">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rPr>
        <w:t>4、</w:t>
      </w:r>
      <w:r>
        <w:rPr>
          <w:rFonts w:hint="eastAsia" w:ascii="仿宋_GB2312" w:hAnsi="仿宋_GB2312" w:eastAsia="仿宋_GB2312" w:cs="仿宋_GB2312"/>
          <w:b/>
          <w:bCs/>
          <w:color w:val="auto"/>
          <w:sz w:val="32"/>
          <w:szCs w:val="32"/>
          <w:highlight w:val="none"/>
        </w:rPr>
        <w:t>比选保证金</w:t>
      </w:r>
    </w:p>
    <w:p w14:paraId="3143ADA1">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无</w:t>
      </w:r>
    </w:p>
    <w:p w14:paraId="57E81E0C">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黑体" w:hAnsi="黑体" w:eastAsia="黑体" w:cs="黑体"/>
          <w:color w:val="auto"/>
          <w:sz w:val="32"/>
          <w:szCs w:val="32"/>
          <w:highlight w:val="none"/>
          <w:lang w:val="en-US"/>
        </w:rPr>
      </w:pPr>
      <w:r>
        <w:rPr>
          <w:rFonts w:hint="eastAsia" w:ascii="黑体" w:hAnsi="黑体" w:eastAsia="黑体" w:cs="黑体"/>
          <w:color w:val="auto"/>
          <w:sz w:val="32"/>
          <w:szCs w:val="32"/>
          <w:highlight w:val="none"/>
          <w:lang w:val="en-US"/>
        </w:rPr>
        <w:t>五、比选申请文件的提交</w:t>
      </w:r>
    </w:p>
    <w:p w14:paraId="43A335E0">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rPr>
        <w:t>1、</w:t>
      </w:r>
      <w:r>
        <w:rPr>
          <w:rFonts w:hint="eastAsia" w:ascii="仿宋_GB2312" w:hAnsi="仿宋_GB2312" w:eastAsia="仿宋_GB2312" w:cs="仿宋_GB2312"/>
          <w:b/>
          <w:bCs/>
          <w:color w:val="auto"/>
          <w:sz w:val="32"/>
          <w:szCs w:val="32"/>
          <w:highlight w:val="none"/>
        </w:rPr>
        <w:t>比选申请文件的密封</w:t>
      </w:r>
    </w:p>
    <w:p w14:paraId="0C1820E9">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参选人应按“参选机构名称</w:t>
      </w:r>
      <w:r>
        <w:rPr>
          <w:rFonts w:hint="eastAsia" w:ascii="仿宋_GB2312" w:hAnsi="仿宋_GB2312" w:eastAsia="仿宋_GB2312" w:cs="仿宋_GB2312"/>
          <w:color w:val="auto"/>
          <w:sz w:val="32"/>
          <w:szCs w:val="32"/>
          <w:highlight w:val="none"/>
          <w:lang w:val="en-US"/>
        </w:rPr>
        <w:t>-参选文件-日期</w:t>
      </w:r>
      <w:r>
        <w:rPr>
          <w:rFonts w:hint="eastAsia" w:ascii="仿宋_GB2312" w:hAnsi="仿宋_GB2312" w:eastAsia="仿宋_GB2312" w:cs="仿宋_GB2312"/>
          <w:color w:val="auto"/>
          <w:sz w:val="32"/>
          <w:szCs w:val="32"/>
          <w:highlight w:val="none"/>
        </w:rPr>
        <w:t>”命名。</w:t>
      </w:r>
    </w:p>
    <w:p w14:paraId="3ABEB586">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2、比选申请文件的递交和截止时间</w:t>
      </w:r>
    </w:p>
    <w:p w14:paraId="69F3C6A5">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（1）比选申请文件递交的截止时间见比选公告的规定。</w:t>
      </w:r>
    </w:p>
    <w:p w14:paraId="6FF7BB7C">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（2）比选人可按照本规则的规定以补充通知的方式，酌情延长递交比选文件的截止时间。</w:t>
      </w:r>
    </w:p>
    <w:p w14:paraId="224BE373">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（3）比选人将拒绝接受任何晚于递交比选申请文件截止时间递交的比选申请文件。</w:t>
      </w:r>
    </w:p>
    <w:p w14:paraId="690BF38C">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（4）比选人以收到比选申请文件邮件的时间为参选人提交比选申请文件的时间。</w:t>
      </w:r>
    </w:p>
    <w:p w14:paraId="3A94573B">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黑体" w:hAnsi="黑体" w:eastAsia="黑体" w:cs="黑体"/>
          <w:color w:val="auto"/>
          <w:sz w:val="32"/>
          <w:szCs w:val="32"/>
          <w:highlight w:val="none"/>
          <w:lang w:val="en-US"/>
        </w:rPr>
      </w:pPr>
      <w:r>
        <w:rPr>
          <w:rFonts w:hint="eastAsia" w:ascii="黑体" w:hAnsi="黑体" w:eastAsia="黑体" w:cs="黑体"/>
          <w:color w:val="auto"/>
          <w:sz w:val="32"/>
          <w:szCs w:val="32"/>
          <w:highlight w:val="none"/>
          <w:lang w:val="en-US"/>
        </w:rPr>
        <w:t>六、评选</w:t>
      </w:r>
    </w:p>
    <w:p w14:paraId="2B354EE2">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rPr>
        <w:t>1、评选小组与评选</w:t>
      </w:r>
    </w:p>
    <w:p w14:paraId="195AA151">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（1）评选小组由比选人自行组建，负责评选活动，必要时可邀请债务人、债权人代表、法院工作人员参与监督。</w:t>
      </w:r>
    </w:p>
    <w:p w14:paraId="446AB5EF">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（2）整个评选过程采用保密方式进行。</w:t>
      </w:r>
    </w:p>
    <w:p w14:paraId="29C4C633">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rPr>
        <w:t>2、评选过程的注意事项</w:t>
      </w:r>
    </w:p>
    <w:p w14:paraId="6F55B098">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（1）开选后，直至授予中选人合同为止，凡涉及对比选申请文件的审查、澄清、评价和比较的有关资料，以及其他与评选有关的任何情况均应严格保密。</w:t>
      </w:r>
    </w:p>
    <w:p w14:paraId="49B5C995">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（2）在比选申请文件的评审和比较以及授予合同的过程中，任何人向比选人和评选小组施加影响的任何行为，都将会导致其比选被拒绝。</w:t>
      </w:r>
    </w:p>
    <w:p w14:paraId="52531BE2">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（3）中选机构及备选机构确定后，比选人不对未中选人就评选过程以及未能中选原因作出任何解释。未中选人不得向评选小组组成人员或其它有关人员询问评选过程的情况和索取资料。</w:t>
      </w:r>
    </w:p>
    <w:p w14:paraId="7C30E47B">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rPr>
        <w:t>3、比选申请文件的澄清</w:t>
      </w:r>
    </w:p>
    <w:p w14:paraId="193BB0B3">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为了有助于比选申请文件的审查、评价和比较，评选小组有权要求参选人对比选申请文件中含义不明确的内容等问题作出澄清。澄清问题的答复将作为比选申请文件的组成部分。</w:t>
      </w:r>
    </w:p>
    <w:p w14:paraId="5BF6D1E6">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rPr>
        <w:t>4、比选申请文件的初步审查</w:t>
      </w:r>
    </w:p>
    <w:p w14:paraId="2E3DDE2E">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初评主要是对比选申请文件的形式审查，注重评审是否满足比选条件、材料是否齐备等程序性要件，只有通过形式审查的比选申请文件，才能进入下一阶段的评审。</w:t>
      </w:r>
    </w:p>
    <w:p w14:paraId="2EF2357A">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rPr>
        <w:t>5、评选方法和标准</w:t>
      </w:r>
    </w:p>
    <w:p w14:paraId="7AE443C1">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（1）本项目采用综合评审法进行评选</w:t>
      </w:r>
    </w:p>
    <w:p w14:paraId="622CE8B8">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评选分为形式审查、详细评审两部分。只有通过形式审查的参选人才能进入详细评审的综合评审。</w:t>
      </w:r>
    </w:p>
    <w:p w14:paraId="18E8289A">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本项目评选以百分制计分，评选人员对各项目逐项评定计分，满分100分。评选工作由比选人组织进行。本次评选小组成员人数由3人以上（含3人）单数组成，评选小组组长由评选小组成员推举产生，主持整个评选工作，与评选小组其他成员有同等的表决权。</w:t>
      </w:r>
    </w:p>
    <w:p w14:paraId="120AD226">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（2）本项目评选结果的确定</w:t>
      </w:r>
    </w:p>
    <w:p w14:paraId="0A7C826B">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根据评选组的评审结果，综合得分第一名的为中选机构，第二名为备选机构。</w:t>
      </w:r>
    </w:p>
    <w:p w14:paraId="4302B8F9">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A.</w:t>
      </w:r>
      <w:r>
        <w:rPr>
          <w:rFonts w:hint="eastAsia" w:ascii="仿宋_GB2312" w:hAnsi="仿宋_GB2312" w:eastAsia="仿宋_GB2312" w:cs="仿宋_GB2312"/>
          <w:color w:val="auto"/>
          <w:sz w:val="32"/>
          <w:szCs w:val="32"/>
          <w:highlight w:val="none"/>
        </w:rPr>
        <w:t>形式审查标准</w:t>
      </w:r>
    </w:p>
    <w:tbl>
      <w:tblPr>
        <w:tblStyle w:val="8"/>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61"/>
        <w:gridCol w:w="5583"/>
        <w:gridCol w:w="2307"/>
      </w:tblGrid>
      <w:tr w14:paraId="7BB90E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543" w:type="pct"/>
            <w:vAlign w:val="center"/>
          </w:tcPr>
          <w:p w14:paraId="198267F1">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序号</w:t>
            </w:r>
          </w:p>
        </w:tc>
        <w:tc>
          <w:tcPr>
            <w:tcW w:w="3153" w:type="pct"/>
            <w:vAlign w:val="center"/>
          </w:tcPr>
          <w:p w14:paraId="3AD57DBB">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审查内容</w:t>
            </w:r>
          </w:p>
        </w:tc>
        <w:tc>
          <w:tcPr>
            <w:tcW w:w="1303" w:type="pct"/>
            <w:vAlign w:val="center"/>
          </w:tcPr>
          <w:p w14:paraId="4B9BBB3E">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是否满足要求</w:t>
            </w:r>
          </w:p>
        </w:tc>
      </w:tr>
      <w:tr w14:paraId="41AD97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43" w:type="pct"/>
            <w:vAlign w:val="center"/>
          </w:tcPr>
          <w:p w14:paraId="623B79D0">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p>
        </w:tc>
        <w:tc>
          <w:tcPr>
            <w:tcW w:w="3153" w:type="pct"/>
            <w:vAlign w:val="center"/>
          </w:tcPr>
          <w:p w14:paraId="6AB5F75E">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营业执照合法有效</w:t>
            </w:r>
          </w:p>
        </w:tc>
        <w:tc>
          <w:tcPr>
            <w:tcW w:w="1303" w:type="pct"/>
            <w:vAlign w:val="center"/>
          </w:tcPr>
          <w:p w14:paraId="474D90DE">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p>
        </w:tc>
      </w:tr>
      <w:tr w14:paraId="68ECE8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543" w:type="pct"/>
            <w:vAlign w:val="center"/>
          </w:tcPr>
          <w:p w14:paraId="2F5D8822">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p>
        </w:tc>
        <w:tc>
          <w:tcPr>
            <w:tcW w:w="3153" w:type="pct"/>
            <w:vAlign w:val="center"/>
          </w:tcPr>
          <w:p w14:paraId="5AF921D2">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参选人资质是否满足要求</w:t>
            </w:r>
          </w:p>
        </w:tc>
        <w:tc>
          <w:tcPr>
            <w:tcW w:w="1303" w:type="pct"/>
            <w:vAlign w:val="center"/>
          </w:tcPr>
          <w:p w14:paraId="39ECC86A">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p>
        </w:tc>
      </w:tr>
      <w:tr w14:paraId="5BA3EA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jc w:val="center"/>
        </w:trPr>
        <w:tc>
          <w:tcPr>
            <w:tcW w:w="543" w:type="pct"/>
            <w:vAlign w:val="center"/>
          </w:tcPr>
          <w:p w14:paraId="4530E961">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p>
        </w:tc>
        <w:tc>
          <w:tcPr>
            <w:tcW w:w="3153" w:type="pct"/>
            <w:vAlign w:val="center"/>
          </w:tcPr>
          <w:p w14:paraId="1E98C866">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项目负责人</w:t>
            </w:r>
          </w:p>
        </w:tc>
        <w:tc>
          <w:tcPr>
            <w:tcW w:w="1303" w:type="pct"/>
            <w:vAlign w:val="center"/>
          </w:tcPr>
          <w:p w14:paraId="0AA76C1F">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p>
        </w:tc>
      </w:tr>
      <w:tr w14:paraId="5778E2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543" w:type="pct"/>
            <w:vAlign w:val="center"/>
          </w:tcPr>
          <w:p w14:paraId="40882D0F">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w:t>
            </w:r>
          </w:p>
        </w:tc>
        <w:tc>
          <w:tcPr>
            <w:tcW w:w="3153" w:type="pct"/>
            <w:vAlign w:val="center"/>
          </w:tcPr>
          <w:p w14:paraId="4B918BB4">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比选申请文件盖章及签字的情况</w:t>
            </w:r>
          </w:p>
        </w:tc>
        <w:tc>
          <w:tcPr>
            <w:tcW w:w="1303" w:type="pct"/>
            <w:vAlign w:val="center"/>
          </w:tcPr>
          <w:p w14:paraId="15D10EA8">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p>
        </w:tc>
      </w:tr>
      <w:tr w14:paraId="36B768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543" w:type="pct"/>
            <w:vAlign w:val="center"/>
          </w:tcPr>
          <w:p w14:paraId="0877EF57">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w:t>
            </w:r>
          </w:p>
        </w:tc>
        <w:tc>
          <w:tcPr>
            <w:tcW w:w="3153" w:type="pct"/>
            <w:vAlign w:val="center"/>
          </w:tcPr>
          <w:p w14:paraId="4167B01C">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授权书是否有效</w:t>
            </w:r>
          </w:p>
        </w:tc>
        <w:tc>
          <w:tcPr>
            <w:tcW w:w="1303" w:type="pct"/>
            <w:vAlign w:val="center"/>
          </w:tcPr>
          <w:p w14:paraId="7CB2A959">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p>
        </w:tc>
      </w:tr>
      <w:tr w14:paraId="341551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543" w:type="pct"/>
            <w:vAlign w:val="center"/>
          </w:tcPr>
          <w:p w14:paraId="7FECBB42">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w:t>
            </w:r>
          </w:p>
        </w:tc>
        <w:tc>
          <w:tcPr>
            <w:tcW w:w="3153" w:type="pct"/>
            <w:vAlign w:val="center"/>
          </w:tcPr>
          <w:p w14:paraId="7AA0D6CE">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是否实质性响应比选文件</w:t>
            </w:r>
          </w:p>
        </w:tc>
        <w:tc>
          <w:tcPr>
            <w:tcW w:w="1303" w:type="pct"/>
            <w:vAlign w:val="center"/>
          </w:tcPr>
          <w:p w14:paraId="6D72D3A2">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p>
        </w:tc>
      </w:tr>
      <w:tr w14:paraId="502A97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543" w:type="pct"/>
            <w:vAlign w:val="center"/>
          </w:tcPr>
          <w:p w14:paraId="7FD93977">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w:t>
            </w:r>
          </w:p>
        </w:tc>
        <w:tc>
          <w:tcPr>
            <w:tcW w:w="3153" w:type="pct"/>
            <w:vAlign w:val="center"/>
          </w:tcPr>
          <w:p w14:paraId="24384F91">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结论</w:t>
            </w:r>
          </w:p>
        </w:tc>
        <w:tc>
          <w:tcPr>
            <w:tcW w:w="1303" w:type="pct"/>
            <w:vAlign w:val="center"/>
          </w:tcPr>
          <w:p w14:paraId="651706CE">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p>
        </w:tc>
      </w:tr>
    </w:tbl>
    <w:p w14:paraId="280E2C30">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注：</w:t>
      </w:r>
      <w:r>
        <w:rPr>
          <w:rFonts w:hint="eastAsia" w:ascii="仿宋_GB2312" w:hAnsi="仿宋_GB2312" w:eastAsia="仿宋_GB2312" w:cs="仿宋_GB2312"/>
          <w:color w:val="auto"/>
          <w:sz w:val="28"/>
          <w:szCs w:val="28"/>
          <w:highlight w:val="none"/>
        </w:rPr>
        <w:t>1、表格中打“√”表示满足，“×”表示不满足，结论填“通过”和“不通过”；２、有任意一个“×”，则结论“不通过”。</w:t>
      </w:r>
    </w:p>
    <w:p w14:paraId="611781D8">
      <w:pPr>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br w:type="page"/>
      </w:r>
    </w:p>
    <w:p w14:paraId="6EF0B790">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rPr>
        <w:t>B.</w:t>
      </w:r>
      <w:r>
        <w:rPr>
          <w:rFonts w:hint="eastAsia" w:ascii="仿宋_GB2312" w:hAnsi="仿宋_GB2312" w:eastAsia="仿宋_GB2312" w:cs="仿宋_GB2312"/>
          <w:color w:val="auto"/>
          <w:sz w:val="32"/>
          <w:szCs w:val="32"/>
          <w:highlight w:val="none"/>
        </w:rPr>
        <w:t>评审标准、评分依据</w:t>
      </w:r>
    </w:p>
    <w:tbl>
      <w:tblPr>
        <w:tblStyle w:val="8"/>
        <w:tblW w:w="500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98"/>
        <w:gridCol w:w="1516"/>
        <w:gridCol w:w="5285"/>
        <w:gridCol w:w="1070"/>
      </w:tblGrid>
      <w:tr w14:paraId="5A3912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63" w:type="pct"/>
            <w:vAlign w:val="center"/>
          </w:tcPr>
          <w:p w14:paraId="3055D385">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序号</w:t>
            </w:r>
          </w:p>
        </w:tc>
        <w:tc>
          <w:tcPr>
            <w:tcW w:w="854" w:type="pct"/>
            <w:vAlign w:val="center"/>
          </w:tcPr>
          <w:p w14:paraId="66FCF89D">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评审内容</w:t>
            </w:r>
          </w:p>
        </w:tc>
        <w:tc>
          <w:tcPr>
            <w:tcW w:w="2978" w:type="pct"/>
            <w:vAlign w:val="center"/>
          </w:tcPr>
          <w:p w14:paraId="1157F6D3">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评审标准</w:t>
            </w:r>
          </w:p>
        </w:tc>
        <w:tc>
          <w:tcPr>
            <w:tcW w:w="603" w:type="pct"/>
            <w:vAlign w:val="center"/>
          </w:tcPr>
          <w:p w14:paraId="012FF27E">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分值</w:t>
            </w:r>
          </w:p>
        </w:tc>
      </w:tr>
      <w:tr w14:paraId="013B6A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0" w:hRule="atLeast"/>
          <w:jc w:val="center"/>
        </w:trPr>
        <w:tc>
          <w:tcPr>
            <w:tcW w:w="563" w:type="pct"/>
            <w:vAlign w:val="center"/>
          </w:tcPr>
          <w:p w14:paraId="7A36F7D9">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p>
        </w:tc>
        <w:tc>
          <w:tcPr>
            <w:tcW w:w="854" w:type="pct"/>
            <w:vAlign w:val="center"/>
          </w:tcPr>
          <w:p w14:paraId="6B9880A1">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报价</w:t>
            </w:r>
          </w:p>
        </w:tc>
        <w:tc>
          <w:tcPr>
            <w:tcW w:w="2978" w:type="pct"/>
            <w:vAlign w:val="center"/>
          </w:tcPr>
          <w:p w14:paraId="3B86A137">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参选人应充分考虑自身实力、信誉及市场情况进行自主报价，本报价应是全费用包干费报价。以有效报价中合理最低价作为基准值，得满分</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0分，其余报价与之相比，每高于</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的报价扣</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分；</w:t>
            </w:r>
            <w:r>
              <w:rPr>
                <w:rFonts w:hint="eastAsia" w:ascii="仿宋_GB2312" w:hAnsi="仿宋_GB2312" w:eastAsia="仿宋_GB2312" w:cs="仿宋_GB2312"/>
                <w:color w:val="auto"/>
                <w:sz w:val="32"/>
                <w:szCs w:val="32"/>
                <w:highlight w:val="none"/>
                <w:lang w:val="en-US" w:eastAsia="zh-CN"/>
              </w:rPr>
              <w:t>高于部分不到5%的，按5%计算扣分。</w:t>
            </w:r>
            <w:r>
              <w:rPr>
                <w:rFonts w:hint="eastAsia" w:ascii="仿宋_GB2312" w:hAnsi="仿宋_GB2312" w:eastAsia="仿宋_GB2312" w:cs="仿宋_GB2312"/>
                <w:color w:val="auto"/>
                <w:sz w:val="32"/>
                <w:szCs w:val="32"/>
                <w:highlight w:val="none"/>
              </w:rPr>
              <w:t>扣完为止。</w:t>
            </w:r>
          </w:p>
        </w:tc>
        <w:tc>
          <w:tcPr>
            <w:tcW w:w="603" w:type="pct"/>
            <w:vAlign w:val="center"/>
          </w:tcPr>
          <w:p w14:paraId="50DE7232">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val="en-US"/>
              </w:rPr>
              <w:t>0</w:t>
            </w:r>
          </w:p>
        </w:tc>
      </w:tr>
      <w:tr w14:paraId="1C1B81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0" w:hRule="atLeast"/>
          <w:jc w:val="center"/>
        </w:trPr>
        <w:tc>
          <w:tcPr>
            <w:tcW w:w="563" w:type="pct"/>
            <w:vAlign w:val="center"/>
          </w:tcPr>
          <w:p w14:paraId="42C09590">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w:t>
            </w:r>
          </w:p>
        </w:tc>
        <w:tc>
          <w:tcPr>
            <w:tcW w:w="1514" w:type="dxa"/>
            <w:vAlign w:val="center"/>
          </w:tcPr>
          <w:p w14:paraId="7BE17CE8">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eastAsia="zh-CN"/>
              </w:rPr>
              <w:t>资质</w:t>
            </w:r>
            <w:r>
              <w:rPr>
                <w:rFonts w:hint="eastAsia" w:ascii="仿宋_GB2312" w:hAnsi="仿宋_GB2312" w:eastAsia="仿宋_GB2312" w:cs="仿宋_GB2312"/>
                <w:color w:val="auto"/>
                <w:sz w:val="32"/>
                <w:szCs w:val="32"/>
                <w:highlight w:val="none"/>
                <w:lang w:val="en-US" w:eastAsia="zh-CN"/>
              </w:rPr>
              <w:t>能力</w:t>
            </w:r>
          </w:p>
        </w:tc>
        <w:tc>
          <w:tcPr>
            <w:tcW w:w="5278" w:type="dxa"/>
            <w:vAlign w:val="top"/>
          </w:tcPr>
          <w:p w14:paraId="41C94017">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中介机构是否具备国家、行业主管部门颁发的营业执照，具备专项资质 (附相关证明资料) ; 具有良好的商誉，近三年内没有不良记录; 具有履行合同所需的专业技术能力和专业技术人员等，完全满足要求，8-10分: 基本满足要求，5-8分: 基本不满足要求，0-5分。</w:t>
            </w:r>
          </w:p>
        </w:tc>
        <w:tc>
          <w:tcPr>
            <w:tcW w:w="1069" w:type="dxa"/>
            <w:vAlign w:val="center"/>
          </w:tcPr>
          <w:p w14:paraId="1F69D54D">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10</w:t>
            </w:r>
          </w:p>
        </w:tc>
      </w:tr>
      <w:tr w14:paraId="51206F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63" w:type="pct"/>
            <w:vAlign w:val="center"/>
          </w:tcPr>
          <w:p w14:paraId="096969B4">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3</w:t>
            </w:r>
          </w:p>
        </w:tc>
        <w:tc>
          <w:tcPr>
            <w:tcW w:w="854" w:type="pct"/>
            <w:vAlign w:val="center"/>
          </w:tcPr>
          <w:p w14:paraId="53FF86AB">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业绩</w:t>
            </w:r>
          </w:p>
        </w:tc>
        <w:tc>
          <w:tcPr>
            <w:tcW w:w="2978" w:type="pct"/>
            <w:vAlign w:val="center"/>
          </w:tcPr>
          <w:p w14:paraId="2D66B267">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参选人自</w:t>
            </w:r>
            <w:r>
              <w:rPr>
                <w:rFonts w:hint="eastAsia" w:ascii="仿宋_GB2312" w:hAnsi="仿宋_GB2312" w:eastAsia="仿宋_GB2312" w:cs="仿宋_GB2312"/>
                <w:color w:val="auto"/>
                <w:sz w:val="32"/>
                <w:szCs w:val="32"/>
                <w:highlight w:val="none"/>
                <w:lang w:val="en-US" w:eastAsia="zh-CN"/>
              </w:rPr>
              <w:t>2020</w:t>
            </w:r>
            <w:r>
              <w:rPr>
                <w:rFonts w:hint="eastAsia" w:ascii="仿宋_GB2312" w:hAnsi="仿宋_GB2312" w:eastAsia="仿宋_GB2312" w:cs="仿宋_GB2312"/>
                <w:color w:val="auto"/>
                <w:sz w:val="32"/>
                <w:szCs w:val="32"/>
                <w:highlight w:val="none"/>
              </w:rPr>
              <w:t>年以来有1个</w:t>
            </w:r>
            <w:r>
              <w:rPr>
                <w:rFonts w:hint="eastAsia" w:ascii="仿宋_GB2312" w:hAnsi="仿宋_GB2312" w:eastAsia="仿宋_GB2312" w:cs="仿宋_GB2312"/>
                <w:color w:val="auto"/>
                <w:sz w:val="32"/>
                <w:szCs w:val="32"/>
                <w:highlight w:val="none"/>
                <w:lang w:val="en-US" w:eastAsia="zh-CN"/>
              </w:rPr>
              <w:t>房地产企业</w:t>
            </w:r>
            <w:r>
              <w:rPr>
                <w:rFonts w:hint="eastAsia" w:ascii="仿宋_GB2312" w:hAnsi="仿宋_GB2312" w:eastAsia="仿宋_GB2312" w:cs="仿宋_GB2312"/>
                <w:color w:val="auto"/>
                <w:sz w:val="32"/>
                <w:szCs w:val="32"/>
                <w:highlight w:val="none"/>
              </w:rPr>
              <w:t>类似业绩得2分，每增加1个加</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分，本项最高得分</w:t>
            </w:r>
            <w:r>
              <w:rPr>
                <w:rFonts w:hint="eastAsia" w:ascii="仿宋_GB2312" w:hAnsi="仿宋_GB2312" w:eastAsia="仿宋_GB2312" w:cs="仿宋_GB2312"/>
                <w:color w:val="auto"/>
                <w:sz w:val="32"/>
                <w:szCs w:val="32"/>
                <w:highlight w:val="none"/>
                <w:lang w:val="en-US" w:eastAsia="zh-CN"/>
              </w:rPr>
              <w:t>40</w:t>
            </w:r>
            <w:r>
              <w:rPr>
                <w:rFonts w:hint="eastAsia" w:ascii="仿宋_GB2312" w:hAnsi="仿宋_GB2312" w:eastAsia="仿宋_GB2312" w:cs="仿宋_GB2312"/>
                <w:color w:val="auto"/>
                <w:sz w:val="32"/>
                <w:szCs w:val="32"/>
                <w:highlight w:val="none"/>
              </w:rPr>
              <w:t>分。</w:t>
            </w:r>
          </w:p>
        </w:tc>
        <w:tc>
          <w:tcPr>
            <w:tcW w:w="603" w:type="pct"/>
            <w:vAlign w:val="center"/>
          </w:tcPr>
          <w:p w14:paraId="28A0EA33">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40</w:t>
            </w:r>
          </w:p>
        </w:tc>
      </w:tr>
      <w:tr w14:paraId="549725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63" w:type="pct"/>
            <w:vAlign w:val="center"/>
          </w:tcPr>
          <w:p w14:paraId="3FFC4169">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4</w:t>
            </w:r>
          </w:p>
        </w:tc>
        <w:tc>
          <w:tcPr>
            <w:tcW w:w="854" w:type="pct"/>
            <w:vAlign w:val="center"/>
          </w:tcPr>
          <w:p w14:paraId="1A6B435B">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人员配置</w:t>
            </w:r>
          </w:p>
        </w:tc>
        <w:tc>
          <w:tcPr>
            <w:tcW w:w="2978" w:type="pct"/>
            <w:vAlign w:val="center"/>
          </w:tcPr>
          <w:p w14:paraId="220BF812">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人员配置方案（人数、资历、资质等），符合项目要求，方案合理10-15分；基本合理5-10分；不合理0-5分。</w:t>
            </w:r>
          </w:p>
        </w:tc>
        <w:tc>
          <w:tcPr>
            <w:tcW w:w="603" w:type="pct"/>
            <w:vAlign w:val="center"/>
          </w:tcPr>
          <w:p w14:paraId="1A185ACA">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15</w:t>
            </w:r>
          </w:p>
        </w:tc>
      </w:tr>
      <w:tr w14:paraId="6DA937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8" w:hRule="atLeast"/>
          <w:jc w:val="center"/>
        </w:trPr>
        <w:tc>
          <w:tcPr>
            <w:tcW w:w="563" w:type="pct"/>
            <w:vAlign w:val="center"/>
          </w:tcPr>
          <w:p w14:paraId="783C25DA">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w:t>
            </w:r>
          </w:p>
        </w:tc>
        <w:tc>
          <w:tcPr>
            <w:tcW w:w="854" w:type="pct"/>
            <w:vAlign w:val="center"/>
          </w:tcPr>
          <w:p w14:paraId="42E3541F">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服务方案</w:t>
            </w:r>
          </w:p>
        </w:tc>
        <w:tc>
          <w:tcPr>
            <w:tcW w:w="2978" w:type="pct"/>
            <w:vAlign w:val="center"/>
          </w:tcPr>
          <w:p w14:paraId="78F0C23D">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提供的项目服务方案可行，具有针对性、合理性、完整性、有效性和可操作性优良的得20—</w:t>
            </w:r>
            <w:r>
              <w:rPr>
                <w:rFonts w:hint="eastAsia" w:ascii="仿宋_GB2312" w:hAnsi="仿宋_GB2312" w:eastAsia="仿宋_GB2312" w:cs="仿宋_GB2312"/>
                <w:color w:val="auto"/>
                <w:sz w:val="32"/>
                <w:szCs w:val="32"/>
                <w:highlight w:val="none"/>
                <w:lang w:val="en-US" w:eastAsia="zh-CN"/>
              </w:rPr>
              <w:t>25</w:t>
            </w:r>
            <w:r>
              <w:rPr>
                <w:rFonts w:hint="eastAsia" w:ascii="仿宋_GB2312" w:hAnsi="仿宋_GB2312" w:eastAsia="仿宋_GB2312" w:cs="仿宋_GB2312"/>
                <w:color w:val="auto"/>
                <w:sz w:val="32"/>
                <w:szCs w:val="32"/>
                <w:highlight w:val="none"/>
              </w:rPr>
              <w:t>分；</w:t>
            </w:r>
          </w:p>
          <w:p w14:paraId="619AA29B">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提供的项目服务方案基本可行，具有针对性、合理性、完整性、有效性和可操作性一般的得10-20分；</w:t>
            </w:r>
          </w:p>
          <w:p w14:paraId="307E03A4">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rPr>
              <w:t>提供的项目服务方案不可行，合理性、完整性、有效性和可操作性差的得0—10分。</w:t>
            </w:r>
          </w:p>
        </w:tc>
        <w:tc>
          <w:tcPr>
            <w:tcW w:w="603" w:type="pct"/>
            <w:vAlign w:val="center"/>
          </w:tcPr>
          <w:p w14:paraId="357A7F61">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eastAsia="zh-CN"/>
              </w:rPr>
              <w:t>25</w:t>
            </w:r>
          </w:p>
        </w:tc>
      </w:tr>
    </w:tbl>
    <w:p w14:paraId="1E070007">
      <w:pPr>
        <w:keepNext w:val="0"/>
        <w:keepLines w:val="0"/>
        <w:pageBreakBefore w:val="0"/>
        <w:widowControl w:val="0"/>
        <w:kinsoku/>
        <w:wordWrap/>
        <w:overflowPunct/>
        <w:topLinePunct w:val="0"/>
        <w:autoSpaceDE w:val="0"/>
        <w:autoSpaceDN w:val="0"/>
        <w:bidi w:val="0"/>
        <w:adjustRightInd/>
        <w:snapToGrid/>
        <w:spacing w:line="20" w:lineRule="exact"/>
        <w:ind w:firstLine="640" w:firstLineChars="200"/>
        <w:jc w:val="both"/>
        <w:textAlignment w:val="auto"/>
        <w:rPr>
          <w:rFonts w:hint="eastAsia" w:ascii="仿宋_GB2312" w:hAnsi="仿宋_GB2312" w:eastAsia="仿宋_GB2312" w:cs="仿宋_GB2312"/>
          <w:color w:val="auto"/>
          <w:sz w:val="32"/>
          <w:szCs w:val="32"/>
          <w:highlight w:val="none"/>
        </w:rPr>
      </w:pPr>
    </w:p>
    <w:sectPr>
      <w:footerReference r:id="rId3" w:type="default"/>
      <w:pgSz w:w="11906" w:h="16838"/>
      <w:pgMar w:top="1984" w:right="1474" w:bottom="1701" w:left="1587" w:header="851" w:footer="1134"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296B60">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12DFC6B">
                          <w:pPr>
                            <w:pStyle w:val="6"/>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第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页 共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NUMPAGES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12DFC6B">
                    <w:pPr>
                      <w:pStyle w:val="6"/>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第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页 共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NUMPAGES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xNjQzNjcwOTA2ZThhNDZhZTIyMDM5Zjk4ODE3NjgifQ=="/>
  </w:docVars>
  <w:rsids>
    <w:rsidRoot w:val="3A790487"/>
    <w:rsid w:val="000215D6"/>
    <w:rsid w:val="00032AC7"/>
    <w:rsid w:val="0004077A"/>
    <w:rsid w:val="00157857"/>
    <w:rsid w:val="003E35EF"/>
    <w:rsid w:val="0050704F"/>
    <w:rsid w:val="00590DA7"/>
    <w:rsid w:val="00592EC9"/>
    <w:rsid w:val="00620750"/>
    <w:rsid w:val="00650836"/>
    <w:rsid w:val="00796DA6"/>
    <w:rsid w:val="009004AA"/>
    <w:rsid w:val="009F58A0"/>
    <w:rsid w:val="00AF6279"/>
    <w:rsid w:val="00B5798B"/>
    <w:rsid w:val="00C55CA5"/>
    <w:rsid w:val="00CE2594"/>
    <w:rsid w:val="00DD5175"/>
    <w:rsid w:val="00E86B2B"/>
    <w:rsid w:val="00F47A5C"/>
    <w:rsid w:val="03FD05D6"/>
    <w:rsid w:val="05512C90"/>
    <w:rsid w:val="06992AB6"/>
    <w:rsid w:val="07793B3D"/>
    <w:rsid w:val="079778EE"/>
    <w:rsid w:val="083F0E84"/>
    <w:rsid w:val="0D942A2B"/>
    <w:rsid w:val="0E234189"/>
    <w:rsid w:val="104A4BA3"/>
    <w:rsid w:val="117E1888"/>
    <w:rsid w:val="11DE1DC6"/>
    <w:rsid w:val="12334E87"/>
    <w:rsid w:val="13FF0FD5"/>
    <w:rsid w:val="141C6857"/>
    <w:rsid w:val="14203ED4"/>
    <w:rsid w:val="158E5532"/>
    <w:rsid w:val="17736C89"/>
    <w:rsid w:val="17DD6DDE"/>
    <w:rsid w:val="1A536F12"/>
    <w:rsid w:val="1C896A53"/>
    <w:rsid w:val="1CA27B15"/>
    <w:rsid w:val="1DDC441C"/>
    <w:rsid w:val="1E88098D"/>
    <w:rsid w:val="202A74B0"/>
    <w:rsid w:val="20D34741"/>
    <w:rsid w:val="215C64E4"/>
    <w:rsid w:val="221B6293"/>
    <w:rsid w:val="23D23F61"/>
    <w:rsid w:val="25290DD3"/>
    <w:rsid w:val="275073D0"/>
    <w:rsid w:val="279326F6"/>
    <w:rsid w:val="2B7F052F"/>
    <w:rsid w:val="2C7A513F"/>
    <w:rsid w:val="2F450176"/>
    <w:rsid w:val="2F665A71"/>
    <w:rsid w:val="300915D5"/>
    <w:rsid w:val="33C73EDF"/>
    <w:rsid w:val="37F34858"/>
    <w:rsid w:val="398F15D4"/>
    <w:rsid w:val="3A790487"/>
    <w:rsid w:val="3B5A6814"/>
    <w:rsid w:val="3E5325C6"/>
    <w:rsid w:val="3F2C459F"/>
    <w:rsid w:val="400C77DC"/>
    <w:rsid w:val="400D1948"/>
    <w:rsid w:val="426B6130"/>
    <w:rsid w:val="43AF49FB"/>
    <w:rsid w:val="43C24475"/>
    <w:rsid w:val="46E40F75"/>
    <w:rsid w:val="46E629CF"/>
    <w:rsid w:val="4A121DEB"/>
    <w:rsid w:val="4B4F0BA5"/>
    <w:rsid w:val="4C5C47E2"/>
    <w:rsid w:val="4D9135E1"/>
    <w:rsid w:val="52A94F25"/>
    <w:rsid w:val="555313D1"/>
    <w:rsid w:val="57A41106"/>
    <w:rsid w:val="597638E0"/>
    <w:rsid w:val="5AAA331B"/>
    <w:rsid w:val="5C0A509A"/>
    <w:rsid w:val="5DEB370D"/>
    <w:rsid w:val="5E994D38"/>
    <w:rsid w:val="5FED7554"/>
    <w:rsid w:val="600E3086"/>
    <w:rsid w:val="60D76A79"/>
    <w:rsid w:val="61336788"/>
    <w:rsid w:val="62636E16"/>
    <w:rsid w:val="65BF7247"/>
    <w:rsid w:val="65F9D0CD"/>
    <w:rsid w:val="68F00C4E"/>
    <w:rsid w:val="6989689C"/>
    <w:rsid w:val="6AA26347"/>
    <w:rsid w:val="6C0D1D63"/>
    <w:rsid w:val="6C94777D"/>
    <w:rsid w:val="6C9F67D7"/>
    <w:rsid w:val="6EB92C58"/>
    <w:rsid w:val="6FCD0719"/>
    <w:rsid w:val="71447FDF"/>
    <w:rsid w:val="7533B335"/>
    <w:rsid w:val="75B5E207"/>
    <w:rsid w:val="76ABFAA7"/>
    <w:rsid w:val="7779E298"/>
    <w:rsid w:val="77FDFD5E"/>
    <w:rsid w:val="79164340"/>
    <w:rsid w:val="7B1A46DE"/>
    <w:rsid w:val="7B446F42"/>
    <w:rsid w:val="7B4A51E9"/>
    <w:rsid w:val="7D537239"/>
    <w:rsid w:val="7D6F396C"/>
    <w:rsid w:val="7D8B6B7B"/>
    <w:rsid w:val="7DEEB09E"/>
    <w:rsid w:val="7DFEDCC9"/>
    <w:rsid w:val="7FDD6CFC"/>
    <w:rsid w:val="8BBEE954"/>
    <w:rsid w:val="DB9FA921"/>
    <w:rsid w:val="E2A9DDEC"/>
    <w:rsid w:val="E6FBC436"/>
    <w:rsid w:val="EFED1911"/>
    <w:rsid w:val="FC7E94DF"/>
    <w:rsid w:val="FCEF81D5"/>
    <w:rsid w:val="FF558B5E"/>
    <w:rsid w:val="FF5769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nhideWhenUsed="0" w:uiPriority="0" w:semiHidden="0" w:name="Table Web 3"/>
    <w:lsdException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仿宋" w:hAnsi="仿宋" w:eastAsia="仿宋" w:cs="仿宋"/>
      <w:sz w:val="22"/>
      <w:szCs w:val="22"/>
      <w:lang w:val="zh-CN" w:eastAsia="zh-CN" w:bidi="zh-CN"/>
    </w:rPr>
  </w:style>
  <w:style w:type="paragraph" w:styleId="2">
    <w:name w:val="heading 1"/>
    <w:basedOn w:val="3"/>
    <w:next w:val="1"/>
    <w:qFormat/>
    <w:uiPriority w:val="0"/>
    <w:pPr>
      <w:keepNext/>
      <w:keepLines/>
      <w:spacing w:line="360" w:lineRule="auto"/>
    </w:pPr>
    <w:rPr>
      <w:rFonts w:eastAsia="华文中宋"/>
      <w:kern w:val="44"/>
    </w:rPr>
  </w:style>
  <w:style w:type="paragraph" w:styleId="4">
    <w:name w:val="heading 2"/>
    <w:basedOn w:val="1"/>
    <w:next w:val="1"/>
    <w:unhideWhenUsed/>
    <w:qFormat/>
    <w:uiPriority w:val="0"/>
    <w:pPr>
      <w:keepNext/>
      <w:keepLines/>
      <w:spacing w:line="480" w:lineRule="auto"/>
      <w:outlineLvl w:val="1"/>
    </w:pPr>
    <w:rPr>
      <w:rFonts w:ascii="Arial" w:hAnsi="Arial"/>
      <w:b/>
      <w:sz w:val="32"/>
    </w:rPr>
  </w:style>
  <w:style w:type="character" w:default="1" w:styleId="10">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3">
    <w:name w:val="Title"/>
    <w:basedOn w:val="1"/>
    <w:qFormat/>
    <w:uiPriority w:val="0"/>
    <w:pPr>
      <w:spacing w:before="240" w:after="60"/>
      <w:jc w:val="center"/>
      <w:outlineLvl w:val="0"/>
    </w:pPr>
    <w:rPr>
      <w:rFonts w:ascii="Arial" w:hAnsi="Arial"/>
      <w:b/>
      <w:sz w:val="32"/>
    </w:rPr>
  </w:style>
  <w:style w:type="paragraph" w:styleId="5">
    <w:name w:val="Body Text"/>
    <w:basedOn w:val="1"/>
    <w:qFormat/>
    <w:uiPriority w:val="1"/>
    <w:pPr>
      <w:ind w:left="700"/>
    </w:pPr>
    <w:rPr>
      <w:sz w:val="32"/>
      <w:szCs w:val="32"/>
    </w:rPr>
  </w:style>
  <w:style w:type="paragraph" w:styleId="6">
    <w:name w:val="footer"/>
    <w:basedOn w:val="1"/>
    <w:link w:val="15"/>
    <w:qFormat/>
    <w:uiPriority w:val="0"/>
    <w:pPr>
      <w:tabs>
        <w:tab w:val="center" w:pos="4153"/>
        <w:tab w:val="right" w:pos="8306"/>
      </w:tabs>
      <w:snapToGrid w:val="0"/>
    </w:pPr>
    <w:rPr>
      <w:sz w:val="18"/>
      <w:szCs w:val="18"/>
    </w:rPr>
  </w:style>
  <w:style w:type="paragraph" w:styleId="7">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paragraph" w:customStyle="1" w:styleId="12">
    <w:name w:val="List Paragraph"/>
    <w:basedOn w:val="1"/>
    <w:qFormat/>
    <w:uiPriority w:val="1"/>
    <w:pPr>
      <w:spacing w:before="2"/>
      <w:ind w:left="700" w:firstLine="640"/>
    </w:pPr>
  </w:style>
  <w:style w:type="paragraph" w:customStyle="1" w:styleId="13">
    <w:name w:val="Table Paragraph"/>
    <w:basedOn w:val="1"/>
    <w:qFormat/>
    <w:uiPriority w:val="1"/>
  </w:style>
  <w:style w:type="character" w:customStyle="1" w:styleId="14">
    <w:name w:val="页眉 字符"/>
    <w:basedOn w:val="10"/>
    <w:link w:val="7"/>
    <w:qFormat/>
    <w:uiPriority w:val="0"/>
    <w:rPr>
      <w:rFonts w:ascii="仿宋" w:hAnsi="仿宋" w:eastAsia="仿宋" w:cs="仿宋"/>
      <w:sz w:val="18"/>
      <w:szCs w:val="18"/>
      <w:lang w:val="zh-CN" w:bidi="zh-CN"/>
    </w:rPr>
  </w:style>
  <w:style w:type="character" w:customStyle="1" w:styleId="15">
    <w:name w:val="页脚 字符"/>
    <w:basedOn w:val="10"/>
    <w:link w:val="6"/>
    <w:qFormat/>
    <w:uiPriority w:val="0"/>
    <w:rPr>
      <w:rFonts w:ascii="仿宋" w:hAnsi="仿宋" w:eastAsia="仿宋" w:cs="仿宋"/>
      <w:sz w:val="18"/>
      <w:szCs w:val="18"/>
      <w:lang w:val="zh-CN" w:bidi="zh-CN"/>
    </w:rPr>
  </w:style>
  <w:style w:type="paragraph" w:customStyle="1" w:styleId="16">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3372</Words>
  <Characters>3394</Characters>
  <Lines>21</Lines>
  <Paragraphs>6</Paragraphs>
  <TotalTime>19</TotalTime>
  <ScaleCrop>false</ScaleCrop>
  <LinksUpToDate>false</LinksUpToDate>
  <CharactersWithSpaces>3395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2020-08-16T01:55:00Z</dcterms:created>
  <dc:creator>LDQ</dc:creator>
  <cp:lastModifiedBy>赵伟慧</cp:lastModifiedBy>
  <dcterms:modified xsi:type="dcterms:W3CDTF">2024-10-23T08:59:05Z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B99A71D91BA25E289119A964CE929EB6</vt:lpwstr>
  </property>
</Properties>
</file>