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7037">
      <w:pPr>
        <w:jc w:val="center"/>
        <w:rPr>
          <w:rFonts w:ascii="宋体" w:hAnsi="宋体"/>
          <w:b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-317500</wp:posOffset>
                </wp:positionV>
                <wp:extent cx="693420" cy="313055"/>
                <wp:effectExtent l="0" t="0" r="1778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780" y="333375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9B24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-25pt;height:24.65pt;width:54.6pt;z-index:251659264;mso-width-relative:page;mso-height-relative:page;" fillcolor="#FFFFFF [3201]" filled="t" stroked="f" coordsize="21600,21600" o:gfxdata="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vTb/tQAAAAIAQAA&#10;DwAAAAAAAAABACAAAAAiAAAAZHJzL2Rvd25yZXYueG1sUEsBAhQAFAAAAAgAh07iQHt3GWd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C99B24">
                      <w:pP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攀枝花立博房地产开发有限公司</w:t>
      </w:r>
      <w:r>
        <w:rPr>
          <w:rFonts w:hint="eastAsia" w:ascii="宋体" w:hAnsi="宋体"/>
          <w:b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  <w:t>重整案</w:t>
      </w:r>
    </w:p>
    <w:p w14:paraId="5D3DEDE5"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  <w:t>购房户</w:t>
      </w:r>
      <w:r>
        <w:rPr>
          <w:rFonts w:hint="eastAsia" w:ascii="宋体" w:hAnsi="宋体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回迁户、棚改户</w:t>
      </w:r>
      <w:r>
        <w:rPr>
          <w:rFonts w:hint="eastAsia" w:ascii="宋体" w:hAnsi="宋体"/>
          <w:b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债权登记表</w:t>
      </w:r>
    </w:p>
    <w:p w14:paraId="64E6FFBA">
      <w:pPr>
        <w:spacing w:line="194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8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3402"/>
        <w:gridCol w:w="1251"/>
        <w:gridCol w:w="3207"/>
      </w:tblGrid>
      <w:tr w14:paraId="7980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5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FE6CE1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债权人</w:t>
            </w:r>
            <w:r>
              <w:rPr>
                <w:rFonts w:hint="default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购房人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E42D2D">
            <w:pPr>
              <w:spacing w:line="360" w:lineRule="exact"/>
              <w:ind w:firstLine="1100" w:firstLineChars="500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CC3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FDC48E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身份号码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A054291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68F39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61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2A2EAD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0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CF40F9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50FAAE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2320BA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61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0508ED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C8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0D1B4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62C1492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45515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61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8E5F62A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79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03CBB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4E98E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0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4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</w:tcPr>
          <w:p w14:paraId="2963FC64">
            <w:pPr>
              <w:spacing w:before="90" w:line="360" w:lineRule="exact"/>
              <w:ind w:right="86" w:rightChars="41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债权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银行账户信息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B9DA02D">
            <w:pPr>
              <w:spacing w:before="90" w:line="360" w:lineRule="exact"/>
              <w:ind w:firstLine="214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户名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6C0E20EF">
            <w:pPr>
              <w:spacing w:before="90" w:line="360" w:lineRule="exact"/>
              <w:ind w:firstLine="214" w:firstLineChars="100"/>
              <w:jc w:val="left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开户行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具体到支行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3E0A8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6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5214">
            <w:pPr>
              <w:spacing w:before="178"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是否涉及诉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讼或仲裁</w:t>
            </w:r>
          </w:p>
        </w:tc>
        <w:tc>
          <w:tcPr>
            <w:tcW w:w="3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14CF">
            <w:pPr>
              <w:spacing w:before="178" w:line="360" w:lineRule="exact"/>
              <w:ind w:firstLine="648" w:firstLineChars="300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不涉及诉讼或仲裁  □诉讼  □仲裁 (后附法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律文书副本)</w:t>
            </w:r>
          </w:p>
        </w:tc>
      </w:tr>
      <w:tr w14:paraId="23FD95BF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731" w:hRule="atLeast"/>
          <w:jc w:val="center"/>
        </w:trPr>
        <w:tc>
          <w:tcPr>
            <w:tcW w:w="5000" w:type="pct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tbl>
            <w:tblPr>
              <w:tblStyle w:val="6"/>
              <w:tblW w:w="9864" w:type="dxa"/>
              <w:tblInd w:w="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9"/>
              <w:gridCol w:w="1038"/>
              <w:gridCol w:w="962"/>
              <w:gridCol w:w="1775"/>
              <w:gridCol w:w="335"/>
              <w:gridCol w:w="1271"/>
              <w:gridCol w:w="289"/>
              <w:gridCol w:w="2145"/>
            </w:tblGrid>
            <w:tr w14:paraId="7CBD3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Merge w:val="restart"/>
                </w:tcPr>
                <w:p w14:paraId="35FE9909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F00F4B7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5BACFE7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C3007D7">
                  <w:pPr>
                    <w:spacing w:line="360" w:lineRule="exact"/>
                    <w:jc w:val="both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购房情况/房屋现状</w:t>
                  </w:r>
                </w:p>
              </w:tc>
              <w:tc>
                <w:tcPr>
                  <w:tcW w:w="7815" w:type="dxa"/>
                  <w:gridSpan w:val="7"/>
                  <w:vAlign w:val="center"/>
                </w:tcPr>
                <w:p w14:paraId="251CCF02">
                  <w:pPr>
                    <w:spacing w:line="360" w:lineRule="exact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合同约定的购房款总额（元）：</w:t>
                  </w:r>
                </w:p>
              </w:tc>
            </w:tr>
            <w:tr w14:paraId="2BF85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66A3CF8D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0DCE95DC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所购房屋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位置</w:t>
                  </w:r>
                </w:p>
              </w:tc>
              <w:tc>
                <w:tcPr>
                  <w:tcW w:w="5815" w:type="dxa"/>
                  <w:gridSpan w:val="5"/>
                  <w:vAlign w:val="center"/>
                </w:tcPr>
                <w:p w14:paraId="5388C227">
                  <w:pPr>
                    <w:spacing w:line="360" w:lineRule="exact"/>
                    <w:ind w:firstLine="648" w:firstLineChars="3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0DBBF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0628E01E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7B60DEC1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合同约定用途</w:t>
                  </w:r>
                </w:p>
              </w:tc>
              <w:tc>
                <w:tcPr>
                  <w:tcW w:w="5815" w:type="dxa"/>
                  <w:gridSpan w:val="5"/>
                  <w:vAlign w:val="center"/>
                </w:tcPr>
                <w:p w14:paraId="50F8687B">
                  <w:pPr>
                    <w:spacing w:line="360" w:lineRule="exact"/>
                    <w:ind w:firstLine="216" w:firstLineChars="1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住宅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 xml:space="preserve">商业 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val="en-US" w:eastAsia="zh-Hans"/>
                    </w:rPr>
                    <w:t>车位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公寓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办公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val="en-US" w:eastAsia="zh-Hans"/>
                    </w:rPr>
                    <w:t>其他</w:t>
                  </w:r>
                </w:p>
              </w:tc>
            </w:tr>
            <w:tr w14:paraId="38D7A4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20727E4C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35B945E8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付款方式</w:t>
                  </w:r>
                </w:p>
              </w:tc>
              <w:tc>
                <w:tcPr>
                  <w:tcW w:w="5815" w:type="dxa"/>
                  <w:gridSpan w:val="5"/>
                  <w:vAlign w:val="center"/>
                </w:tcPr>
                <w:p w14:paraId="5B499085">
                  <w:pPr>
                    <w:spacing w:line="360" w:lineRule="exact"/>
                    <w:jc w:val="left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□首付+按揭  □分期支付 □一次性支付  □以房抵款</w:t>
                  </w:r>
                </w:p>
                <w:p w14:paraId="74F69EA9">
                  <w:pPr>
                    <w:spacing w:line="360" w:lineRule="exact"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□其他</w:t>
                  </w:r>
                </w:p>
              </w:tc>
            </w:tr>
            <w:tr w14:paraId="788FF5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1DC3D9A6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5F4F1E06">
                  <w:pPr>
                    <w:spacing w:line="360" w:lineRule="exact"/>
                    <w:ind w:firstLine="216" w:firstLineChars="100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购房款是否付清</w:t>
                  </w:r>
                </w:p>
              </w:tc>
              <w:tc>
                <w:tcPr>
                  <w:tcW w:w="2110" w:type="dxa"/>
                  <w:gridSpan w:val="2"/>
                  <w:vAlign w:val="center"/>
                </w:tcPr>
                <w:p w14:paraId="6989B90A">
                  <w:pPr>
                    <w:spacing w:line="360" w:lineRule="exact"/>
                    <w:ind w:firstLine="216" w:firstLineChars="100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□是  □否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73B430FE">
                  <w:pPr>
                    <w:spacing w:line="360" w:lineRule="exact"/>
                    <w:ind w:firstLine="216" w:firstLineChars="100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未付金额</w:t>
                  </w:r>
                </w:p>
              </w:tc>
              <w:tc>
                <w:tcPr>
                  <w:tcW w:w="2145" w:type="dxa"/>
                  <w:vAlign w:val="center"/>
                </w:tcPr>
                <w:p w14:paraId="6C55D3A0"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D1B1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9" w:hRule="atLeast"/>
              </w:trPr>
              <w:tc>
                <w:tcPr>
                  <w:tcW w:w="2049" w:type="dxa"/>
                  <w:vMerge w:val="continue"/>
                </w:tcPr>
                <w:p w14:paraId="606AF1A5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51B5A81A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备案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预告登记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情况</w:t>
                  </w:r>
                </w:p>
              </w:tc>
              <w:tc>
                <w:tcPr>
                  <w:tcW w:w="5815" w:type="dxa"/>
                  <w:gridSpan w:val="5"/>
                  <w:vAlign w:val="center"/>
                </w:tcPr>
                <w:p w14:paraId="344FEA87"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已备案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已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预告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登记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未备案</w:t>
                  </w:r>
                </w:p>
              </w:tc>
            </w:tr>
            <w:tr w14:paraId="385CF2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40E5C36E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00" w:type="dxa"/>
                  <w:gridSpan w:val="2"/>
                  <w:vAlign w:val="center"/>
                </w:tcPr>
                <w:p w14:paraId="1B72C549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交付情况</w:t>
                  </w:r>
                </w:p>
              </w:tc>
              <w:tc>
                <w:tcPr>
                  <w:tcW w:w="5815" w:type="dxa"/>
                  <w:gridSpan w:val="5"/>
                  <w:vAlign w:val="center"/>
                </w:tcPr>
                <w:p w14:paraId="6A80BD14">
                  <w:pPr>
                    <w:spacing w:line="360" w:lineRule="exact"/>
                    <w:ind w:firstLine="1728" w:firstLineChars="800"/>
                    <w:jc w:val="both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□是   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否</w:t>
                  </w:r>
                </w:p>
              </w:tc>
            </w:tr>
            <w:tr w14:paraId="48B03D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Align w:val="center"/>
                </w:tcPr>
                <w:p w14:paraId="651C4098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债权人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3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购房人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主张</w:t>
                  </w:r>
                </w:p>
              </w:tc>
              <w:tc>
                <w:tcPr>
                  <w:tcW w:w="7815" w:type="dxa"/>
                  <w:gridSpan w:val="7"/>
                </w:tcPr>
                <w:p w14:paraId="59B71F37">
                  <w:pPr>
                    <w:spacing w:line="360" w:lineRule="exact"/>
                    <w:ind w:firstLine="864" w:firstLineChars="400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□备案    □交房   □办理产权证</w:t>
                  </w:r>
                </w:p>
              </w:tc>
            </w:tr>
            <w:tr w14:paraId="4F0D0D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Merge w:val="restart"/>
                  <w:vAlign w:val="center"/>
                </w:tcPr>
                <w:p w14:paraId="636A7BEB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CN"/>
                    </w:rPr>
                    <w:t>登记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债权总额</w:t>
                  </w:r>
                </w:p>
                <w:p w14:paraId="749425E5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val="en-US" w:eastAsia="zh-CN"/>
                    </w:rPr>
                    <w:t>（合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计：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u w:val="single"/>
                    </w:rPr>
                    <w:t xml:space="preserve">      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元)</w:t>
                  </w:r>
                </w:p>
              </w:tc>
              <w:tc>
                <w:tcPr>
                  <w:tcW w:w="1038" w:type="dxa"/>
                  <w:vAlign w:val="center"/>
                </w:tcPr>
                <w:p w14:paraId="1E86D1FD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本金</w:t>
                  </w:r>
                </w:p>
              </w:tc>
              <w:tc>
                <w:tcPr>
                  <w:tcW w:w="2737" w:type="dxa"/>
                  <w:gridSpan w:val="2"/>
                  <w:vAlign w:val="center"/>
                </w:tcPr>
                <w:p w14:paraId="2DC8A3C9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6" w:type="dxa"/>
                  <w:gridSpan w:val="2"/>
                  <w:vAlign w:val="center"/>
                </w:tcPr>
                <w:p w14:paraId="35FB1AF9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利息</w:t>
                  </w:r>
                </w:p>
              </w:tc>
              <w:tc>
                <w:tcPr>
                  <w:tcW w:w="2434" w:type="dxa"/>
                  <w:gridSpan w:val="2"/>
                  <w:vAlign w:val="center"/>
                </w:tcPr>
                <w:p w14:paraId="36A0D7B8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86322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Merge w:val="continue"/>
                  <w:vAlign w:val="center"/>
                </w:tcPr>
                <w:p w14:paraId="155642F9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043695F7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违约金</w:t>
                  </w:r>
                </w:p>
              </w:tc>
              <w:tc>
                <w:tcPr>
                  <w:tcW w:w="2737" w:type="dxa"/>
                  <w:gridSpan w:val="2"/>
                  <w:vAlign w:val="center"/>
                </w:tcPr>
                <w:p w14:paraId="3EC4FEAA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06" w:type="dxa"/>
                  <w:gridSpan w:val="2"/>
                  <w:vAlign w:val="center"/>
                </w:tcPr>
                <w:p w14:paraId="0DF6C0D7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</w:p>
              </w:tc>
              <w:tc>
                <w:tcPr>
                  <w:tcW w:w="2434" w:type="dxa"/>
                  <w:gridSpan w:val="2"/>
                  <w:vAlign w:val="center"/>
                </w:tcPr>
                <w:p w14:paraId="27F1CC52">
                  <w:pPr>
                    <w:spacing w:line="360" w:lineRule="exact"/>
                    <w:ind w:firstLine="864" w:firstLineChars="40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FB17B7D">
            <w:pPr>
              <w:spacing w:line="360" w:lineRule="exact"/>
              <w:ind w:firstLine="444" w:firstLineChars="200"/>
              <w:rPr>
                <w:rFonts w:ascii="仿宋" w:hAnsi="仿宋" w:eastAsia="仿宋" w:cs="仿宋"/>
                <w:color w:val="000000" w:themeColor="text1"/>
                <w:spacing w:val="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8584E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109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AAA3"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诉求或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需说明事项：</w:t>
            </w:r>
          </w:p>
        </w:tc>
      </w:tr>
    </w:tbl>
    <w:p w14:paraId="5A204516">
      <w:pPr>
        <w:spacing w:before="45" w:line="231" w:lineRule="auto"/>
        <w:ind w:firstLine="5800" w:firstLineChars="2900"/>
        <w:rPr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>债权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人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签字捺印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>/盖章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）：</w:t>
      </w:r>
    </w:p>
    <w:p w14:paraId="53ABFB71">
      <w:pPr>
        <w:spacing w:before="45" w:line="231" w:lineRule="auto"/>
        <w:ind w:right="-512" w:rightChars="-244"/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日</w:t>
      </w:r>
    </w:p>
    <w:p w14:paraId="2EC7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right="-512" w:rightChars="-244"/>
        <w:textAlignment w:val="auto"/>
        <w:rPr>
          <w:rFonts w:ascii="仿宋_GB2312" w:hAnsi="仿宋_GB2312" w:eastAsia="仿宋_GB2312" w:cs="仿宋_GB2312"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特别提示：</w:t>
      </w:r>
    </w:p>
    <w:p w14:paraId="720C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firstLine="38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1、本《购房户债权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表》不构成管理人对于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债权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真实性、有效性以及合法性的确认，不构成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CN"/>
          <w14:textFill>
            <w14:solidFill>
              <w14:schemeClr w14:val="tx1"/>
            </w14:solidFill>
          </w14:textFill>
        </w:rPr>
        <w:t>攀枝花立博房地产开发有限公司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或管理人对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所登记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债权的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当然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认可，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不属于诉讼时效中断的依据。</w:t>
      </w:r>
    </w:p>
    <w:p w14:paraId="160C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firstLine="382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2、为提高效率，管理人的有关重要通知（包括但不限于债权人会议通知、需表决或核查的内容）可选择通过电子送达的方式送达。管理人将相关文件、通知等交寄至债权人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val="en-US"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地址或通过微信、短信、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val="en-US" w:eastAsia="zh-Hans"/>
          <w14:textFill>
            <w14:solidFill>
              <w14:schemeClr w14:val="tx1"/>
            </w14:solidFill>
          </w14:textFill>
        </w:rPr>
        <w:t>网络系统平台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等方式发送的，均视为有效送达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673" w:right="1080" w:bottom="645" w:left="1080" w:header="851" w:footer="51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7EC3">
    <w:pPr>
      <w:spacing w:line="196" w:lineRule="auto"/>
      <w:ind w:left="4933"/>
      <w:rPr>
        <w:rFonts w:ascii="Times New Roman" w:hAnsi="Times New Roman" w:eastAsia="Times New Roman" w:cs="Times New Roman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E3F38944"/>
    <w:rsid w:val="4CFF8F60"/>
    <w:rsid w:val="528A0579"/>
    <w:rsid w:val="5DE569EA"/>
    <w:rsid w:val="724D5E37"/>
    <w:rsid w:val="72D166AD"/>
    <w:rsid w:val="7ACD5A24"/>
    <w:rsid w:val="7DEFB077"/>
    <w:rsid w:val="7FFEEF5E"/>
    <w:rsid w:val="B5DB7BC0"/>
    <w:rsid w:val="CFD720C1"/>
    <w:rsid w:val="D3FF4966"/>
    <w:rsid w:val="E3F38944"/>
    <w:rsid w:val="FDAEED4F"/>
    <w:rsid w:val="FDFF04FA"/>
    <w:rsid w:val="FF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515</Characters>
  <Lines>0</Lines>
  <Paragraphs>0</Paragraphs>
  <TotalTime>0</TotalTime>
  <ScaleCrop>false</ScaleCrop>
  <LinksUpToDate>false</LinksUpToDate>
  <CharactersWithSpaces>691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2022-09-17T18:47:00Z</dcterms:created>
  <dc:creator>耿帅律师</dc:creator>
  <cp:lastModifiedBy>安安</cp:lastModifiedBy>
  <dcterms:modified xsi:type="dcterms:W3CDTF">2024-10-21T16:07:38Z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F9EA0676FB0743258543F5C1C02C179B_13</vt:lpwstr>
  </property>
</Properties>
</file>