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5C58A">
      <w:pPr>
        <w:pStyle w:val="4"/>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340" w:lineRule="exact"/>
        <w:jc w:val="center"/>
        <w:textAlignment w:val="auto"/>
        <w:rPr>
          <w:sz w:val="32"/>
          <w:szCs w:val="32"/>
        </w:rPr>
      </w:pPr>
      <w:r>
        <w:rPr>
          <w:rStyle w:val="7"/>
          <w:rFonts w:hint="eastAsia" w:ascii="黑体" w:hAnsi="宋体" w:eastAsia="黑体" w:cs="黑体"/>
          <w:sz w:val="32"/>
          <w:szCs w:val="32"/>
          <w:lang w:val="en-US" w:eastAsia="zh-CN"/>
        </w:rPr>
        <w:t>绵阳星科建筑装饰装修工程</w:t>
      </w:r>
      <w:r>
        <w:rPr>
          <w:rStyle w:val="7"/>
          <w:rFonts w:ascii="黑体" w:hAnsi="宋体" w:eastAsia="黑体" w:cs="黑体"/>
          <w:sz w:val="32"/>
          <w:szCs w:val="32"/>
        </w:rPr>
        <w:t>有限公司破产清算案</w:t>
      </w:r>
    </w:p>
    <w:p w14:paraId="62DF5B74">
      <w:pPr>
        <w:pStyle w:val="4"/>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340" w:lineRule="exact"/>
        <w:jc w:val="center"/>
        <w:textAlignment w:val="auto"/>
        <w:rPr>
          <w:rFonts w:hint="default" w:eastAsiaTheme="minorEastAsia"/>
          <w:sz w:val="32"/>
          <w:szCs w:val="32"/>
          <w:lang w:val="en-US" w:eastAsia="zh-CN"/>
        </w:rPr>
      </w:pPr>
      <w:r>
        <w:rPr>
          <w:rStyle w:val="7"/>
          <w:rFonts w:hint="eastAsia" w:ascii="黑体" w:hAnsi="宋体" w:eastAsia="黑体" w:cs="黑体"/>
          <w:sz w:val="32"/>
          <w:szCs w:val="32"/>
          <w:lang w:val="en-US" w:eastAsia="zh-CN"/>
        </w:rPr>
        <w:t>接管通知</w:t>
      </w:r>
    </w:p>
    <w:p w14:paraId="294834A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textAlignment w:val="auto"/>
        <w:rPr>
          <w:rFonts w:hint="eastAsia" w:ascii="仿宋" w:hAnsi="仿宋" w:eastAsia="仿宋" w:cs="仿宋"/>
          <w:sz w:val="24"/>
          <w:szCs w:val="24"/>
          <w:lang w:val="en-US" w:eastAsia="zh-CN"/>
        </w:rPr>
      </w:pPr>
    </w:p>
    <w:p w14:paraId="23BFEF4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绵阳星科建筑装饰装修工程</w:t>
      </w:r>
      <w:r>
        <w:rPr>
          <w:rFonts w:hint="eastAsia" w:ascii="仿宋" w:hAnsi="仿宋" w:eastAsia="仿宋" w:cs="仿宋"/>
          <w:sz w:val="24"/>
          <w:szCs w:val="24"/>
        </w:rPr>
        <w:t>有限公司</w:t>
      </w:r>
      <w:r>
        <w:rPr>
          <w:rFonts w:hint="eastAsia" w:ascii="仿宋" w:hAnsi="仿宋" w:eastAsia="仿宋" w:cs="仿宋"/>
          <w:sz w:val="24"/>
          <w:szCs w:val="24"/>
          <w:lang w:eastAsia="zh-CN"/>
        </w:rPr>
        <w:t>、</w:t>
      </w:r>
      <w:r>
        <w:rPr>
          <w:rFonts w:hint="eastAsia" w:ascii="仿宋" w:hAnsi="仿宋" w:eastAsia="仿宋" w:cs="仿宋"/>
          <w:sz w:val="24"/>
          <w:szCs w:val="24"/>
        </w:rPr>
        <w:t>法定代表人</w:t>
      </w:r>
      <w:r>
        <w:rPr>
          <w:rFonts w:hint="eastAsia" w:ascii="仿宋" w:hAnsi="仿宋" w:eastAsia="仿宋" w:cs="仿宋"/>
          <w:sz w:val="24"/>
          <w:szCs w:val="24"/>
          <w:lang w:val="en-US" w:eastAsia="zh-CN"/>
        </w:rPr>
        <w:t>及股东王习平</w:t>
      </w:r>
      <w:r>
        <w:rPr>
          <w:rFonts w:hint="eastAsia" w:ascii="仿宋" w:hAnsi="仿宋" w:eastAsia="仿宋" w:cs="仿宋"/>
          <w:sz w:val="24"/>
          <w:szCs w:val="24"/>
        </w:rPr>
        <w:t>、股东</w:t>
      </w:r>
      <w:r>
        <w:rPr>
          <w:rFonts w:hint="eastAsia" w:ascii="仿宋" w:hAnsi="仿宋" w:eastAsia="仿宋" w:cs="仿宋"/>
          <w:sz w:val="24"/>
          <w:szCs w:val="24"/>
          <w:lang w:val="en-US" w:eastAsia="zh-CN"/>
        </w:rPr>
        <w:t>辛玉蓉、监事、财务负责人及其他经营管理人员等有关人员：</w:t>
      </w:r>
    </w:p>
    <w:p w14:paraId="305EBFF6">
      <w:pPr>
        <w:pStyle w:val="2"/>
        <w:keepNext w:val="0"/>
        <w:keepLines w:val="0"/>
        <w:pageBreakBefore w:val="0"/>
        <w:kinsoku/>
        <w:wordWrap/>
        <w:overflowPunct/>
        <w:topLinePunct w:val="0"/>
        <w:autoSpaceDE/>
        <w:autoSpaceDN/>
        <w:bidi w:val="0"/>
        <w:adjustRightInd/>
        <w:snapToGrid/>
        <w:spacing w:beforeAutospacing="0" w:afterAutospacing="0" w:line="400" w:lineRule="exact"/>
        <w:ind w:right="0" w:firstLine="480" w:firstLineChars="200"/>
        <w:textAlignment w:val="auto"/>
        <w:rPr>
          <w:rFonts w:hint="eastAsia" w:ascii="仿宋" w:hAnsi="仿宋" w:eastAsia="仿宋" w:cs="仿宋"/>
          <w:snapToGrid w:val="0"/>
          <w:color w:val="000008"/>
          <w:spacing w:val="-2"/>
          <w:kern w:val="0"/>
          <w:sz w:val="24"/>
          <w:szCs w:val="24"/>
          <w:lang w:val="en-US" w:eastAsia="en-US" w:bidi="ar-SA"/>
        </w:rPr>
      </w:pPr>
      <w:r>
        <w:rPr>
          <w:rFonts w:hint="eastAsia" w:ascii="仿宋" w:hAnsi="仿宋" w:eastAsia="仿宋" w:cs="仿宋"/>
          <w:kern w:val="0"/>
          <w:sz w:val="24"/>
          <w:szCs w:val="24"/>
          <w:lang w:val="en-US" w:eastAsia="zh-CN" w:bidi="ar"/>
        </w:rPr>
        <w:t>绵阳市涪城区人民法院根据申请人杨兰申请，于2024年10月9日作出（2024）川0703破申10号民事裁定书，裁定受理</w:t>
      </w:r>
      <w:r>
        <w:rPr>
          <w:rFonts w:hint="eastAsia" w:ascii="仿宋" w:hAnsi="仿宋" w:eastAsia="仿宋" w:cs="仿宋"/>
          <w:sz w:val="24"/>
          <w:szCs w:val="24"/>
          <w:lang w:val="en-US" w:eastAsia="zh-CN"/>
        </w:rPr>
        <w:t>绵阳星科建筑装饰装修工程</w:t>
      </w:r>
      <w:r>
        <w:rPr>
          <w:rFonts w:hint="eastAsia" w:ascii="仿宋" w:hAnsi="仿宋" w:eastAsia="仿宋" w:cs="仿宋"/>
          <w:sz w:val="24"/>
          <w:szCs w:val="24"/>
        </w:rPr>
        <w:t>有限公司</w:t>
      </w:r>
      <w:r>
        <w:rPr>
          <w:rFonts w:hint="eastAsia" w:ascii="仿宋" w:hAnsi="仿宋" w:eastAsia="仿宋" w:cs="仿宋"/>
          <w:kern w:val="0"/>
          <w:sz w:val="24"/>
          <w:szCs w:val="24"/>
          <w:lang w:val="en-US" w:eastAsia="zh-CN" w:bidi="ar"/>
        </w:rPr>
        <w:t>（“星科建筑公司”或“债务人”）破产清算一案，并于2024年10月30日作出（2024）川0703破8号决定书，指定四川林志（绵阳）律师事务所担任管理人。</w:t>
      </w:r>
      <w:r>
        <w:rPr>
          <w:rFonts w:hint="eastAsia" w:ascii="仿宋" w:hAnsi="仿宋" w:eastAsia="仿宋" w:cs="仿宋"/>
          <w:snapToGrid w:val="0"/>
          <w:color w:val="000008"/>
          <w:spacing w:val="-2"/>
          <w:kern w:val="0"/>
          <w:sz w:val="24"/>
          <w:szCs w:val="24"/>
          <w:lang w:val="en-US" w:eastAsia="en-US" w:bidi="ar-SA"/>
        </w:rPr>
        <w:t>现管理人根据《中华人民共和国企业破产法》第十五条等相关规定</w:t>
      </w:r>
      <w:r>
        <w:rPr>
          <w:rFonts w:hint="eastAsia" w:ascii="仿宋" w:hAnsi="仿宋" w:eastAsia="仿宋" w:cs="仿宋"/>
          <w:snapToGrid w:val="0"/>
          <w:color w:val="000008"/>
          <w:spacing w:val="-2"/>
          <w:kern w:val="0"/>
          <w:sz w:val="24"/>
          <w:szCs w:val="24"/>
          <w:lang w:val="en-US" w:eastAsia="zh-CN" w:bidi="ar-SA"/>
        </w:rPr>
        <w:t>，</w:t>
      </w:r>
      <w:r>
        <w:rPr>
          <w:rFonts w:hint="eastAsia" w:ascii="仿宋" w:hAnsi="仿宋" w:eastAsia="仿宋" w:cs="仿宋"/>
          <w:snapToGrid w:val="0"/>
          <w:color w:val="000008"/>
          <w:spacing w:val="-2"/>
          <w:kern w:val="0"/>
          <w:sz w:val="24"/>
          <w:szCs w:val="24"/>
          <w:lang w:val="en-US" w:eastAsia="en-US" w:bidi="ar-SA"/>
        </w:rPr>
        <w:t>通知你</w:t>
      </w:r>
      <w:r>
        <w:rPr>
          <w:rFonts w:hint="eastAsia" w:ascii="仿宋" w:hAnsi="仿宋" w:eastAsia="仿宋" w:cs="仿宋"/>
          <w:snapToGrid w:val="0"/>
          <w:color w:val="000008"/>
          <w:spacing w:val="-2"/>
          <w:kern w:val="0"/>
          <w:sz w:val="24"/>
          <w:szCs w:val="24"/>
          <w:lang w:val="en-US" w:eastAsia="zh-CN" w:bidi="ar-SA"/>
        </w:rPr>
        <w:t>办理交接并承担</w:t>
      </w:r>
      <w:r>
        <w:rPr>
          <w:rFonts w:hint="eastAsia" w:ascii="仿宋" w:hAnsi="仿宋" w:eastAsia="仿宋" w:cs="仿宋"/>
          <w:snapToGrid w:val="0"/>
          <w:color w:val="000008"/>
          <w:spacing w:val="-2"/>
          <w:kern w:val="0"/>
          <w:sz w:val="24"/>
          <w:szCs w:val="24"/>
          <w:lang w:val="en-US" w:eastAsia="en-US" w:bidi="ar-SA"/>
        </w:rPr>
        <w:t>下列义务：</w:t>
      </w:r>
    </w:p>
    <w:p w14:paraId="74A16C9F">
      <w:pPr>
        <w:pStyle w:val="2"/>
        <w:keepNext w:val="0"/>
        <w:keepLines w:val="0"/>
        <w:pageBreakBefore w:val="0"/>
        <w:kinsoku/>
        <w:wordWrap/>
        <w:overflowPunct/>
        <w:topLinePunct w:val="0"/>
        <w:autoSpaceDE/>
        <w:autoSpaceDN/>
        <w:bidi w:val="0"/>
        <w:adjustRightInd/>
        <w:snapToGrid/>
        <w:spacing w:beforeAutospacing="0" w:afterAutospacing="0" w:line="400" w:lineRule="exact"/>
        <w:ind w:right="0" w:firstLine="472" w:firstLineChars="200"/>
        <w:textAlignment w:val="auto"/>
        <w:rPr>
          <w:rFonts w:hint="eastAsia" w:ascii="仿宋" w:hAnsi="仿宋" w:eastAsia="仿宋" w:cs="仿宋"/>
          <w:snapToGrid w:val="0"/>
          <w:color w:val="000008"/>
          <w:spacing w:val="-2"/>
          <w:kern w:val="0"/>
          <w:sz w:val="24"/>
          <w:szCs w:val="24"/>
          <w:lang w:val="en-US" w:eastAsia="zh-CN" w:bidi="ar-SA"/>
        </w:rPr>
      </w:pPr>
      <w:r>
        <w:rPr>
          <w:rFonts w:hint="eastAsia" w:ascii="仿宋" w:hAnsi="仿宋" w:eastAsia="仿宋" w:cs="仿宋"/>
          <w:snapToGrid w:val="0"/>
          <w:color w:val="000008"/>
          <w:spacing w:val="-2"/>
          <w:kern w:val="0"/>
          <w:sz w:val="24"/>
          <w:szCs w:val="24"/>
          <w:lang w:val="en-US" w:eastAsia="zh-CN" w:bidi="ar-SA"/>
        </w:rPr>
        <w:t>1.</w:t>
      </w:r>
      <w:r>
        <w:rPr>
          <w:rFonts w:hint="eastAsia" w:ascii="仿宋" w:hAnsi="仿宋" w:eastAsia="仿宋" w:cs="仿宋"/>
          <w:snapToGrid w:val="0"/>
          <w:color w:val="000008"/>
          <w:spacing w:val="-2"/>
          <w:kern w:val="0"/>
          <w:sz w:val="24"/>
          <w:szCs w:val="24"/>
          <w:lang w:val="en-US" w:eastAsia="en-US" w:bidi="ar-SA"/>
        </w:rPr>
        <w:t xml:space="preserve">请在收到本通知书之日起 </w:t>
      </w:r>
      <w:r>
        <w:rPr>
          <w:rFonts w:hint="eastAsia" w:ascii="仿宋" w:hAnsi="仿宋" w:eastAsia="仿宋" w:cs="仿宋"/>
          <w:snapToGrid w:val="0"/>
          <w:color w:val="000008"/>
          <w:spacing w:val="-2"/>
          <w:kern w:val="0"/>
          <w:sz w:val="24"/>
          <w:szCs w:val="24"/>
          <w:lang w:val="en-US" w:eastAsia="zh-CN" w:bidi="ar-SA"/>
        </w:rPr>
        <w:t>5</w:t>
      </w:r>
      <w:r>
        <w:rPr>
          <w:rFonts w:hint="eastAsia" w:ascii="仿宋" w:hAnsi="仿宋" w:eastAsia="仿宋" w:cs="仿宋"/>
          <w:snapToGrid w:val="0"/>
          <w:color w:val="000008"/>
          <w:spacing w:val="-2"/>
          <w:kern w:val="0"/>
          <w:sz w:val="24"/>
          <w:szCs w:val="24"/>
          <w:lang w:val="en-US" w:eastAsia="en-US" w:bidi="ar-SA"/>
        </w:rPr>
        <w:t xml:space="preserve"> 日之内向管理人提交财产状况说明、债务清册、债权清册、有关财务会计报告</w:t>
      </w:r>
      <w:r>
        <w:rPr>
          <w:rFonts w:hint="eastAsia" w:ascii="仿宋" w:hAnsi="仿宋" w:eastAsia="仿宋" w:cs="仿宋"/>
          <w:snapToGrid w:val="0"/>
          <w:color w:val="000008"/>
          <w:spacing w:val="-2"/>
          <w:kern w:val="0"/>
          <w:sz w:val="24"/>
          <w:szCs w:val="24"/>
          <w:lang w:val="en-US" w:eastAsia="zh-CN" w:bidi="ar-SA"/>
        </w:rPr>
        <w:t>、</w:t>
      </w:r>
      <w:r>
        <w:rPr>
          <w:rFonts w:hint="eastAsia" w:ascii="仿宋" w:hAnsi="仿宋" w:eastAsia="仿宋" w:cs="仿宋"/>
          <w:snapToGrid w:val="0"/>
          <w:color w:val="000008"/>
          <w:spacing w:val="-2"/>
          <w:kern w:val="0"/>
          <w:sz w:val="24"/>
          <w:szCs w:val="24"/>
          <w:lang w:val="en-US" w:eastAsia="en-US" w:bidi="ar-SA"/>
        </w:rPr>
        <w:t>职工工资的支付和社会保险费用的缴纳情况</w:t>
      </w:r>
      <w:r>
        <w:rPr>
          <w:rFonts w:hint="eastAsia" w:ascii="仿宋" w:hAnsi="仿宋" w:eastAsia="仿宋" w:cs="仿宋"/>
          <w:snapToGrid w:val="0"/>
          <w:color w:val="000008"/>
          <w:spacing w:val="-2"/>
          <w:kern w:val="0"/>
          <w:sz w:val="24"/>
          <w:szCs w:val="24"/>
          <w:lang w:val="en-US" w:eastAsia="zh-CN" w:bidi="ar-SA"/>
        </w:rPr>
        <w:t>；向管理人</w:t>
      </w:r>
      <w:r>
        <w:rPr>
          <w:rFonts w:hint="eastAsia" w:ascii="仿宋" w:hAnsi="仿宋" w:eastAsia="仿宋" w:cs="仿宋"/>
          <w:snapToGrid w:val="0"/>
          <w:color w:val="000008"/>
          <w:spacing w:val="-2"/>
          <w:kern w:val="0"/>
          <w:sz w:val="24"/>
          <w:szCs w:val="24"/>
          <w:lang w:val="en-US" w:eastAsia="en-US" w:bidi="ar-SA"/>
        </w:rPr>
        <w:t>移交你所占有和管理的印章、财务账簿、文书等资料</w:t>
      </w:r>
      <w:r>
        <w:rPr>
          <w:rFonts w:hint="eastAsia" w:ascii="仿宋" w:hAnsi="仿宋" w:eastAsia="仿宋" w:cs="仿宋"/>
          <w:snapToGrid w:val="0"/>
          <w:color w:val="000008"/>
          <w:spacing w:val="-2"/>
          <w:kern w:val="0"/>
          <w:sz w:val="24"/>
          <w:szCs w:val="24"/>
          <w:lang w:val="en-US" w:eastAsia="zh-CN" w:bidi="ar-SA"/>
        </w:rPr>
        <w:t>（详见移交清单）；</w:t>
      </w:r>
    </w:p>
    <w:p w14:paraId="5F47E378">
      <w:pPr>
        <w:pStyle w:val="2"/>
        <w:keepNext w:val="0"/>
        <w:keepLines w:val="0"/>
        <w:pageBreakBefore w:val="0"/>
        <w:kinsoku/>
        <w:wordWrap/>
        <w:overflowPunct/>
        <w:topLinePunct w:val="0"/>
        <w:autoSpaceDE/>
        <w:autoSpaceDN/>
        <w:bidi w:val="0"/>
        <w:adjustRightInd/>
        <w:snapToGrid/>
        <w:spacing w:beforeAutospacing="0" w:afterAutospacing="0" w:line="400" w:lineRule="exact"/>
        <w:ind w:left="0" w:right="0" w:firstLine="472" w:firstLineChars="200"/>
        <w:textAlignment w:val="auto"/>
        <w:rPr>
          <w:rFonts w:hint="eastAsia" w:ascii="仿宋" w:hAnsi="仿宋" w:eastAsia="仿宋" w:cs="仿宋"/>
          <w:snapToGrid w:val="0"/>
          <w:color w:val="000008"/>
          <w:spacing w:val="-2"/>
          <w:kern w:val="0"/>
          <w:sz w:val="24"/>
          <w:szCs w:val="24"/>
          <w:lang w:val="en-US" w:eastAsia="en-US" w:bidi="ar-SA"/>
        </w:rPr>
      </w:pPr>
      <w:r>
        <w:rPr>
          <w:rFonts w:hint="eastAsia" w:ascii="仿宋" w:hAnsi="仿宋" w:eastAsia="仿宋" w:cs="仿宋"/>
          <w:snapToGrid w:val="0"/>
          <w:color w:val="000008"/>
          <w:spacing w:val="-2"/>
          <w:kern w:val="0"/>
          <w:sz w:val="24"/>
          <w:szCs w:val="24"/>
          <w:lang w:val="en-US" w:eastAsia="zh-CN" w:bidi="ar-SA"/>
        </w:rPr>
        <w:t>2.</w:t>
      </w:r>
      <w:r>
        <w:rPr>
          <w:rFonts w:hint="eastAsia" w:ascii="仿宋" w:hAnsi="仿宋" w:eastAsia="仿宋" w:cs="仿宋"/>
          <w:snapToGrid w:val="0"/>
          <w:color w:val="000008"/>
          <w:spacing w:val="-2"/>
          <w:kern w:val="0"/>
          <w:sz w:val="24"/>
          <w:szCs w:val="24"/>
          <w:lang w:val="en-US" w:eastAsia="en-US" w:bidi="ar-SA"/>
        </w:rPr>
        <w:t>收到本通知书之日起停止清偿债务；</w:t>
      </w:r>
    </w:p>
    <w:p w14:paraId="04F75BB1">
      <w:pPr>
        <w:pStyle w:val="2"/>
        <w:keepNext w:val="0"/>
        <w:keepLines w:val="0"/>
        <w:pageBreakBefore w:val="0"/>
        <w:kinsoku/>
        <w:wordWrap/>
        <w:overflowPunct/>
        <w:topLinePunct w:val="0"/>
        <w:autoSpaceDE/>
        <w:autoSpaceDN/>
        <w:bidi w:val="0"/>
        <w:adjustRightInd/>
        <w:snapToGrid/>
        <w:spacing w:beforeAutospacing="0" w:afterAutospacing="0" w:line="400" w:lineRule="exact"/>
        <w:ind w:left="0" w:right="0" w:firstLine="472" w:firstLineChars="200"/>
        <w:textAlignment w:val="auto"/>
        <w:rPr>
          <w:rFonts w:hint="eastAsia" w:ascii="仿宋" w:hAnsi="仿宋" w:eastAsia="仿宋" w:cs="仿宋"/>
          <w:snapToGrid w:val="0"/>
          <w:color w:val="000008"/>
          <w:spacing w:val="-2"/>
          <w:kern w:val="0"/>
          <w:sz w:val="24"/>
          <w:szCs w:val="24"/>
          <w:lang w:val="en-US" w:eastAsia="en-US" w:bidi="ar-SA"/>
        </w:rPr>
      </w:pPr>
      <w:r>
        <w:rPr>
          <w:rFonts w:hint="eastAsia" w:ascii="仿宋" w:hAnsi="仿宋" w:eastAsia="仿宋" w:cs="仿宋"/>
          <w:snapToGrid w:val="0"/>
          <w:color w:val="000008"/>
          <w:spacing w:val="-2"/>
          <w:kern w:val="0"/>
          <w:sz w:val="24"/>
          <w:szCs w:val="24"/>
          <w:lang w:val="en-US" w:eastAsia="zh-CN" w:bidi="ar-SA"/>
        </w:rPr>
        <w:t>3.</w:t>
      </w:r>
      <w:r>
        <w:rPr>
          <w:rFonts w:hint="eastAsia" w:ascii="仿宋" w:hAnsi="仿宋" w:eastAsia="仿宋" w:cs="仿宋"/>
          <w:snapToGrid w:val="0"/>
          <w:color w:val="000008"/>
          <w:spacing w:val="-2"/>
          <w:kern w:val="0"/>
          <w:sz w:val="24"/>
          <w:szCs w:val="24"/>
          <w:lang w:val="en-US" w:eastAsia="en-US" w:bidi="ar-SA"/>
        </w:rPr>
        <w:t>收到本通知书之日起至破产程序终结之日</w:t>
      </w:r>
      <w:r>
        <w:rPr>
          <w:rFonts w:hint="eastAsia" w:ascii="仿宋" w:hAnsi="仿宋" w:eastAsia="仿宋" w:cs="仿宋"/>
          <w:snapToGrid w:val="0"/>
          <w:color w:val="000008"/>
          <w:spacing w:val="-2"/>
          <w:kern w:val="0"/>
          <w:sz w:val="24"/>
          <w:szCs w:val="24"/>
          <w:lang w:val="en-US" w:eastAsia="zh-CN" w:bidi="ar-SA"/>
        </w:rPr>
        <w:t>，</w:t>
      </w:r>
      <w:r>
        <w:rPr>
          <w:rFonts w:hint="eastAsia" w:ascii="仿宋" w:hAnsi="仿宋" w:eastAsia="仿宋" w:cs="仿宋"/>
          <w:snapToGrid w:val="0"/>
          <w:color w:val="000008"/>
          <w:spacing w:val="-2"/>
          <w:kern w:val="0"/>
          <w:sz w:val="24"/>
          <w:szCs w:val="24"/>
          <w:lang w:val="en-US" w:eastAsia="en-US" w:bidi="ar-SA"/>
        </w:rPr>
        <w:t>未经人民法院许可</w:t>
      </w:r>
      <w:r>
        <w:rPr>
          <w:rFonts w:hint="eastAsia" w:ascii="仿宋" w:hAnsi="仿宋" w:eastAsia="仿宋" w:cs="仿宋"/>
          <w:snapToGrid w:val="0"/>
          <w:color w:val="000008"/>
          <w:spacing w:val="-2"/>
          <w:kern w:val="0"/>
          <w:sz w:val="24"/>
          <w:szCs w:val="24"/>
          <w:lang w:val="en-US" w:eastAsia="zh-CN" w:bidi="ar-SA"/>
        </w:rPr>
        <w:t>，</w:t>
      </w:r>
      <w:r>
        <w:rPr>
          <w:rFonts w:hint="eastAsia" w:ascii="仿宋" w:hAnsi="仿宋" w:eastAsia="仿宋" w:cs="仿宋"/>
          <w:snapToGrid w:val="0"/>
          <w:color w:val="000008"/>
          <w:spacing w:val="-2"/>
          <w:kern w:val="0"/>
          <w:sz w:val="24"/>
          <w:szCs w:val="24"/>
          <w:lang w:val="en-US" w:eastAsia="en-US" w:bidi="ar-SA"/>
        </w:rPr>
        <w:t>不得离开住所地；配合管理人办理移交手续并如实回答管理人对你的相关询问</w:t>
      </w:r>
      <w:r>
        <w:rPr>
          <w:rFonts w:hint="eastAsia" w:ascii="仿宋" w:hAnsi="仿宋" w:eastAsia="仿宋" w:cs="仿宋"/>
          <w:snapToGrid w:val="0"/>
          <w:color w:val="000008"/>
          <w:spacing w:val="-2"/>
          <w:kern w:val="0"/>
          <w:sz w:val="24"/>
          <w:szCs w:val="24"/>
          <w:lang w:val="en-US" w:eastAsia="zh-CN" w:bidi="ar-SA"/>
        </w:rPr>
        <w:t>；</w:t>
      </w:r>
      <w:r>
        <w:rPr>
          <w:rFonts w:hint="eastAsia" w:ascii="仿宋" w:hAnsi="仿宋" w:eastAsia="仿宋" w:cs="仿宋"/>
          <w:snapToGrid w:val="0"/>
          <w:color w:val="000008"/>
          <w:spacing w:val="-2"/>
          <w:kern w:val="0"/>
          <w:sz w:val="24"/>
          <w:szCs w:val="24"/>
          <w:lang w:val="en-US" w:eastAsia="en-US" w:bidi="ar-SA"/>
        </w:rPr>
        <w:t>列席债权人会议并如实回答债权人的询问。</w:t>
      </w:r>
    </w:p>
    <w:p w14:paraId="1F5595F0">
      <w:pPr>
        <w:pStyle w:val="2"/>
        <w:keepNext w:val="0"/>
        <w:keepLines w:val="0"/>
        <w:pageBreakBefore w:val="0"/>
        <w:kinsoku/>
        <w:wordWrap/>
        <w:overflowPunct/>
        <w:topLinePunct w:val="0"/>
        <w:autoSpaceDE/>
        <w:autoSpaceDN/>
        <w:bidi w:val="0"/>
        <w:adjustRightInd/>
        <w:snapToGrid/>
        <w:spacing w:beforeAutospacing="0" w:afterAutospacing="0" w:line="400" w:lineRule="exact"/>
        <w:ind w:left="0" w:right="0" w:firstLine="480" w:firstLineChars="200"/>
        <w:jc w:val="both"/>
        <w:textAlignment w:val="auto"/>
        <w:rPr>
          <w:rFonts w:hint="eastAsia" w:ascii="仿宋" w:hAnsi="仿宋" w:eastAsia="仿宋" w:cs="仿宋"/>
          <w:snapToGrid w:val="0"/>
          <w:color w:val="000008"/>
          <w:spacing w:val="-2"/>
          <w:kern w:val="0"/>
          <w:sz w:val="24"/>
          <w:szCs w:val="24"/>
          <w:lang w:val="en-US" w:eastAsia="zh-CN" w:bidi="ar-SA"/>
        </w:rPr>
      </w:pPr>
      <w:r>
        <w:rPr>
          <w:rFonts w:hint="eastAsia" w:ascii="仿宋" w:hAnsi="仿宋" w:eastAsia="仿宋" w:cs="仿宋"/>
          <w:kern w:val="0"/>
          <w:sz w:val="24"/>
          <w:szCs w:val="24"/>
          <w:lang w:val="en-US" w:eastAsia="zh-CN" w:bidi="ar"/>
        </w:rPr>
        <w:t>如你方因客观原因无法交出应交接的财产、印章、账册、文书等资料的，应当</w:t>
      </w:r>
      <w:r>
        <w:rPr>
          <w:rFonts w:hint="eastAsia" w:ascii="仿宋" w:hAnsi="仿宋" w:eastAsia="仿宋" w:cs="仿宋"/>
          <w:sz w:val="24"/>
          <w:szCs w:val="24"/>
        </w:rPr>
        <w:t>于接到本通知书之日起</w:t>
      </w:r>
      <w:r>
        <w:rPr>
          <w:rFonts w:hint="eastAsia" w:ascii="仿宋" w:hAnsi="仿宋" w:eastAsia="仿宋" w:cs="仿宋"/>
          <w:sz w:val="24"/>
          <w:szCs w:val="24"/>
          <w:lang w:val="en-US" w:eastAsia="zh-CN"/>
        </w:rPr>
        <w:t>5</w:t>
      </w:r>
      <w:r>
        <w:rPr>
          <w:rFonts w:hint="eastAsia" w:ascii="仿宋" w:hAnsi="仿宋" w:eastAsia="仿宋" w:cs="仿宋"/>
          <w:sz w:val="24"/>
          <w:szCs w:val="24"/>
        </w:rPr>
        <w:t>日内</w:t>
      </w:r>
      <w:r>
        <w:rPr>
          <w:rFonts w:hint="eastAsia" w:ascii="仿宋" w:hAnsi="仿宋" w:eastAsia="仿宋" w:cs="仿宋"/>
          <w:kern w:val="0"/>
          <w:sz w:val="24"/>
          <w:szCs w:val="24"/>
          <w:lang w:val="en-US" w:eastAsia="zh-CN" w:bidi="ar"/>
        </w:rPr>
        <w:t>向管理人作出书面说明或者提供有关证据与线索。</w:t>
      </w:r>
      <w:r>
        <w:rPr>
          <w:rFonts w:hint="eastAsia" w:ascii="仿宋" w:hAnsi="仿宋" w:eastAsia="仿宋" w:cs="仿宋"/>
          <w:snapToGrid w:val="0"/>
          <w:color w:val="000008"/>
          <w:spacing w:val="-2"/>
          <w:kern w:val="0"/>
          <w:sz w:val="24"/>
          <w:szCs w:val="24"/>
          <w:lang w:val="en-US" w:eastAsia="en-US" w:bidi="ar-SA"/>
        </w:rPr>
        <w:t>如你拒不履行上述移交和配合义务，管理人将根据《企业破产法》 第一百二十六条、第一百二十七条之规定，</w:t>
      </w:r>
      <w:r>
        <w:rPr>
          <w:rFonts w:hint="eastAsia" w:ascii="仿宋" w:hAnsi="仿宋" w:eastAsia="仿宋" w:cs="仿宋"/>
          <w:snapToGrid w:val="0"/>
          <w:color w:val="000008"/>
          <w:spacing w:val="-2"/>
          <w:kern w:val="0"/>
          <w:sz w:val="24"/>
          <w:szCs w:val="24"/>
          <w:lang w:val="en-US" w:eastAsia="zh-CN" w:bidi="ar-SA"/>
        </w:rPr>
        <w:t>向</w:t>
      </w:r>
      <w:r>
        <w:rPr>
          <w:rFonts w:hint="eastAsia" w:ascii="仿宋" w:hAnsi="仿宋" w:eastAsia="仿宋" w:cs="仿宋"/>
          <w:snapToGrid w:val="0"/>
          <w:color w:val="000008"/>
          <w:spacing w:val="-2"/>
          <w:kern w:val="0"/>
          <w:sz w:val="24"/>
          <w:szCs w:val="24"/>
          <w:lang w:val="en-US" w:eastAsia="en-US" w:bidi="ar-SA"/>
        </w:rPr>
        <w:t>法院申请采取强制措施，包括罚款、拘留等，构成妨碍清算罪、隐匿、故意销毁会计凭证、会计账簿、财务会计报告罪等犯罪的，将依法移交有关部门以追究刑事责任。</w:t>
      </w:r>
    </w:p>
    <w:p w14:paraId="058FD36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72" w:firstLineChars="200"/>
        <w:textAlignment w:val="auto"/>
        <w:rPr>
          <w:rFonts w:hint="eastAsia" w:ascii="仿宋" w:hAnsi="仿宋" w:eastAsia="仿宋" w:cs="仿宋"/>
          <w:sz w:val="24"/>
          <w:szCs w:val="24"/>
        </w:rPr>
      </w:pPr>
      <w:r>
        <w:rPr>
          <w:rFonts w:hint="eastAsia" w:ascii="仿宋" w:hAnsi="仿宋" w:eastAsia="仿宋" w:cs="仿宋"/>
          <w:snapToGrid w:val="0"/>
          <w:color w:val="000008"/>
          <w:spacing w:val="-2"/>
          <w:kern w:val="0"/>
          <w:sz w:val="24"/>
          <w:szCs w:val="24"/>
          <w:lang w:val="en-US" w:eastAsia="zh-CN" w:bidi="ar-SA"/>
        </w:rPr>
        <w:t>另，</w:t>
      </w:r>
      <w:r>
        <w:rPr>
          <w:rFonts w:hint="eastAsia" w:ascii="仿宋" w:hAnsi="仿宋" w:eastAsia="仿宋" w:cs="仿宋"/>
          <w:kern w:val="0"/>
          <w:sz w:val="24"/>
          <w:szCs w:val="24"/>
          <w:lang w:val="en-US" w:eastAsia="zh-CN" w:bidi="ar"/>
        </w:rPr>
        <w:t>绵阳市涪城区人民法院定于2024年12月17日上午10时在绵阳市涪城区人民法院（地址：绵阳市涪城区绵安路43号）第十二审判庭召开第一次债权人会议。</w:t>
      </w:r>
    </w:p>
    <w:p w14:paraId="70C9648D">
      <w:pPr>
        <w:pStyle w:val="2"/>
        <w:keepNext w:val="0"/>
        <w:keepLines w:val="0"/>
        <w:pageBreakBefore w:val="0"/>
        <w:kinsoku/>
        <w:wordWrap/>
        <w:overflowPunct/>
        <w:topLinePunct w:val="0"/>
        <w:autoSpaceDE/>
        <w:autoSpaceDN/>
        <w:bidi w:val="0"/>
        <w:adjustRightInd/>
        <w:snapToGrid/>
        <w:spacing w:beforeAutospacing="0" w:afterAutospacing="0" w:line="400" w:lineRule="exact"/>
        <w:ind w:left="0" w:right="0" w:firstLine="472" w:firstLineChars="200"/>
        <w:jc w:val="both"/>
        <w:textAlignment w:val="auto"/>
        <w:rPr>
          <w:rFonts w:hint="eastAsia" w:ascii="仿宋" w:hAnsi="仿宋" w:eastAsia="仿宋" w:cs="仿宋"/>
          <w:snapToGrid w:val="0"/>
          <w:color w:val="000008"/>
          <w:spacing w:val="-2"/>
          <w:kern w:val="0"/>
          <w:sz w:val="24"/>
          <w:szCs w:val="24"/>
          <w:lang w:val="en-US" w:eastAsia="zh-CN" w:bidi="ar-SA"/>
        </w:rPr>
      </w:pPr>
      <w:r>
        <w:rPr>
          <w:rFonts w:hint="eastAsia" w:ascii="仿宋" w:hAnsi="仿宋" w:eastAsia="仿宋" w:cs="仿宋"/>
          <w:snapToGrid w:val="0"/>
          <w:color w:val="000008"/>
          <w:spacing w:val="-2"/>
          <w:kern w:val="0"/>
          <w:sz w:val="24"/>
          <w:szCs w:val="24"/>
          <w:lang w:val="en-US" w:eastAsia="en-US" w:bidi="ar-SA"/>
        </w:rPr>
        <w:t>特此通知</w:t>
      </w:r>
      <w:r>
        <w:rPr>
          <w:rFonts w:hint="eastAsia" w:ascii="仿宋" w:hAnsi="仿宋" w:eastAsia="仿宋" w:cs="仿宋"/>
          <w:snapToGrid w:val="0"/>
          <w:color w:val="000008"/>
          <w:spacing w:val="-2"/>
          <w:kern w:val="0"/>
          <w:sz w:val="24"/>
          <w:szCs w:val="24"/>
          <w:lang w:val="en-US" w:eastAsia="zh-CN" w:bidi="ar-SA"/>
        </w:rPr>
        <w:t>！</w:t>
      </w:r>
    </w:p>
    <w:p w14:paraId="40104D56">
      <w:pPr>
        <w:pStyle w:val="2"/>
        <w:keepNext w:val="0"/>
        <w:keepLines w:val="0"/>
        <w:pageBreakBefore w:val="0"/>
        <w:kinsoku/>
        <w:wordWrap/>
        <w:overflowPunct/>
        <w:topLinePunct w:val="0"/>
        <w:autoSpaceDE/>
        <w:autoSpaceDN/>
        <w:bidi w:val="0"/>
        <w:adjustRightInd/>
        <w:snapToGrid/>
        <w:spacing w:beforeAutospacing="0" w:afterAutospacing="0" w:line="400" w:lineRule="exact"/>
        <w:ind w:left="388" w:right="253" w:firstLine="560"/>
        <w:jc w:val="both"/>
        <w:textAlignment w:val="auto"/>
        <w:rPr>
          <w:rFonts w:hint="eastAsia" w:ascii="仿宋" w:hAnsi="仿宋" w:eastAsia="仿宋" w:cs="仿宋"/>
          <w:snapToGrid w:val="0"/>
          <w:color w:val="000008"/>
          <w:spacing w:val="-2"/>
          <w:kern w:val="0"/>
          <w:sz w:val="24"/>
          <w:szCs w:val="24"/>
          <w:lang w:val="en-US" w:eastAsia="zh-CN" w:bidi="ar-SA"/>
        </w:rPr>
      </w:pPr>
    </w:p>
    <w:p w14:paraId="7C58ED4B">
      <w:pPr>
        <w:pStyle w:val="2"/>
        <w:keepNext w:val="0"/>
        <w:keepLines w:val="0"/>
        <w:pageBreakBefore w:val="0"/>
        <w:kinsoku/>
        <w:wordWrap/>
        <w:overflowPunct/>
        <w:topLinePunct w:val="0"/>
        <w:autoSpaceDE/>
        <w:autoSpaceDN/>
        <w:bidi w:val="0"/>
        <w:adjustRightInd/>
        <w:snapToGrid/>
        <w:spacing w:beforeAutospacing="0" w:afterAutospacing="0" w:line="400" w:lineRule="exact"/>
        <w:ind w:right="414" w:firstLine="2160" w:firstLineChars="900"/>
        <w:jc w:val="right"/>
        <w:textAlignment w:val="auto"/>
        <w:rPr>
          <w:rFonts w:hint="eastAsia" w:ascii="仿宋" w:hAnsi="仿宋" w:eastAsia="仿宋" w:cs="仿宋"/>
          <w:snapToGrid w:val="0"/>
          <w:color w:val="000008"/>
          <w:spacing w:val="-5"/>
          <w:kern w:val="0"/>
          <w:sz w:val="24"/>
          <w:szCs w:val="24"/>
          <w:lang w:val="en-US" w:eastAsia="zh-CN" w:bidi="ar-SA"/>
        </w:rPr>
      </w:pPr>
      <w:r>
        <w:rPr>
          <w:rFonts w:hint="eastAsia" w:ascii="仿宋" w:hAnsi="仿宋" w:eastAsia="仿宋" w:cs="仿宋"/>
          <w:sz w:val="24"/>
          <w:szCs w:val="24"/>
          <w:lang w:val="en-US" w:eastAsia="zh-CN"/>
        </w:rPr>
        <w:t>绵阳星科建筑装饰装修工程</w:t>
      </w:r>
      <w:r>
        <w:rPr>
          <w:rFonts w:hint="eastAsia" w:ascii="仿宋" w:hAnsi="仿宋" w:eastAsia="仿宋" w:cs="仿宋"/>
          <w:sz w:val="24"/>
          <w:szCs w:val="24"/>
        </w:rPr>
        <w:t>有限公司</w:t>
      </w:r>
      <w:r>
        <w:rPr>
          <w:rFonts w:hint="eastAsia" w:ascii="仿宋" w:hAnsi="仿宋" w:eastAsia="仿宋" w:cs="仿宋"/>
          <w:snapToGrid w:val="0"/>
          <w:color w:val="000008"/>
          <w:spacing w:val="-5"/>
          <w:kern w:val="0"/>
          <w:sz w:val="24"/>
          <w:szCs w:val="24"/>
          <w:lang w:val="en-US" w:eastAsia="zh-CN" w:bidi="ar-SA"/>
        </w:rPr>
        <w:t>管理人</w:t>
      </w:r>
    </w:p>
    <w:p w14:paraId="1FD63E69">
      <w:pPr>
        <w:pStyle w:val="2"/>
        <w:keepNext w:val="0"/>
        <w:keepLines w:val="0"/>
        <w:pageBreakBefore w:val="0"/>
        <w:kinsoku/>
        <w:wordWrap/>
        <w:overflowPunct/>
        <w:topLinePunct w:val="0"/>
        <w:autoSpaceDE/>
        <w:autoSpaceDN/>
        <w:bidi w:val="0"/>
        <w:adjustRightInd/>
        <w:snapToGrid/>
        <w:spacing w:beforeAutospacing="0" w:afterAutospacing="0" w:line="400" w:lineRule="exact"/>
        <w:ind w:left="5619" w:right="414" w:hanging="1680"/>
        <w:jc w:val="right"/>
        <w:textAlignment w:val="auto"/>
        <w:rPr>
          <w:rFonts w:hint="eastAsia" w:ascii="仿宋" w:hAnsi="仿宋" w:eastAsia="仿宋" w:cs="仿宋"/>
          <w:snapToGrid w:val="0"/>
          <w:color w:val="000008"/>
          <w:spacing w:val="-5"/>
          <w:kern w:val="0"/>
          <w:sz w:val="24"/>
          <w:szCs w:val="24"/>
          <w:lang w:val="en-US" w:eastAsia="zh-CN" w:bidi="ar-SA"/>
        </w:rPr>
      </w:pPr>
      <w:r>
        <w:rPr>
          <w:rFonts w:hint="eastAsia" w:ascii="仿宋" w:hAnsi="仿宋" w:eastAsia="仿宋" w:cs="仿宋"/>
          <w:snapToGrid w:val="0"/>
          <w:color w:val="000008"/>
          <w:spacing w:val="-5"/>
          <w:kern w:val="0"/>
          <w:sz w:val="24"/>
          <w:szCs w:val="24"/>
          <w:lang w:val="en-US" w:eastAsia="zh-CN" w:bidi="ar-SA"/>
        </w:rPr>
        <w:t xml:space="preserve">           二〇二四年十一月十九日</w:t>
      </w:r>
    </w:p>
    <w:p w14:paraId="63760C90">
      <w:pPr>
        <w:pStyle w:val="2"/>
        <w:keepNext w:val="0"/>
        <w:keepLines w:val="0"/>
        <w:pageBreakBefore w:val="0"/>
        <w:kinsoku/>
        <w:wordWrap/>
        <w:overflowPunct/>
        <w:topLinePunct w:val="0"/>
        <w:autoSpaceDE/>
        <w:autoSpaceDN/>
        <w:bidi w:val="0"/>
        <w:adjustRightInd/>
        <w:snapToGrid/>
        <w:spacing w:beforeAutospacing="0" w:afterAutospacing="0" w:line="400" w:lineRule="exact"/>
        <w:ind w:left="5619" w:right="414" w:hanging="1680"/>
        <w:jc w:val="right"/>
        <w:textAlignment w:val="auto"/>
        <w:rPr>
          <w:rFonts w:hint="eastAsia" w:ascii="仿宋" w:hAnsi="仿宋" w:eastAsia="仿宋" w:cs="仿宋"/>
          <w:snapToGrid w:val="0"/>
          <w:color w:val="000008"/>
          <w:spacing w:val="-5"/>
          <w:kern w:val="0"/>
          <w:sz w:val="24"/>
          <w:szCs w:val="24"/>
          <w:lang w:val="en-US" w:eastAsia="zh-CN" w:bidi="ar-SA"/>
        </w:rPr>
      </w:pPr>
    </w:p>
    <w:p w14:paraId="2C1D3FE8">
      <w:pPr>
        <w:pStyle w:val="2"/>
        <w:keepNext w:val="0"/>
        <w:keepLines w:val="0"/>
        <w:pageBreakBefore w:val="0"/>
        <w:kinsoku/>
        <w:wordWrap/>
        <w:overflowPunct/>
        <w:topLinePunct w:val="0"/>
        <w:autoSpaceDE/>
        <w:autoSpaceDN/>
        <w:bidi w:val="0"/>
        <w:adjustRightInd/>
        <w:snapToGrid/>
        <w:spacing w:beforeAutospacing="0" w:afterAutospacing="0" w:line="400" w:lineRule="exact"/>
        <w:ind w:left="5619" w:right="414" w:hanging="1680"/>
        <w:jc w:val="right"/>
        <w:textAlignment w:val="auto"/>
        <w:rPr>
          <w:rFonts w:hint="eastAsia" w:ascii="仿宋" w:hAnsi="仿宋" w:eastAsia="仿宋" w:cs="仿宋"/>
          <w:snapToGrid w:val="0"/>
          <w:color w:val="000008"/>
          <w:spacing w:val="-5"/>
          <w:kern w:val="0"/>
          <w:sz w:val="24"/>
          <w:szCs w:val="24"/>
          <w:lang w:val="en-US" w:eastAsia="zh-CN" w:bidi="ar-SA"/>
        </w:rPr>
      </w:pPr>
    </w:p>
    <w:p w14:paraId="45158D67">
      <w:pPr>
        <w:keepNext w:val="0"/>
        <w:keepLines w:val="0"/>
        <w:pageBreakBefore w:val="0"/>
        <w:kinsoku/>
        <w:wordWrap/>
        <w:overflowPunct/>
        <w:topLinePunct w:val="0"/>
        <w:autoSpaceDE/>
        <w:autoSpaceDN/>
        <w:bidi w:val="0"/>
        <w:adjustRightInd/>
        <w:snapToGrid/>
        <w:spacing w:beforeAutospacing="0" w:afterAutospacing="0" w:line="400" w:lineRule="exact"/>
        <w:ind w:left="0" w:right="0" w:firstLine="462" w:firstLineChars="200"/>
        <w:textAlignment w:val="auto"/>
        <w:rPr>
          <w:rFonts w:hint="eastAsia" w:ascii="仿宋" w:hAnsi="仿宋" w:eastAsia="仿宋" w:cs="仿宋"/>
          <w:b/>
          <w:bCs/>
          <w:snapToGrid w:val="0"/>
          <w:color w:val="000008"/>
          <w:spacing w:val="-5"/>
          <w:kern w:val="0"/>
          <w:sz w:val="24"/>
          <w:szCs w:val="24"/>
          <w:lang w:val="en-US" w:eastAsia="zh-CN" w:bidi="ar-SA"/>
        </w:rPr>
      </w:pPr>
      <w:r>
        <w:rPr>
          <w:rFonts w:hint="eastAsia" w:ascii="仿宋" w:hAnsi="仿宋" w:eastAsia="仿宋" w:cs="仿宋"/>
          <w:b/>
          <w:bCs/>
          <w:snapToGrid w:val="0"/>
          <w:color w:val="000008"/>
          <w:spacing w:val="-5"/>
          <w:kern w:val="0"/>
          <w:sz w:val="24"/>
          <w:szCs w:val="24"/>
          <w:lang w:val="en-US" w:eastAsia="zh-CN" w:bidi="ar-SA"/>
        </w:rPr>
        <w:t>管理人联系地址及联系方式：</w:t>
      </w:r>
    </w:p>
    <w:p w14:paraId="79CD1F1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firstLine="472" w:firstLineChars="200"/>
        <w:textAlignment w:val="auto"/>
        <w:rPr>
          <w:rFonts w:hint="eastAsia" w:ascii="仿宋" w:hAnsi="仿宋" w:eastAsia="仿宋" w:cs="仿宋"/>
          <w:sz w:val="24"/>
          <w:szCs w:val="24"/>
          <w:lang w:val="en-US" w:eastAsia="zh-CN"/>
        </w:rPr>
      </w:pPr>
      <w:r>
        <w:rPr>
          <w:rFonts w:hint="eastAsia" w:ascii="仿宋" w:hAnsi="仿宋" w:eastAsia="仿宋" w:cs="仿宋"/>
          <w:color w:val="000008"/>
          <w:spacing w:val="-2"/>
          <w:sz w:val="24"/>
          <w:szCs w:val="24"/>
        </w:rPr>
        <w:t>管理人：</w:t>
      </w:r>
      <w:r>
        <w:rPr>
          <w:rFonts w:hint="eastAsia" w:ascii="仿宋" w:hAnsi="仿宋" w:eastAsia="仿宋" w:cs="仿宋"/>
          <w:sz w:val="24"/>
          <w:szCs w:val="24"/>
          <w:lang w:val="en-US" w:eastAsia="zh-CN"/>
        </w:rPr>
        <w:t>四川林志（绵阳）律师事务所</w:t>
      </w:r>
    </w:p>
    <w:p w14:paraId="5E462A6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地</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址：</w:t>
      </w:r>
      <w:r>
        <w:rPr>
          <w:rFonts w:hint="eastAsia" w:ascii="仿宋" w:hAnsi="仿宋" w:eastAsia="仿宋" w:cs="仿宋"/>
          <w:sz w:val="24"/>
          <w:szCs w:val="24"/>
          <w:lang w:val="en-US" w:eastAsia="zh-CN"/>
        </w:rPr>
        <w:t>四川省绵阳市涪城区长虹大道中段128号怡海明珠B幢601号</w:t>
      </w:r>
    </w:p>
    <w:p w14:paraId="2E72408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联系人：陈雪梅，电话：13881180934、0816-2301388</w:t>
      </w:r>
    </w:p>
    <w:p w14:paraId="3107503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仿宋" w:hAnsi="仿宋" w:eastAsia="仿宋" w:cs="仿宋"/>
          <w:sz w:val="24"/>
          <w:szCs w:val="24"/>
          <w:lang w:val="en-US" w:eastAsia="zh-CN"/>
        </w:rPr>
      </w:pPr>
    </w:p>
    <w:p w14:paraId="59B3F843">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00" w:lineRule="exact"/>
        <w:ind w:firstLine="482" w:firstLineChars="200"/>
        <w:textAlignment w:val="auto"/>
        <w:rPr>
          <w:rFonts w:hint="eastAsia" w:ascii="仿宋" w:hAnsi="仿宋" w:eastAsia="仿宋" w:cs="仿宋"/>
          <w:b/>
          <w:bCs/>
        </w:rPr>
      </w:pPr>
      <w:r>
        <w:rPr>
          <w:rFonts w:hint="eastAsia" w:ascii="仿宋" w:hAnsi="仿宋" w:eastAsia="仿宋" w:cs="仿宋"/>
          <w:b/>
          <w:bCs/>
          <w:lang w:val="en-US" w:eastAsia="zh-CN"/>
        </w:rPr>
        <w:t>附件1：</w:t>
      </w:r>
      <w:r>
        <w:rPr>
          <w:rFonts w:hint="eastAsia" w:ascii="仿宋" w:hAnsi="仿宋" w:eastAsia="仿宋" w:cs="仿宋"/>
          <w:b/>
          <w:bCs/>
        </w:rPr>
        <w:t>管理人依据《企业破产法》的相关规定，因履行职责，需</w:t>
      </w:r>
      <w:r>
        <w:rPr>
          <w:rFonts w:hint="eastAsia" w:ascii="仿宋" w:hAnsi="仿宋" w:eastAsia="仿宋" w:cs="仿宋"/>
          <w:b/>
          <w:bCs/>
          <w:lang w:val="en-US" w:eastAsia="zh-CN"/>
        </w:rPr>
        <w:t>星科建筑</w:t>
      </w:r>
      <w:r>
        <w:rPr>
          <w:rFonts w:hint="eastAsia" w:ascii="仿宋" w:hAnsi="仿宋" w:eastAsia="仿宋" w:cs="仿宋"/>
          <w:b/>
          <w:bCs/>
        </w:rPr>
        <w:t>公司移交以下资料并需列明清单，具体情况如下：</w:t>
      </w:r>
    </w:p>
    <w:p w14:paraId="3E3AFD36">
      <w:pPr>
        <w:pStyle w:val="2"/>
        <w:spacing w:before="120" w:line="201" w:lineRule="auto"/>
        <w:rPr>
          <w:rFonts w:hint="eastAsia" w:ascii="仿宋" w:hAnsi="仿宋" w:eastAsia="仿宋" w:cs="仿宋"/>
          <w:snapToGrid w:val="0"/>
          <w:color w:val="000008"/>
          <w:spacing w:val="-5"/>
          <w:kern w:val="0"/>
          <w:sz w:val="28"/>
          <w:szCs w:val="28"/>
          <w:lang w:val="en-US" w:eastAsia="zh-CN" w:bidi="ar-SA"/>
        </w:rPr>
      </w:pPr>
      <w:r>
        <w:rPr>
          <w:rFonts w:hint="eastAsia"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drawing>
          <wp:inline distT="0" distB="0" distL="114300" distR="114300">
            <wp:extent cx="5134610" cy="6520180"/>
            <wp:effectExtent l="0" t="0" r="381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134610" cy="6520180"/>
                    </a:xfrm>
                    <a:prstGeom prst="rect">
                      <a:avLst/>
                    </a:prstGeom>
                    <a:noFill/>
                    <a:ln w="9525">
                      <a:noFill/>
                    </a:ln>
                  </pic:spPr>
                </pic:pic>
              </a:graphicData>
            </a:graphic>
          </wp:inline>
        </w:drawing>
      </w:r>
    </w:p>
    <w:p w14:paraId="34EA60B2">
      <w:pPr>
        <w:spacing w:line="306" w:lineRule="auto"/>
        <w:rPr>
          <w:rFonts w:ascii="Arial"/>
          <w:sz w:val="21"/>
        </w:rPr>
      </w:pPr>
    </w:p>
    <w:p w14:paraId="543899CB">
      <w:pPr>
        <w:keepNext w:val="0"/>
        <w:keepLines w:val="0"/>
        <w:pageBreakBefore w:val="0"/>
        <w:wordWrap/>
        <w:overflowPunct/>
        <w:topLinePunct w:val="0"/>
        <w:bidi w:val="0"/>
        <w:adjustRightInd w:val="0"/>
        <w:snapToGrid w:val="0"/>
        <w:spacing w:beforeAutospacing="0" w:line="340" w:lineRule="exact"/>
        <w:ind w:left="0" w:right="0"/>
        <w:rPr>
          <w:rFonts w:hint="eastAsia" w:ascii="仿宋" w:hAnsi="仿宋" w:eastAsia="仿宋" w:cs="仿宋"/>
          <w:sz w:val="24"/>
          <w:szCs w:val="24"/>
        </w:rPr>
      </w:pPr>
      <w:r>
        <w:rPr>
          <w:rFonts w:hint="eastAsia" w:ascii="仿宋" w:hAnsi="仿宋" w:eastAsia="仿宋" w:cs="仿宋"/>
          <w:b/>
          <w:bCs/>
          <w:color w:val="000008"/>
          <w:spacing w:val="-5"/>
          <w:sz w:val="24"/>
          <w:szCs w:val="24"/>
          <w:lang w:val="en-US" w:eastAsia="zh-CN"/>
        </w:rPr>
        <w:t>附件2：</w:t>
      </w:r>
      <w:r>
        <w:rPr>
          <w:rFonts w:hint="eastAsia" w:ascii="仿宋" w:hAnsi="仿宋" w:eastAsia="仿宋" w:cs="仿宋"/>
          <w:b/>
          <w:bCs/>
          <w:color w:val="000008"/>
          <w:spacing w:val="-5"/>
          <w:sz w:val="24"/>
          <w:szCs w:val="24"/>
        </w:rPr>
        <w:t>相关法律规定</w:t>
      </w:r>
    </w:p>
    <w:p w14:paraId="0814DAE2">
      <w:pPr>
        <w:keepNext w:val="0"/>
        <w:keepLines w:val="0"/>
        <w:pageBreakBefore w:val="0"/>
        <w:wordWrap/>
        <w:overflowPunct/>
        <w:topLinePunct w:val="0"/>
        <w:bidi w:val="0"/>
        <w:adjustRightInd w:val="0"/>
        <w:snapToGrid w:val="0"/>
        <w:spacing w:beforeAutospacing="0" w:line="340" w:lineRule="exact"/>
        <w:ind w:left="0" w:right="0"/>
        <w:outlineLvl w:val="0"/>
        <w:rPr>
          <w:rFonts w:hint="eastAsia" w:ascii="仿宋" w:hAnsi="仿宋" w:eastAsia="仿宋" w:cs="仿宋"/>
          <w:sz w:val="24"/>
          <w:szCs w:val="24"/>
        </w:rPr>
      </w:pPr>
      <w:r>
        <w:rPr>
          <w:rFonts w:hint="eastAsia" w:ascii="仿宋" w:hAnsi="仿宋" w:eastAsia="仿宋" w:cs="仿宋"/>
          <w:b/>
          <w:bCs/>
          <w:color w:val="000008"/>
          <w:spacing w:val="-4"/>
          <w:sz w:val="24"/>
          <w:szCs w:val="24"/>
        </w:rPr>
        <w:t>一、《中华人民共和国企业破产法》</w:t>
      </w:r>
    </w:p>
    <w:p w14:paraId="42244517">
      <w:pPr>
        <w:keepNext w:val="0"/>
        <w:keepLines w:val="0"/>
        <w:pageBreakBefore w:val="0"/>
        <w:wordWrap/>
        <w:overflowPunct/>
        <w:topLinePunct w:val="0"/>
        <w:bidi w:val="0"/>
        <w:adjustRightInd w:val="0"/>
        <w:snapToGrid w:val="0"/>
        <w:spacing w:beforeAutospacing="0" w:line="340" w:lineRule="exact"/>
        <w:ind w:left="0" w:right="0" w:firstLine="488"/>
        <w:rPr>
          <w:rFonts w:hint="eastAsia" w:ascii="仿宋" w:hAnsi="仿宋" w:eastAsia="仿宋" w:cs="仿宋"/>
          <w:sz w:val="24"/>
          <w:szCs w:val="24"/>
        </w:rPr>
      </w:pPr>
      <w:r>
        <w:rPr>
          <w:rFonts w:hint="eastAsia" w:ascii="仿宋" w:hAnsi="仿宋" w:eastAsia="仿宋" w:cs="仿宋"/>
          <w:color w:val="000008"/>
          <w:spacing w:val="-4"/>
          <w:sz w:val="24"/>
          <w:szCs w:val="24"/>
        </w:rPr>
        <w:t>第十五条：自人民法院受理破产申请的裁定送达债务人之日起至破产程序终</w:t>
      </w:r>
      <w:r>
        <w:rPr>
          <w:rFonts w:hint="eastAsia" w:ascii="仿宋" w:hAnsi="仿宋" w:eastAsia="仿宋" w:cs="仿宋"/>
          <w:color w:val="000008"/>
          <w:spacing w:val="4"/>
          <w:sz w:val="24"/>
          <w:szCs w:val="24"/>
        </w:rPr>
        <w:t xml:space="preserve"> </w:t>
      </w:r>
      <w:r>
        <w:rPr>
          <w:rFonts w:hint="eastAsia" w:ascii="仿宋" w:hAnsi="仿宋" w:eastAsia="仿宋" w:cs="仿宋"/>
          <w:color w:val="000008"/>
          <w:spacing w:val="-1"/>
          <w:sz w:val="24"/>
          <w:szCs w:val="24"/>
        </w:rPr>
        <w:t>结之日，债务人的有关人员承担下列义务：</w:t>
      </w:r>
    </w:p>
    <w:p w14:paraId="05E46727">
      <w:pPr>
        <w:keepNext w:val="0"/>
        <w:keepLines w:val="0"/>
        <w:pageBreakBefore w:val="0"/>
        <w:wordWrap/>
        <w:overflowPunct/>
        <w:topLinePunct w:val="0"/>
        <w:bidi w:val="0"/>
        <w:adjustRightInd w:val="0"/>
        <w:snapToGrid w:val="0"/>
        <w:spacing w:beforeAutospacing="0" w:line="340" w:lineRule="exact"/>
        <w:ind w:left="0" w:right="0" w:firstLine="238" w:firstLineChars="100"/>
        <w:rPr>
          <w:rFonts w:hint="eastAsia" w:ascii="仿宋" w:hAnsi="仿宋" w:eastAsia="仿宋" w:cs="仿宋"/>
          <w:sz w:val="24"/>
          <w:szCs w:val="24"/>
        </w:rPr>
      </w:pPr>
      <w:r>
        <w:rPr>
          <w:rFonts w:hint="eastAsia" w:ascii="仿宋" w:hAnsi="仿宋" w:eastAsia="仿宋" w:cs="仿宋"/>
          <w:color w:val="000008"/>
          <w:spacing w:val="-1"/>
          <w:sz w:val="24"/>
          <w:szCs w:val="24"/>
        </w:rPr>
        <w:t>（一）妥善保管其占有和管理的财产、印章和账簿、</w:t>
      </w:r>
      <w:r>
        <w:rPr>
          <w:rFonts w:hint="eastAsia" w:ascii="仿宋" w:hAnsi="仿宋" w:eastAsia="仿宋" w:cs="仿宋"/>
          <w:color w:val="000008"/>
          <w:spacing w:val="-2"/>
          <w:sz w:val="24"/>
          <w:szCs w:val="24"/>
        </w:rPr>
        <w:t>文书等资料；</w:t>
      </w:r>
    </w:p>
    <w:p w14:paraId="49B3683C">
      <w:pPr>
        <w:keepNext w:val="0"/>
        <w:keepLines w:val="0"/>
        <w:pageBreakBefore w:val="0"/>
        <w:wordWrap/>
        <w:overflowPunct/>
        <w:topLinePunct w:val="0"/>
        <w:bidi w:val="0"/>
        <w:adjustRightInd w:val="0"/>
        <w:snapToGrid w:val="0"/>
        <w:spacing w:beforeAutospacing="0" w:line="340" w:lineRule="exact"/>
        <w:ind w:left="0" w:right="0" w:firstLine="238" w:firstLineChars="100"/>
        <w:rPr>
          <w:rFonts w:hint="eastAsia" w:ascii="仿宋" w:hAnsi="仿宋" w:eastAsia="仿宋" w:cs="仿宋"/>
          <w:sz w:val="24"/>
          <w:szCs w:val="24"/>
        </w:rPr>
      </w:pPr>
      <w:r>
        <w:rPr>
          <w:rFonts w:hint="eastAsia" w:ascii="仿宋" w:hAnsi="仿宋" w:eastAsia="仿宋" w:cs="仿宋"/>
          <w:color w:val="000008"/>
          <w:spacing w:val="-1"/>
          <w:sz w:val="24"/>
          <w:szCs w:val="24"/>
        </w:rPr>
        <w:t>（二）根据人民法院、管理人的要求进行工作，并如</w:t>
      </w:r>
      <w:r>
        <w:rPr>
          <w:rFonts w:hint="eastAsia" w:ascii="仿宋" w:hAnsi="仿宋" w:eastAsia="仿宋" w:cs="仿宋"/>
          <w:color w:val="000008"/>
          <w:spacing w:val="-2"/>
          <w:sz w:val="24"/>
          <w:szCs w:val="24"/>
        </w:rPr>
        <w:t>实回答询问；</w:t>
      </w:r>
    </w:p>
    <w:p w14:paraId="3355616D">
      <w:pPr>
        <w:keepNext w:val="0"/>
        <w:keepLines w:val="0"/>
        <w:pageBreakBefore w:val="0"/>
        <w:wordWrap/>
        <w:overflowPunct/>
        <w:topLinePunct w:val="0"/>
        <w:bidi w:val="0"/>
        <w:adjustRightInd w:val="0"/>
        <w:snapToGrid w:val="0"/>
        <w:spacing w:beforeAutospacing="0" w:line="340" w:lineRule="exact"/>
        <w:ind w:left="0" w:right="0" w:firstLine="232" w:firstLineChars="100"/>
        <w:rPr>
          <w:rFonts w:hint="eastAsia" w:ascii="仿宋" w:hAnsi="仿宋" w:eastAsia="仿宋" w:cs="仿宋"/>
          <w:sz w:val="24"/>
          <w:szCs w:val="24"/>
        </w:rPr>
      </w:pPr>
      <w:r>
        <w:rPr>
          <w:rFonts w:hint="eastAsia" w:ascii="仿宋" w:hAnsi="仿宋" w:eastAsia="仿宋" w:cs="仿宋"/>
          <w:color w:val="000008"/>
          <w:spacing w:val="-4"/>
          <w:sz w:val="24"/>
          <w:szCs w:val="24"/>
        </w:rPr>
        <w:t>（三）</w:t>
      </w:r>
      <w:r>
        <w:rPr>
          <w:rFonts w:hint="eastAsia" w:ascii="仿宋" w:hAnsi="仿宋" w:eastAsia="仿宋" w:cs="仿宋"/>
          <w:color w:val="000008"/>
          <w:spacing w:val="-67"/>
          <w:sz w:val="24"/>
          <w:szCs w:val="24"/>
        </w:rPr>
        <w:t xml:space="preserve"> </w:t>
      </w:r>
      <w:r>
        <w:rPr>
          <w:rFonts w:hint="eastAsia" w:ascii="仿宋" w:hAnsi="仿宋" w:eastAsia="仿宋" w:cs="仿宋"/>
          <w:color w:val="000008"/>
          <w:spacing w:val="-4"/>
          <w:sz w:val="24"/>
          <w:szCs w:val="24"/>
        </w:rPr>
        <w:t>列席债权人会议并如实回答债权人的询问；</w:t>
      </w:r>
    </w:p>
    <w:p w14:paraId="18AF0CC2">
      <w:pPr>
        <w:keepNext w:val="0"/>
        <w:keepLines w:val="0"/>
        <w:pageBreakBefore w:val="0"/>
        <w:wordWrap/>
        <w:overflowPunct/>
        <w:topLinePunct w:val="0"/>
        <w:bidi w:val="0"/>
        <w:adjustRightInd w:val="0"/>
        <w:snapToGrid w:val="0"/>
        <w:spacing w:beforeAutospacing="0" w:line="340" w:lineRule="exact"/>
        <w:ind w:left="0" w:right="0" w:firstLine="236" w:firstLineChars="100"/>
        <w:rPr>
          <w:rFonts w:hint="eastAsia" w:ascii="仿宋" w:hAnsi="仿宋" w:eastAsia="仿宋" w:cs="仿宋"/>
          <w:sz w:val="24"/>
          <w:szCs w:val="24"/>
        </w:rPr>
      </w:pPr>
      <w:r>
        <w:rPr>
          <w:rFonts w:hint="eastAsia" w:ascii="仿宋" w:hAnsi="仿宋" w:eastAsia="仿宋" w:cs="仿宋"/>
          <w:color w:val="000008"/>
          <w:spacing w:val="-2"/>
          <w:sz w:val="24"/>
          <w:szCs w:val="24"/>
        </w:rPr>
        <w:t>（四）未经人民法院许可，不得离开住所地；</w:t>
      </w:r>
    </w:p>
    <w:p w14:paraId="4340372A">
      <w:pPr>
        <w:keepNext w:val="0"/>
        <w:keepLines w:val="0"/>
        <w:pageBreakBefore w:val="0"/>
        <w:wordWrap/>
        <w:overflowPunct/>
        <w:topLinePunct w:val="0"/>
        <w:bidi w:val="0"/>
        <w:adjustRightInd w:val="0"/>
        <w:snapToGrid w:val="0"/>
        <w:spacing w:beforeAutospacing="0" w:line="340" w:lineRule="exact"/>
        <w:ind w:left="0" w:right="0" w:firstLine="236" w:firstLineChars="100"/>
        <w:rPr>
          <w:rFonts w:hint="eastAsia" w:ascii="仿宋" w:hAnsi="仿宋" w:eastAsia="仿宋" w:cs="仿宋"/>
          <w:sz w:val="24"/>
          <w:szCs w:val="24"/>
        </w:rPr>
      </w:pPr>
      <w:r>
        <w:rPr>
          <w:rFonts w:hint="eastAsia" w:ascii="仿宋" w:hAnsi="仿宋" w:eastAsia="仿宋" w:cs="仿宋"/>
          <w:color w:val="000008"/>
          <w:spacing w:val="-2"/>
          <w:sz w:val="24"/>
          <w:szCs w:val="24"/>
        </w:rPr>
        <w:t>（五）不得新任其他企业的董事、监事、高级管理人员。</w:t>
      </w:r>
    </w:p>
    <w:p w14:paraId="465210BE">
      <w:pPr>
        <w:keepNext w:val="0"/>
        <w:keepLines w:val="0"/>
        <w:pageBreakBefore w:val="0"/>
        <w:wordWrap/>
        <w:overflowPunct/>
        <w:topLinePunct w:val="0"/>
        <w:bidi w:val="0"/>
        <w:adjustRightInd w:val="0"/>
        <w:snapToGrid w:val="0"/>
        <w:spacing w:beforeAutospacing="0" w:line="340" w:lineRule="exact"/>
        <w:ind w:left="0" w:right="0" w:firstLine="477"/>
        <w:rPr>
          <w:rFonts w:hint="eastAsia" w:ascii="仿宋" w:hAnsi="仿宋" w:eastAsia="仿宋" w:cs="仿宋"/>
          <w:color w:val="000008"/>
          <w:spacing w:val="-2"/>
          <w:sz w:val="24"/>
          <w:szCs w:val="24"/>
        </w:rPr>
      </w:pPr>
      <w:r>
        <w:rPr>
          <w:rFonts w:hint="eastAsia" w:ascii="仿宋" w:hAnsi="仿宋" w:eastAsia="仿宋" w:cs="仿宋"/>
          <w:color w:val="000008"/>
          <w:spacing w:val="-4"/>
          <w:sz w:val="24"/>
          <w:szCs w:val="24"/>
        </w:rPr>
        <w:t>前款所称有关人员，是指企业的法定代表人；经人民法院决定，可以包括企</w:t>
      </w:r>
      <w:r>
        <w:rPr>
          <w:rFonts w:hint="eastAsia" w:ascii="仿宋" w:hAnsi="仿宋" w:eastAsia="仿宋" w:cs="仿宋"/>
          <w:color w:val="000008"/>
          <w:spacing w:val="11"/>
          <w:sz w:val="24"/>
          <w:szCs w:val="24"/>
        </w:rPr>
        <w:t xml:space="preserve"> </w:t>
      </w:r>
      <w:r>
        <w:rPr>
          <w:rFonts w:hint="eastAsia" w:ascii="仿宋" w:hAnsi="仿宋" w:eastAsia="仿宋" w:cs="仿宋"/>
          <w:color w:val="000008"/>
          <w:spacing w:val="-2"/>
          <w:sz w:val="24"/>
          <w:szCs w:val="24"/>
        </w:rPr>
        <w:t>业的财务管理人员和其他经营管理人员。</w:t>
      </w:r>
    </w:p>
    <w:p w14:paraId="35360F93">
      <w:pPr>
        <w:pStyle w:val="4"/>
        <w:keepNext w:val="0"/>
        <w:keepLines w:val="0"/>
        <w:pageBreakBefore w:val="0"/>
        <w:widowControl/>
        <w:suppressLineNumbers w:val="0"/>
        <w:wordWrap/>
        <w:overflowPunct/>
        <w:topLinePunct w:val="0"/>
        <w:bidi w:val="0"/>
        <w:adjustRightInd w:val="0"/>
        <w:snapToGrid w:val="0"/>
        <w:spacing w:before="0" w:beforeAutospacing="0" w:after="0" w:afterAutospacing="0" w:line="340" w:lineRule="exact"/>
        <w:ind w:right="0" w:firstLine="480" w:firstLineChars="200"/>
        <w:rPr>
          <w:rFonts w:hint="eastAsia" w:ascii="仿宋" w:hAnsi="仿宋" w:eastAsia="仿宋" w:cs="仿宋"/>
          <w:color w:val="000008"/>
          <w:spacing w:val="-2"/>
          <w:sz w:val="24"/>
          <w:szCs w:val="24"/>
        </w:rPr>
      </w:pPr>
      <w:r>
        <w:rPr>
          <w:rFonts w:hint="eastAsia" w:ascii="仿宋" w:hAnsi="仿宋" w:eastAsia="仿宋" w:cs="仿宋"/>
          <w:sz w:val="24"/>
          <w:szCs w:val="24"/>
        </w:rPr>
        <w:t>第十七条：人民法院受理破产申请后，债务人的债务人或者财产持有人应当向管理人清偿债务或者交付财产。债务人的债务人或者财产持有人故意违反前款规定向债务人清偿债务或者交付财产，使债权人受到损失的，不免除其清偿债务或者交付财产的义务。</w:t>
      </w:r>
    </w:p>
    <w:p w14:paraId="39F33C23">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90"/>
        <w:jc w:val="both"/>
        <w:textAlignment w:val="baseline"/>
        <w:rPr>
          <w:rFonts w:hint="eastAsia" w:ascii="仿宋" w:hAnsi="仿宋" w:eastAsia="仿宋" w:cs="仿宋"/>
          <w:sz w:val="24"/>
          <w:szCs w:val="24"/>
        </w:rPr>
      </w:pPr>
      <w:r>
        <w:rPr>
          <w:rFonts w:hint="eastAsia" w:ascii="仿宋" w:hAnsi="仿宋" w:eastAsia="仿宋" w:cs="仿宋"/>
          <w:color w:val="000008"/>
          <w:spacing w:val="-4"/>
          <w:sz w:val="24"/>
          <w:szCs w:val="24"/>
        </w:rPr>
        <w:t>第一百二十七条：债务人违反本法规定，拒不向人民法院提交或者提交不真</w:t>
      </w:r>
      <w:r>
        <w:rPr>
          <w:rFonts w:hint="eastAsia" w:ascii="仿宋" w:hAnsi="仿宋" w:eastAsia="仿宋" w:cs="仿宋"/>
          <w:color w:val="000008"/>
          <w:spacing w:val="-3"/>
          <w:sz w:val="24"/>
          <w:szCs w:val="24"/>
        </w:rPr>
        <w:t>实的财产状况说明、债务清册、债权清册、有关财务</w:t>
      </w:r>
      <w:r>
        <w:rPr>
          <w:rFonts w:hint="eastAsia" w:ascii="仿宋" w:hAnsi="仿宋" w:eastAsia="仿宋" w:cs="仿宋"/>
          <w:color w:val="000008"/>
          <w:spacing w:val="-4"/>
          <w:sz w:val="24"/>
          <w:szCs w:val="24"/>
        </w:rPr>
        <w:t>会计报告以及职工工资的支</w:t>
      </w:r>
      <w:r>
        <w:rPr>
          <w:rFonts w:hint="eastAsia" w:ascii="仿宋" w:hAnsi="仿宋" w:eastAsia="仿宋" w:cs="仿宋"/>
          <w:color w:val="000008"/>
          <w:sz w:val="24"/>
          <w:szCs w:val="24"/>
        </w:rPr>
        <w:t xml:space="preserve"> </w:t>
      </w:r>
      <w:r>
        <w:rPr>
          <w:rFonts w:hint="eastAsia" w:ascii="仿宋" w:hAnsi="仿宋" w:eastAsia="仿宋" w:cs="仿宋"/>
          <w:color w:val="000008"/>
          <w:spacing w:val="-3"/>
          <w:sz w:val="24"/>
          <w:szCs w:val="24"/>
        </w:rPr>
        <w:t>付情况和社会保险费用的缴纳情况的，人民法院可以</w:t>
      </w:r>
      <w:r>
        <w:rPr>
          <w:rFonts w:hint="eastAsia" w:ascii="仿宋" w:hAnsi="仿宋" w:eastAsia="仿宋" w:cs="仿宋"/>
          <w:color w:val="000008"/>
          <w:spacing w:val="-4"/>
          <w:sz w:val="24"/>
          <w:szCs w:val="24"/>
        </w:rPr>
        <w:t>对直接责任人员依法处以罚</w:t>
      </w:r>
      <w:r>
        <w:rPr>
          <w:rFonts w:hint="eastAsia" w:ascii="仿宋" w:hAnsi="仿宋" w:eastAsia="仿宋" w:cs="仿宋"/>
          <w:color w:val="000008"/>
          <w:spacing w:val="-8"/>
          <w:sz w:val="24"/>
          <w:szCs w:val="24"/>
        </w:rPr>
        <w:t>款。</w:t>
      </w:r>
    </w:p>
    <w:p w14:paraId="15507245">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78"/>
        <w:jc w:val="both"/>
        <w:textAlignment w:val="baseline"/>
        <w:rPr>
          <w:rFonts w:hint="eastAsia" w:ascii="仿宋" w:hAnsi="仿宋" w:eastAsia="仿宋" w:cs="仿宋"/>
          <w:sz w:val="24"/>
          <w:szCs w:val="24"/>
        </w:rPr>
      </w:pPr>
      <w:r>
        <w:rPr>
          <w:rFonts w:hint="eastAsia" w:ascii="仿宋" w:hAnsi="仿宋" w:eastAsia="仿宋" w:cs="仿宋"/>
          <w:color w:val="000008"/>
          <w:spacing w:val="-8"/>
          <w:sz w:val="24"/>
          <w:szCs w:val="24"/>
        </w:rPr>
        <w:t>债务人违反本法规定，拒不向管理人移交财产、印章和账簿</w:t>
      </w:r>
      <w:r>
        <w:rPr>
          <w:rFonts w:hint="eastAsia" w:ascii="仿宋" w:hAnsi="仿宋" w:eastAsia="仿宋" w:cs="仿宋"/>
          <w:color w:val="000008"/>
          <w:spacing w:val="-9"/>
          <w:sz w:val="24"/>
          <w:szCs w:val="24"/>
        </w:rPr>
        <w:t>、文书等资料的，</w:t>
      </w:r>
      <w:r>
        <w:rPr>
          <w:rFonts w:hint="eastAsia" w:ascii="仿宋" w:hAnsi="仿宋" w:eastAsia="仿宋" w:cs="仿宋"/>
          <w:color w:val="000008"/>
          <w:sz w:val="24"/>
          <w:szCs w:val="24"/>
        </w:rPr>
        <w:t xml:space="preserve"> </w:t>
      </w:r>
      <w:r>
        <w:rPr>
          <w:rFonts w:hint="eastAsia" w:ascii="仿宋" w:hAnsi="仿宋" w:eastAsia="仿宋" w:cs="仿宋"/>
          <w:color w:val="000008"/>
          <w:spacing w:val="-3"/>
          <w:sz w:val="24"/>
          <w:szCs w:val="24"/>
        </w:rPr>
        <w:t>或者伪造、销毁有关财产证据材料而使财产状况不明的，</w:t>
      </w:r>
      <w:r>
        <w:rPr>
          <w:rFonts w:hint="eastAsia" w:ascii="仿宋" w:hAnsi="仿宋" w:eastAsia="仿宋" w:cs="仿宋"/>
          <w:color w:val="000008"/>
          <w:spacing w:val="-4"/>
          <w:sz w:val="24"/>
          <w:szCs w:val="24"/>
        </w:rPr>
        <w:t>人民法院可以对直接责</w:t>
      </w:r>
      <w:r>
        <w:rPr>
          <w:rFonts w:hint="eastAsia" w:ascii="仿宋" w:hAnsi="仿宋" w:eastAsia="仿宋" w:cs="仿宋"/>
          <w:color w:val="000008"/>
          <w:sz w:val="24"/>
          <w:szCs w:val="24"/>
        </w:rPr>
        <w:t xml:space="preserve"> </w:t>
      </w:r>
      <w:r>
        <w:rPr>
          <w:rFonts w:hint="eastAsia" w:ascii="仿宋" w:hAnsi="仿宋" w:eastAsia="仿宋" w:cs="仿宋"/>
          <w:color w:val="000008"/>
          <w:spacing w:val="-2"/>
          <w:sz w:val="24"/>
          <w:szCs w:val="24"/>
        </w:rPr>
        <w:t>任人员依法处以罚款。</w:t>
      </w:r>
    </w:p>
    <w:p w14:paraId="77DD8658">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textAlignment w:val="baseline"/>
        <w:outlineLvl w:val="0"/>
        <w:rPr>
          <w:rFonts w:hint="eastAsia" w:ascii="仿宋" w:hAnsi="仿宋" w:eastAsia="仿宋" w:cs="仿宋"/>
          <w:sz w:val="24"/>
          <w:szCs w:val="24"/>
        </w:rPr>
      </w:pPr>
      <w:r>
        <w:rPr>
          <w:rFonts w:hint="eastAsia" w:ascii="仿宋" w:hAnsi="仿宋" w:eastAsia="仿宋" w:cs="仿宋"/>
          <w:b/>
          <w:bCs/>
          <w:color w:val="000008"/>
          <w:spacing w:val="-5"/>
          <w:sz w:val="24"/>
          <w:szCs w:val="24"/>
        </w:rPr>
        <w:t>二、最高人民法院关于适用《中华人民共和国公司法》若干问题的规定(二)</w:t>
      </w:r>
    </w:p>
    <w:p w14:paraId="53ED5E19">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90"/>
        <w:textAlignment w:val="baseline"/>
        <w:rPr>
          <w:rFonts w:hint="eastAsia" w:ascii="仿宋" w:hAnsi="仿宋" w:eastAsia="仿宋" w:cs="仿宋"/>
          <w:sz w:val="24"/>
          <w:szCs w:val="24"/>
        </w:rPr>
      </w:pPr>
      <w:r>
        <w:rPr>
          <w:rFonts w:hint="eastAsia" w:ascii="仿宋" w:hAnsi="仿宋" w:eastAsia="仿宋" w:cs="仿宋"/>
          <w:color w:val="000008"/>
          <w:spacing w:val="-4"/>
          <w:sz w:val="24"/>
          <w:szCs w:val="24"/>
        </w:rPr>
        <w:t>第十八条：有限责任公司的股东、股份有限公司的董事和控股股东未在法定</w:t>
      </w:r>
      <w:r>
        <w:rPr>
          <w:rFonts w:hint="eastAsia" w:ascii="仿宋" w:hAnsi="仿宋" w:eastAsia="仿宋" w:cs="仿宋"/>
          <w:color w:val="000008"/>
          <w:spacing w:val="4"/>
          <w:sz w:val="24"/>
          <w:szCs w:val="24"/>
        </w:rPr>
        <w:t xml:space="preserve"> </w:t>
      </w:r>
      <w:r>
        <w:rPr>
          <w:rFonts w:hint="eastAsia" w:ascii="仿宋" w:hAnsi="仿宋" w:eastAsia="仿宋" w:cs="仿宋"/>
          <w:color w:val="000008"/>
          <w:spacing w:val="-3"/>
          <w:sz w:val="24"/>
          <w:szCs w:val="24"/>
        </w:rPr>
        <w:t>期限内成立清算组开始清算，导致公司财产贬值、流</w:t>
      </w:r>
      <w:r>
        <w:rPr>
          <w:rFonts w:hint="eastAsia" w:ascii="仿宋" w:hAnsi="仿宋" w:eastAsia="仿宋" w:cs="仿宋"/>
          <w:color w:val="000008"/>
          <w:spacing w:val="-4"/>
          <w:sz w:val="24"/>
          <w:szCs w:val="24"/>
        </w:rPr>
        <w:t>失、毁损或者灭失，债权人</w:t>
      </w:r>
      <w:r>
        <w:rPr>
          <w:rFonts w:hint="eastAsia" w:ascii="仿宋" w:hAnsi="仿宋" w:eastAsia="仿宋" w:cs="仿宋"/>
          <w:color w:val="000008"/>
          <w:sz w:val="24"/>
          <w:szCs w:val="24"/>
        </w:rPr>
        <w:t xml:space="preserve"> </w:t>
      </w:r>
      <w:r>
        <w:rPr>
          <w:rFonts w:hint="eastAsia" w:ascii="仿宋" w:hAnsi="仿宋" w:eastAsia="仿宋" w:cs="仿宋"/>
          <w:color w:val="000008"/>
          <w:spacing w:val="-1"/>
          <w:sz w:val="24"/>
          <w:szCs w:val="24"/>
        </w:rPr>
        <w:t>主张其在造成损失范围内对公司债务承担赔偿责任的，人民法院应依法予以支</w:t>
      </w:r>
      <w:r>
        <w:rPr>
          <w:rFonts w:hint="eastAsia" w:ascii="仿宋" w:hAnsi="仿宋" w:eastAsia="仿宋" w:cs="仿宋"/>
          <w:color w:val="000008"/>
          <w:spacing w:val="-8"/>
          <w:sz w:val="24"/>
          <w:szCs w:val="24"/>
        </w:rPr>
        <w:t>持。</w:t>
      </w:r>
    </w:p>
    <w:p w14:paraId="40A5AE51">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85"/>
        <w:jc w:val="both"/>
        <w:textAlignment w:val="baseline"/>
        <w:rPr>
          <w:rFonts w:hint="eastAsia" w:ascii="仿宋" w:hAnsi="仿宋" w:eastAsia="仿宋" w:cs="仿宋"/>
          <w:sz w:val="24"/>
          <w:szCs w:val="24"/>
        </w:rPr>
      </w:pPr>
      <w:r>
        <w:rPr>
          <w:rFonts w:hint="eastAsia" w:ascii="仿宋" w:hAnsi="仿宋" w:eastAsia="仿宋" w:cs="仿宋"/>
          <w:color w:val="000008"/>
          <w:spacing w:val="-4"/>
          <w:sz w:val="24"/>
          <w:szCs w:val="24"/>
        </w:rPr>
        <w:t>有限责任公司的股东、股份有限公司的董事和控股股东因怠于履行义务，导</w:t>
      </w:r>
      <w:r>
        <w:rPr>
          <w:rFonts w:hint="eastAsia" w:ascii="仿宋" w:hAnsi="仿宋" w:eastAsia="仿宋" w:cs="仿宋"/>
          <w:color w:val="000008"/>
          <w:spacing w:val="12"/>
          <w:sz w:val="24"/>
          <w:szCs w:val="24"/>
        </w:rPr>
        <w:t xml:space="preserve"> </w:t>
      </w:r>
      <w:r>
        <w:rPr>
          <w:rFonts w:hint="eastAsia" w:ascii="仿宋" w:hAnsi="仿宋" w:eastAsia="仿宋" w:cs="仿宋"/>
          <w:color w:val="000008"/>
          <w:spacing w:val="-3"/>
          <w:sz w:val="24"/>
          <w:szCs w:val="24"/>
        </w:rPr>
        <w:t>致公司主要财产、账册、重要文件等灭失，无法进行清算，</w:t>
      </w:r>
      <w:r>
        <w:rPr>
          <w:rFonts w:hint="eastAsia" w:ascii="仿宋" w:hAnsi="仿宋" w:eastAsia="仿宋" w:cs="仿宋"/>
          <w:color w:val="000008"/>
          <w:spacing w:val="-4"/>
          <w:sz w:val="24"/>
          <w:szCs w:val="24"/>
        </w:rPr>
        <w:t>债权人主张其对公司</w:t>
      </w:r>
      <w:r>
        <w:rPr>
          <w:rFonts w:hint="eastAsia" w:ascii="仿宋" w:hAnsi="仿宋" w:eastAsia="仿宋" w:cs="仿宋"/>
          <w:color w:val="000008"/>
          <w:sz w:val="24"/>
          <w:szCs w:val="24"/>
        </w:rPr>
        <w:t xml:space="preserve"> </w:t>
      </w:r>
      <w:r>
        <w:rPr>
          <w:rFonts w:hint="eastAsia" w:ascii="仿宋" w:hAnsi="仿宋" w:eastAsia="仿宋" w:cs="仿宋"/>
          <w:color w:val="000008"/>
          <w:spacing w:val="-1"/>
          <w:sz w:val="24"/>
          <w:szCs w:val="24"/>
        </w:rPr>
        <w:t>债务承担连带清偿责任的，人民法院应依法予以支持。</w:t>
      </w:r>
    </w:p>
    <w:p w14:paraId="61FC8201">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79"/>
        <w:textAlignment w:val="baseline"/>
        <w:rPr>
          <w:rFonts w:hint="eastAsia" w:ascii="仿宋" w:hAnsi="仿宋" w:eastAsia="仿宋" w:cs="仿宋"/>
          <w:sz w:val="24"/>
          <w:szCs w:val="24"/>
        </w:rPr>
      </w:pPr>
      <w:r>
        <w:rPr>
          <w:rFonts w:hint="eastAsia" w:ascii="仿宋" w:hAnsi="仿宋" w:eastAsia="仿宋" w:cs="仿宋"/>
          <w:color w:val="000008"/>
          <w:spacing w:val="-4"/>
          <w:sz w:val="24"/>
          <w:szCs w:val="24"/>
        </w:rPr>
        <w:t>上述情形系实际控制人原因造成，债权人主张实际控制人对公司债务承担相</w:t>
      </w:r>
      <w:r>
        <w:rPr>
          <w:rFonts w:hint="eastAsia" w:ascii="仿宋" w:hAnsi="仿宋" w:eastAsia="仿宋" w:cs="仿宋"/>
          <w:color w:val="000008"/>
          <w:spacing w:val="12"/>
          <w:sz w:val="24"/>
          <w:szCs w:val="24"/>
        </w:rPr>
        <w:t xml:space="preserve"> </w:t>
      </w:r>
      <w:r>
        <w:rPr>
          <w:rFonts w:hint="eastAsia" w:ascii="仿宋" w:hAnsi="仿宋" w:eastAsia="仿宋" w:cs="仿宋"/>
          <w:color w:val="000008"/>
          <w:spacing w:val="-1"/>
          <w:sz w:val="24"/>
          <w:szCs w:val="24"/>
        </w:rPr>
        <w:t>应民事责任的，人民法院应依法予以支持。</w:t>
      </w:r>
    </w:p>
    <w:p w14:paraId="4DDC1E4A">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textAlignment w:val="baseline"/>
        <w:outlineLvl w:val="0"/>
        <w:rPr>
          <w:rFonts w:hint="eastAsia" w:ascii="仿宋" w:hAnsi="仿宋" w:eastAsia="仿宋" w:cs="仿宋"/>
          <w:sz w:val="24"/>
          <w:szCs w:val="24"/>
        </w:rPr>
      </w:pPr>
      <w:r>
        <w:rPr>
          <w:rFonts w:hint="eastAsia" w:ascii="仿宋" w:hAnsi="仿宋" w:eastAsia="仿宋" w:cs="仿宋"/>
          <w:b/>
          <w:bCs/>
          <w:color w:val="000008"/>
          <w:spacing w:val="-10"/>
          <w:sz w:val="24"/>
          <w:szCs w:val="24"/>
        </w:rPr>
        <w:t>三、</w:t>
      </w:r>
      <w:r>
        <w:rPr>
          <w:rFonts w:hint="eastAsia" w:ascii="仿宋" w:hAnsi="仿宋" w:eastAsia="仿宋" w:cs="仿宋"/>
          <w:color w:val="000008"/>
          <w:spacing w:val="-69"/>
          <w:sz w:val="24"/>
          <w:szCs w:val="24"/>
        </w:rPr>
        <w:t xml:space="preserve"> </w:t>
      </w:r>
      <w:r>
        <w:rPr>
          <w:rFonts w:hint="eastAsia" w:ascii="仿宋" w:hAnsi="仿宋" w:eastAsia="仿宋" w:cs="仿宋"/>
          <w:b/>
          <w:bCs/>
          <w:color w:val="000008"/>
          <w:spacing w:val="-10"/>
          <w:sz w:val="24"/>
          <w:szCs w:val="24"/>
        </w:rPr>
        <w:t>中华人民共和国刑法</w:t>
      </w:r>
    </w:p>
    <w:p w14:paraId="7E10CDC0">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75" w:firstLineChars="205"/>
        <w:jc w:val="both"/>
        <w:textAlignment w:val="baseline"/>
        <w:rPr>
          <w:rFonts w:hint="eastAsia" w:ascii="仿宋" w:hAnsi="仿宋" w:eastAsia="仿宋" w:cs="仿宋"/>
          <w:sz w:val="24"/>
          <w:szCs w:val="24"/>
        </w:rPr>
      </w:pPr>
      <w:r>
        <w:rPr>
          <w:rFonts w:hint="eastAsia" w:ascii="仿宋" w:hAnsi="仿宋" w:eastAsia="仿宋" w:cs="仿宋"/>
          <w:color w:val="000008"/>
          <w:spacing w:val="-4"/>
          <w:sz w:val="24"/>
          <w:szCs w:val="24"/>
        </w:rPr>
        <w:t>第一百六十二条【妨害清算罪】公司、企业进行清算时，隐匿财产，对资产负</w:t>
      </w:r>
      <w:r>
        <w:rPr>
          <w:rFonts w:hint="eastAsia" w:ascii="仿宋" w:hAnsi="仿宋" w:eastAsia="仿宋" w:cs="仿宋"/>
          <w:color w:val="000008"/>
          <w:spacing w:val="16"/>
          <w:sz w:val="24"/>
          <w:szCs w:val="24"/>
        </w:rPr>
        <w:t xml:space="preserve"> </w:t>
      </w:r>
      <w:r>
        <w:rPr>
          <w:rFonts w:hint="eastAsia" w:ascii="仿宋" w:hAnsi="仿宋" w:eastAsia="仿宋" w:cs="仿宋"/>
          <w:color w:val="000008"/>
          <w:spacing w:val="-3"/>
          <w:sz w:val="24"/>
          <w:szCs w:val="24"/>
        </w:rPr>
        <w:t>债表或者财产清单作虚伪记载或者在未清偿债务前分配公司</w:t>
      </w:r>
      <w:r>
        <w:rPr>
          <w:rFonts w:hint="eastAsia" w:ascii="仿宋" w:hAnsi="仿宋" w:eastAsia="仿宋" w:cs="仿宋"/>
          <w:color w:val="000008"/>
          <w:spacing w:val="-4"/>
          <w:sz w:val="24"/>
          <w:szCs w:val="24"/>
        </w:rPr>
        <w:t>、企业财产，严重损</w:t>
      </w:r>
      <w:r>
        <w:rPr>
          <w:rFonts w:hint="eastAsia" w:ascii="仿宋" w:hAnsi="仿宋" w:eastAsia="仿宋" w:cs="仿宋"/>
          <w:color w:val="000008"/>
          <w:sz w:val="24"/>
          <w:szCs w:val="24"/>
        </w:rPr>
        <w:t xml:space="preserve"> </w:t>
      </w:r>
      <w:r>
        <w:rPr>
          <w:rFonts w:hint="eastAsia" w:ascii="仿宋" w:hAnsi="仿宋" w:eastAsia="仿宋" w:cs="仿宋"/>
          <w:color w:val="000008"/>
          <w:spacing w:val="-3"/>
          <w:sz w:val="24"/>
          <w:szCs w:val="24"/>
        </w:rPr>
        <w:t>害债权人或者其他人利益的，对其直接负责的主管人员和其</w:t>
      </w:r>
      <w:r>
        <w:rPr>
          <w:rFonts w:hint="eastAsia" w:ascii="仿宋" w:hAnsi="仿宋" w:eastAsia="仿宋" w:cs="仿宋"/>
          <w:color w:val="000008"/>
          <w:spacing w:val="-4"/>
          <w:sz w:val="24"/>
          <w:szCs w:val="24"/>
        </w:rPr>
        <w:t>他直接责任人员，处</w:t>
      </w:r>
      <w:r>
        <w:rPr>
          <w:rFonts w:hint="eastAsia" w:ascii="仿宋" w:hAnsi="仿宋" w:eastAsia="仿宋" w:cs="仿宋"/>
          <w:color w:val="000008"/>
          <w:sz w:val="24"/>
          <w:szCs w:val="24"/>
        </w:rPr>
        <w:t xml:space="preserve"> 五年以下有期徒刑或者拘役，并处或者单处二</w:t>
      </w:r>
      <w:r>
        <w:rPr>
          <w:rFonts w:hint="eastAsia" w:ascii="仿宋" w:hAnsi="仿宋" w:eastAsia="仿宋" w:cs="仿宋"/>
          <w:color w:val="000008"/>
          <w:spacing w:val="-1"/>
          <w:sz w:val="24"/>
          <w:szCs w:val="24"/>
        </w:rPr>
        <w:t>万元以上二十万元以下罚金。</w:t>
      </w:r>
    </w:p>
    <w:p w14:paraId="5C4436C6">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61" w:firstLineChars="204"/>
        <w:jc w:val="both"/>
        <w:textAlignment w:val="baseline"/>
        <w:rPr>
          <w:rFonts w:hint="eastAsia" w:ascii="仿宋" w:hAnsi="仿宋" w:eastAsia="仿宋" w:cs="仿宋"/>
          <w:sz w:val="24"/>
          <w:szCs w:val="24"/>
        </w:rPr>
      </w:pPr>
      <w:r>
        <w:rPr>
          <w:rFonts w:hint="eastAsia" w:ascii="仿宋" w:hAnsi="仿宋" w:eastAsia="仿宋" w:cs="仿宋"/>
          <w:color w:val="000008"/>
          <w:spacing w:val="-7"/>
          <w:sz w:val="24"/>
          <w:szCs w:val="24"/>
        </w:rPr>
        <w:t>第一百六十二条之一【隐匿、故意销毁会计凭证、会计帐簿、财务会计报告罪】</w:t>
      </w:r>
      <w:r>
        <w:rPr>
          <w:rFonts w:hint="eastAsia" w:ascii="仿宋" w:hAnsi="仿宋" w:eastAsia="仿宋" w:cs="仿宋"/>
          <w:color w:val="000008"/>
          <w:sz w:val="24"/>
          <w:szCs w:val="24"/>
        </w:rPr>
        <w:t xml:space="preserve"> </w:t>
      </w:r>
      <w:r>
        <w:rPr>
          <w:rFonts w:hint="eastAsia" w:ascii="仿宋" w:hAnsi="仿宋" w:eastAsia="仿宋" w:cs="仿宋"/>
          <w:color w:val="000008"/>
          <w:spacing w:val="-3"/>
          <w:sz w:val="24"/>
          <w:szCs w:val="24"/>
        </w:rPr>
        <w:t>隐匿或者故意销毁依法应当保存的会计凭证、会计帐簿</w:t>
      </w:r>
      <w:r>
        <w:rPr>
          <w:rFonts w:hint="eastAsia" w:ascii="仿宋" w:hAnsi="仿宋" w:eastAsia="仿宋" w:cs="仿宋"/>
          <w:color w:val="000008"/>
          <w:spacing w:val="-4"/>
          <w:sz w:val="24"/>
          <w:szCs w:val="24"/>
        </w:rPr>
        <w:t>、财务会计报告，情节严</w:t>
      </w:r>
      <w:r>
        <w:rPr>
          <w:rFonts w:hint="eastAsia" w:ascii="仿宋" w:hAnsi="仿宋" w:eastAsia="仿宋" w:cs="仿宋"/>
          <w:color w:val="000008"/>
          <w:sz w:val="24"/>
          <w:szCs w:val="24"/>
        </w:rPr>
        <w:t xml:space="preserve"> </w:t>
      </w:r>
      <w:r>
        <w:rPr>
          <w:rFonts w:hint="eastAsia" w:ascii="仿宋" w:hAnsi="仿宋" w:eastAsia="仿宋" w:cs="仿宋"/>
          <w:color w:val="000008"/>
          <w:spacing w:val="-3"/>
          <w:sz w:val="24"/>
          <w:szCs w:val="24"/>
        </w:rPr>
        <w:t>重的，处五年以下有期徒刑或者拘役，并处或者单处二</w:t>
      </w:r>
      <w:r>
        <w:rPr>
          <w:rFonts w:hint="eastAsia" w:ascii="仿宋" w:hAnsi="仿宋" w:eastAsia="仿宋" w:cs="仿宋"/>
          <w:color w:val="000008"/>
          <w:spacing w:val="-4"/>
          <w:sz w:val="24"/>
          <w:szCs w:val="24"/>
        </w:rPr>
        <w:t>万元以上二十万元以下罚</w:t>
      </w:r>
      <w:r>
        <w:rPr>
          <w:rFonts w:hint="eastAsia" w:ascii="仿宋" w:hAnsi="仿宋" w:eastAsia="仿宋" w:cs="仿宋"/>
          <w:color w:val="000008"/>
          <w:sz w:val="24"/>
          <w:szCs w:val="24"/>
        </w:rPr>
        <w:t xml:space="preserve"> </w:t>
      </w:r>
      <w:r>
        <w:rPr>
          <w:rFonts w:hint="eastAsia" w:ascii="仿宋" w:hAnsi="仿宋" w:eastAsia="仿宋" w:cs="仿宋"/>
          <w:color w:val="000008"/>
          <w:spacing w:val="-8"/>
          <w:sz w:val="24"/>
          <w:szCs w:val="24"/>
        </w:rPr>
        <w:t>金。</w:t>
      </w:r>
    </w:p>
    <w:p w14:paraId="7CEA3D2A">
      <w:pPr>
        <w:keepNext w:val="0"/>
        <w:keepLines w:val="0"/>
        <w:pageBreakBefore w:val="0"/>
        <w:widowControl/>
        <w:kinsoku w:val="0"/>
        <w:wordWrap/>
        <w:overflowPunct/>
        <w:topLinePunct w:val="0"/>
        <w:autoSpaceDE w:val="0"/>
        <w:autoSpaceDN w:val="0"/>
        <w:bidi w:val="0"/>
        <w:adjustRightInd w:val="0"/>
        <w:snapToGrid w:val="0"/>
        <w:spacing w:beforeAutospacing="0" w:line="340" w:lineRule="exact"/>
        <w:ind w:left="0" w:right="0" w:firstLine="473"/>
        <w:textAlignment w:val="baseline"/>
        <w:rPr>
          <w:rStyle w:val="7"/>
          <w:rFonts w:hint="eastAsia"/>
          <w:color w:val="C20000"/>
          <w:lang w:val="en-US" w:eastAsia="zh-CN"/>
        </w:rPr>
      </w:pPr>
      <w:r>
        <w:rPr>
          <w:rFonts w:hint="eastAsia" w:ascii="仿宋" w:hAnsi="仿宋" w:eastAsia="仿宋" w:cs="仿宋"/>
          <w:color w:val="000008"/>
          <w:spacing w:val="-4"/>
          <w:sz w:val="24"/>
          <w:szCs w:val="24"/>
        </w:rPr>
        <w:t>单位犯前款罪的，对单位判处罚金，并对其直接负责的主管人员和其他直接</w:t>
      </w:r>
      <w:r>
        <w:rPr>
          <w:rFonts w:hint="eastAsia" w:ascii="仿宋" w:hAnsi="仿宋" w:eastAsia="仿宋" w:cs="仿宋"/>
          <w:color w:val="000008"/>
          <w:spacing w:val="16"/>
          <w:sz w:val="24"/>
          <w:szCs w:val="24"/>
        </w:rPr>
        <w:t xml:space="preserve"> </w:t>
      </w:r>
      <w:r>
        <w:rPr>
          <w:rFonts w:hint="eastAsia" w:ascii="仿宋" w:hAnsi="仿宋" w:eastAsia="仿宋" w:cs="仿宋"/>
          <w:color w:val="000008"/>
          <w:spacing w:val="-2"/>
          <w:sz w:val="24"/>
          <w:szCs w:val="24"/>
        </w:rPr>
        <w:t>责任人员，依照前款的规定处罚。</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47B99">
    <w:pPr>
      <w:pStyle w:val="2"/>
      <w:spacing w:line="170" w:lineRule="auto"/>
      <w:ind w:left="3852"/>
      <w:rPr>
        <w:sz w:val="18"/>
        <w:szCs w:val="1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00000000"/>
    <w:rsid w:val="09212671"/>
    <w:rsid w:val="0AFC15E8"/>
    <w:rsid w:val="0B397467"/>
    <w:rsid w:val="0D63594E"/>
    <w:rsid w:val="0E59465B"/>
    <w:rsid w:val="16287735"/>
    <w:rsid w:val="196B7938"/>
    <w:rsid w:val="2609650F"/>
    <w:rsid w:val="29AF73CD"/>
    <w:rsid w:val="2A1A0CEB"/>
    <w:rsid w:val="2AA42CAA"/>
    <w:rsid w:val="2CD86C3B"/>
    <w:rsid w:val="2D4A7B39"/>
    <w:rsid w:val="3CC316B6"/>
    <w:rsid w:val="4264734D"/>
    <w:rsid w:val="43653467"/>
    <w:rsid w:val="47F170D7"/>
    <w:rsid w:val="4A6A3171"/>
    <w:rsid w:val="556A2277"/>
    <w:rsid w:val="5E99597B"/>
    <w:rsid w:val="5EF157B7"/>
    <w:rsid w:val="6189617B"/>
    <w:rsid w:val="61E970D4"/>
    <w:rsid w:val="621544CA"/>
    <w:rsid w:val="62F615EE"/>
    <w:rsid w:val="6A0B3BD1"/>
    <w:rsid w:val="6D9640F9"/>
    <w:rsid w:val="736600CA"/>
    <w:rsid w:val="74654825"/>
    <w:rsid w:val="7B7F2D73"/>
    <w:rsid w:val="7C444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8"/>
      <w:szCs w:val="28"/>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2011</Words>
  <Characters>2068</Characters>
  <Lines>0</Lines>
  <Paragraphs>0</Paragraphs>
  <TotalTime>9</TotalTime>
  <ScaleCrop>false</ScaleCrop>
  <LinksUpToDate>false</LinksUpToDate>
  <CharactersWithSpaces>2107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2024-11-18T09:39:00Z</dcterms:created>
  <dc:creator>chen</dc:creator>
  <cp:lastModifiedBy>WPS_1678682882</cp:lastModifiedBy>
  <dcterms:modified xsi:type="dcterms:W3CDTF">2024-11-19T02:53:25Z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0BB1BAE2D36C44F3ACA1DB4C29B04FAC_12</vt:lpwstr>
  </property>
</Properties>
</file>