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5" w:lineRule="atLeast"/>
        <w:ind w:left="1"/>
        <w:jc w:val="center"/>
        <w:outlineLvl w:val="0"/>
        <w:rPr>
          <w:rFonts w:ascii="宋体" w:cs="Times New Roman"/>
          <w:color w:val="000000"/>
          <w:kern w:val="0"/>
          <w:sz w:val="44"/>
          <w:szCs w:val="44"/>
        </w:rPr>
      </w:pPr>
      <w:bookmarkStart w:id="0" w:name="_GoBack"/>
      <w:bookmarkEnd w:id="0"/>
      <w:r>
        <w:rPr>
          <w:rFonts w:hint="eastAsia" w:ascii="宋体" w:hAnsi="宋体" w:cs="宋体"/>
          <w:b/>
          <w:bCs/>
          <w:color w:val="000000"/>
          <w:kern w:val="0"/>
          <w:sz w:val="44"/>
          <w:szCs w:val="44"/>
        </w:rPr>
        <w:t>XXX人民法院</w:t>
      </w:r>
    </w:p>
    <w:p>
      <w:pPr>
        <w:widowControl/>
        <w:spacing w:line="405" w:lineRule="atLeast"/>
        <w:ind w:left="1"/>
        <w:jc w:val="center"/>
        <w:outlineLvl w:val="0"/>
        <w:rPr>
          <w:rFonts w:ascii="宋体" w:hAnsi="宋体" w:cs="宋体"/>
          <w:b/>
          <w:bCs/>
          <w:color w:val="000000"/>
          <w:kern w:val="0"/>
          <w:sz w:val="44"/>
          <w:szCs w:val="44"/>
        </w:rPr>
      </w:pPr>
      <w:r>
        <w:rPr>
          <w:rFonts w:hint="eastAsia" w:ascii="宋体" w:hAnsi="宋体" w:cs="宋体"/>
          <w:b/>
          <w:bCs/>
          <w:color w:val="000000"/>
          <w:kern w:val="0"/>
          <w:sz w:val="44"/>
          <w:szCs w:val="44"/>
        </w:rPr>
        <w:t>送达地址确认书</w:t>
      </w:r>
    </w:p>
    <w:p>
      <w:pPr>
        <w:widowControl/>
        <w:spacing w:line="405" w:lineRule="atLeast"/>
        <w:ind w:left="1"/>
        <w:jc w:val="center"/>
        <w:rPr>
          <w:rFonts w:ascii="宋体" w:hAnsi="宋体" w:cs="宋体"/>
          <w:b/>
          <w:bCs/>
          <w:color w:val="000000"/>
          <w:kern w:val="0"/>
          <w:sz w:val="44"/>
          <w:szCs w:val="44"/>
        </w:rPr>
      </w:pPr>
    </w:p>
    <w:tbl>
      <w:tblPr>
        <w:tblStyle w:val="8"/>
        <w:tblW w:w="87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55"/>
        <w:gridCol w:w="2175"/>
        <w:gridCol w:w="1349"/>
        <w:gridCol w:w="1308"/>
        <w:gridCol w:w="470"/>
        <w:gridCol w:w="2316"/>
        <w:tblGridChange w:id="0">
          <w:tblGrid>
            <w:gridCol w:w="1155"/>
            <w:gridCol w:w="2175"/>
            <w:gridCol w:w="1349"/>
            <w:gridCol w:w="1308"/>
            <w:gridCol w:w="470"/>
            <w:gridCol w:w="2316"/>
          </w:tblGrid>
        </w:tblGridChange>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69" w:hRule="exact"/>
          <w:jc w:val="center"/>
        </w:trPr>
        <w:tc>
          <w:tcPr>
            <w:tcW w:w="8773"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15" w:lineRule="atLeast"/>
              <w:jc w:val="left"/>
              <w:rPr>
                <w:rFonts w:hint="eastAsia" w:ascii="宋体" w:hAnsi="宋体" w:cs="宋体"/>
                <w:color w:val="auto"/>
                <w:kern w:val="0"/>
                <w:sz w:val="24"/>
                <w:szCs w:val="24"/>
              </w:rPr>
            </w:pPr>
            <w:r>
              <w:rPr>
                <w:rFonts w:hint="eastAsia" w:ascii="宋体" w:hAnsi="宋体" w:cs="宋体"/>
                <w:color w:val="auto"/>
                <w:kern w:val="0"/>
                <w:sz w:val="24"/>
                <w:szCs w:val="24"/>
              </w:rPr>
              <w:t>案号：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69" w:hRule="exact"/>
          <w:jc w:val="center"/>
        </w:trPr>
        <w:tc>
          <w:tcPr>
            <w:tcW w:w="8773"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15" w:lineRule="atLeast"/>
              <w:jc w:val="left"/>
              <w:rPr>
                <w:rFonts w:hint="eastAsia" w:ascii="宋体" w:hAnsi="宋体" w:cs="宋体"/>
                <w:color w:val="auto"/>
                <w:kern w:val="0"/>
                <w:sz w:val="24"/>
                <w:szCs w:val="24"/>
              </w:rPr>
            </w:pPr>
            <w:r>
              <w:rPr>
                <w:rFonts w:hint="eastAsia" w:ascii="宋体" w:hAnsi="宋体" w:cs="宋体"/>
                <w:color w:val="auto"/>
                <w:kern w:val="0"/>
                <w:sz w:val="24"/>
                <w:szCs w:val="24"/>
              </w:rPr>
              <w:t>案由：</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送达</w:t>
            </w:r>
          </w:p>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地址</w:t>
            </w:r>
          </w:p>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及方</w:t>
            </w:r>
          </w:p>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式</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lang w:eastAsia="zh-Hans"/>
              </w:rPr>
              <w:t>指定签收人</w:t>
            </w:r>
          </w:p>
        </w:tc>
        <w:tc>
          <w:tcPr>
            <w:tcW w:w="544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6" w:hRule="atLeast"/>
          <w:jc w:val="center"/>
        </w:trPr>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证件类型</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证件号码</w:t>
            </w:r>
          </w:p>
        </w:tc>
        <w:tc>
          <w:tcPr>
            <w:tcW w:w="278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color w:val="auto"/>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6" w:hRule="atLeast"/>
          <w:jc w:val="center"/>
        </w:trPr>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确认送达地址</w:t>
            </w:r>
          </w:p>
        </w:tc>
        <w:tc>
          <w:tcPr>
            <w:tcW w:w="544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是否接受</w:t>
            </w:r>
          </w:p>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电子送达</w:t>
            </w:r>
          </w:p>
        </w:tc>
        <w:tc>
          <w:tcPr>
            <w:tcW w:w="544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left"/>
              <w:rPr>
                <w:rFonts w:ascii="宋体" w:hAnsi="宋体" w:cs="宋体"/>
                <w:color w:val="auto"/>
                <w:kern w:val="0"/>
                <w:sz w:val="24"/>
                <w:szCs w:val="24"/>
              </w:rPr>
            </w:pPr>
            <w:r>
              <w:rPr>
                <w:rFonts w:hint="eastAsia" w:ascii="宋体" w:hAnsi="宋体" w:cs="宋体"/>
                <w:color w:val="auto"/>
                <w:kern w:val="0"/>
                <w:sz w:val="24"/>
                <w:szCs w:val="24"/>
              </w:rPr>
              <w:sym w:font="Wingdings 2" w:char="00A3"/>
            </w:r>
            <w:r>
              <w:rPr>
                <w:rFonts w:hint="eastAsia" w:ascii="宋体" w:hAnsi="宋体" w:cs="宋体"/>
                <w:color w:val="auto"/>
                <w:kern w:val="0"/>
                <w:sz w:val="24"/>
                <w:szCs w:val="24"/>
              </w:rPr>
              <w:t>是    □否</w:t>
            </w:r>
          </w:p>
          <w:p>
            <w:pPr>
              <w:widowControl/>
              <w:spacing w:line="520" w:lineRule="exact"/>
              <w:jc w:val="left"/>
              <w:rPr>
                <w:rFonts w:ascii="宋体" w:hAnsi="宋体" w:cs="宋体"/>
                <w:color w:val="auto"/>
                <w:kern w:val="0"/>
                <w:sz w:val="24"/>
                <w:szCs w:val="24"/>
              </w:rPr>
            </w:pPr>
            <w:r>
              <w:rPr>
                <w:rFonts w:hint="eastAsia" w:ascii="宋体" w:hAnsi="宋体" w:cs="宋体"/>
                <w:b/>
                <w:bCs/>
                <w:color w:val="auto"/>
                <w:kern w:val="0"/>
                <w:sz w:val="24"/>
                <w:szCs w:val="24"/>
              </w:rPr>
              <w:t>电子送达接收渠道（可多选）</w:t>
            </w:r>
            <w:r>
              <w:rPr>
                <w:rFonts w:hint="eastAsia" w:ascii="宋体" w:hAnsi="宋体" w:cs="宋体"/>
                <w:color w:val="auto"/>
                <w:kern w:val="0"/>
                <w:sz w:val="24"/>
                <w:szCs w:val="24"/>
              </w:rPr>
              <w:t>：</w:t>
            </w:r>
          </w:p>
          <w:p>
            <w:pPr>
              <w:widowControl/>
              <w:spacing w:line="520" w:lineRule="exact"/>
              <w:jc w:val="left"/>
              <w:rPr>
                <w:rFonts w:ascii="宋体" w:hAnsi="宋体" w:cs="宋体"/>
                <w:color w:val="auto"/>
                <w:kern w:val="0"/>
                <w:sz w:val="24"/>
                <w:szCs w:val="24"/>
              </w:rPr>
            </w:pPr>
            <w:r>
              <w:rPr>
                <w:rFonts w:hint="eastAsia" w:ascii="宋体" w:hAnsi="宋体" w:cs="宋体"/>
                <w:color w:val="auto"/>
                <w:kern w:val="0"/>
                <w:sz w:val="24"/>
                <w:szCs w:val="24"/>
              </w:rPr>
              <w:sym w:font="Wingdings 2" w:char="F052"/>
            </w:r>
            <w:r>
              <w:rPr>
                <w:rFonts w:hint="eastAsia" w:ascii="宋体" w:hAnsi="宋体" w:cs="宋体"/>
                <w:color w:val="auto"/>
                <w:kern w:val="0"/>
                <w:sz w:val="24"/>
                <w:szCs w:val="24"/>
              </w:rPr>
              <w:t xml:space="preserve"> 中国移动微法院</w:t>
            </w:r>
          </w:p>
          <w:p>
            <w:pPr>
              <w:widowControl/>
              <w:spacing w:line="520" w:lineRule="exact"/>
              <w:jc w:val="left"/>
              <w:rPr>
                <w:rFonts w:ascii="宋体" w:hAnsi="宋体" w:cs="宋体"/>
                <w:color w:val="auto"/>
                <w:kern w:val="0"/>
                <w:sz w:val="24"/>
                <w:szCs w:val="24"/>
              </w:rPr>
            </w:pPr>
            <w:r>
              <w:rPr>
                <w:rFonts w:hint="eastAsia" w:ascii="宋体" w:hAnsi="宋体" w:cs="宋体"/>
                <w:color w:val="auto"/>
                <w:kern w:val="0"/>
                <w:sz w:val="24"/>
                <w:szCs w:val="24"/>
              </w:rPr>
              <w:t>□ 人民法院送达平台</w:t>
            </w:r>
          </w:p>
          <w:p>
            <w:pPr>
              <w:widowControl/>
              <w:spacing w:line="520" w:lineRule="exact"/>
              <w:jc w:val="left"/>
              <w:rPr>
                <w:rFonts w:ascii="宋体" w:hAnsi="宋体" w:cs="宋体"/>
                <w:color w:val="auto"/>
                <w:kern w:val="0"/>
                <w:sz w:val="24"/>
                <w:szCs w:val="24"/>
              </w:rPr>
            </w:pPr>
            <w:r>
              <w:rPr>
                <w:rFonts w:hint="eastAsia" w:ascii="宋体" w:hAnsi="宋体" w:cs="宋体"/>
                <w:color w:val="auto"/>
                <w:kern w:val="0"/>
                <w:sz w:val="24"/>
                <w:szCs w:val="24"/>
              </w:rPr>
              <w:t>□ 人民法院律师服务平台（仅限代理人）</w:t>
            </w:r>
          </w:p>
          <w:p>
            <w:pPr>
              <w:widowControl/>
              <w:spacing w:line="520" w:lineRule="exact"/>
              <w:jc w:val="left"/>
              <w:rPr>
                <w:rFonts w:ascii="宋体" w:hAnsi="宋体" w:cs="宋体"/>
                <w:color w:val="auto"/>
                <w:kern w:val="0"/>
                <w:sz w:val="24"/>
                <w:szCs w:val="24"/>
              </w:rPr>
            </w:pPr>
            <w:r>
              <w:rPr>
                <w:rFonts w:hint="eastAsia" w:ascii="宋体" w:hAnsi="宋体" w:cs="宋体"/>
                <w:color w:val="auto"/>
                <w:kern w:val="0"/>
                <w:sz w:val="24"/>
                <w:szCs w:val="24"/>
              </w:rPr>
              <w:t>□ 中国审判流程信息公开网</w:t>
            </w:r>
          </w:p>
          <w:p>
            <w:pPr>
              <w:widowControl/>
              <w:spacing w:line="520" w:lineRule="exact"/>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短信</w:t>
            </w:r>
          </w:p>
          <w:p>
            <w:pPr>
              <w:widowControl/>
              <w:spacing w:line="520" w:lineRule="exact"/>
              <w:jc w:val="left"/>
              <w:rPr>
                <w:rFonts w:ascii="宋体" w:hAnsi="宋体" w:cs="宋体"/>
                <w:color w:val="auto"/>
                <w:kern w:val="0"/>
                <w:sz w:val="24"/>
                <w:szCs w:val="24"/>
              </w:rPr>
            </w:pPr>
            <w:r>
              <w:rPr>
                <w:rFonts w:hint="eastAsia" w:ascii="宋体" w:hAnsi="宋体" w:cs="宋体"/>
                <w:color w:val="auto"/>
                <w:kern w:val="0"/>
                <w:sz w:val="24"/>
                <w:szCs w:val="24"/>
              </w:rPr>
              <w:t>□ 电子邮箱</w:t>
            </w:r>
          </w:p>
          <w:p>
            <w:pPr>
              <w:widowControl/>
              <w:spacing w:line="520" w:lineRule="exact"/>
              <w:ind w:firstLine="480" w:firstLineChars="200"/>
              <w:jc w:val="left"/>
              <w:rPr>
                <w:rFonts w:ascii="宋体" w:hAnsi="宋体" w:cs="宋体"/>
                <w:color w:val="auto"/>
                <w:kern w:val="0"/>
                <w:sz w:val="24"/>
                <w:szCs w:val="24"/>
                <w:u w:val="single"/>
              </w:rPr>
            </w:pPr>
            <w:r>
              <w:rPr>
                <w:rFonts w:hint="eastAsia" w:ascii="宋体" w:hAnsi="宋体" w:cs="宋体"/>
                <w:color w:val="auto"/>
                <w:kern w:val="0"/>
                <w:sz w:val="24"/>
                <w:szCs w:val="24"/>
              </w:rPr>
              <w:t>电子邮箱地址：</w:t>
            </w:r>
            <w:r>
              <w:rPr>
                <w:rFonts w:hint="eastAsia" w:ascii="宋体" w:hAnsi="宋体" w:cs="宋体"/>
                <w:color w:val="auto"/>
                <w:kern w:val="0"/>
                <w:sz w:val="24"/>
                <w:szCs w:val="24"/>
                <w:u w:val="single"/>
              </w:rPr>
              <w:t xml:space="preserve"> </w:t>
            </w:r>
            <w:r>
              <w:rPr>
                <w:rFonts w:ascii="宋体" w:hAnsi="宋体" w:cs="宋体"/>
                <w:color w:val="auto"/>
                <w:kern w:val="0"/>
                <w:sz w:val="24"/>
                <w:szCs w:val="24"/>
                <w:u w:val="single"/>
              </w:rPr>
              <w:t xml:space="preserve">                                      </w:t>
            </w:r>
          </w:p>
          <w:p>
            <w:pPr>
              <w:widowControl/>
              <w:spacing w:line="520" w:lineRule="exact"/>
              <w:jc w:val="left"/>
              <w:rPr>
                <w:rFonts w:ascii="宋体" w:hAnsi="宋体" w:cs="宋体"/>
                <w:color w:val="auto"/>
                <w:kern w:val="0"/>
                <w:sz w:val="24"/>
                <w:szCs w:val="24"/>
              </w:rPr>
            </w:pPr>
            <w:r>
              <w:rPr>
                <w:rFonts w:hint="eastAsia" w:ascii="宋体" w:hAnsi="宋体" w:cs="宋体"/>
                <w:color w:val="auto"/>
                <w:kern w:val="0"/>
                <w:sz w:val="24"/>
                <w:szCs w:val="24"/>
              </w:rPr>
              <w:t>□ 传真</w:t>
            </w:r>
          </w:p>
          <w:p>
            <w:pPr>
              <w:widowControl/>
              <w:spacing w:line="52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传真号码：</w:t>
            </w:r>
            <w:r>
              <w:rPr>
                <w:rFonts w:hint="eastAsia" w:ascii="宋体" w:hAnsi="宋体" w:cs="宋体"/>
                <w:color w:val="auto"/>
                <w:kern w:val="0"/>
                <w:sz w:val="24"/>
                <w:szCs w:val="24"/>
                <w:u w:val="single"/>
              </w:rPr>
              <w:t xml:space="preserve"> </w:t>
            </w:r>
            <w:r>
              <w:rPr>
                <w:rFonts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r>
              <w:rPr>
                <w:rFonts w:ascii="宋体" w:hAnsi="宋体" w:cs="宋体"/>
                <w:color w:val="auto"/>
                <w:kern w:val="0"/>
                <w:sz w:val="24"/>
                <w:szCs w:val="24"/>
              </w:rPr>
              <w:t xml:space="preserve">                                      </w:t>
            </w:r>
          </w:p>
          <w:p>
            <w:pPr>
              <w:widowControl/>
              <w:spacing w:line="520" w:lineRule="exact"/>
              <w:jc w:val="left"/>
              <w:rPr>
                <w:rFonts w:ascii="宋体" w:hAnsi="宋体" w:cs="宋体"/>
                <w:color w:val="auto"/>
                <w:kern w:val="0"/>
                <w:sz w:val="24"/>
                <w:szCs w:val="24"/>
              </w:rPr>
            </w:pPr>
            <w:r>
              <w:rPr>
                <w:rFonts w:hint="eastAsia" w:ascii="宋体" w:hAnsi="宋体" w:cs="宋体"/>
                <w:b/>
                <w:color w:val="auto"/>
                <w:kern w:val="0"/>
                <w:sz w:val="24"/>
                <w:szCs w:val="24"/>
              </w:rPr>
              <w:t>电子送达通知方式</w:t>
            </w:r>
            <w:r>
              <w:rPr>
                <w:rFonts w:hint="eastAsia" w:ascii="宋体" w:hAnsi="宋体" w:cs="宋体"/>
                <w:b/>
                <w:bCs/>
                <w:color w:val="auto"/>
                <w:kern w:val="0"/>
                <w:sz w:val="24"/>
                <w:szCs w:val="24"/>
              </w:rPr>
              <w:t>（可多选）</w:t>
            </w:r>
            <w:r>
              <w:rPr>
                <w:rFonts w:hint="eastAsia" w:ascii="宋体" w:hAnsi="宋体" w:cs="宋体"/>
                <w:color w:val="auto"/>
                <w:kern w:val="0"/>
                <w:sz w:val="24"/>
                <w:szCs w:val="24"/>
              </w:rPr>
              <w:t>：</w:t>
            </w:r>
          </w:p>
          <w:p>
            <w:pPr>
              <w:widowControl/>
              <w:spacing w:line="520" w:lineRule="exact"/>
              <w:jc w:val="left"/>
              <w:rPr>
                <w:rFonts w:hint="eastAsia" w:ascii="宋体" w:hAnsi="宋体" w:cs="宋体"/>
                <w:color w:val="auto"/>
                <w:kern w:val="0"/>
                <w:sz w:val="24"/>
                <w:szCs w:val="24"/>
              </w:rPr>
            </w:pPr>
            <w:r>
              <w:rPr>
                <w:rFonts w:hint="eastAsia" w:ascii="宋体" w:hAnsi="宋体" w:cs="宋体"/>
                <w:color w:val="auto"/>
                <w:kern w:val="0"/>
                <w:sz w:val="24"/>
                <w:szCs w:val="24"/>
              </w:rPr>
              <w:sym w:font="Wingdings 2" w:char="F052"/>
            </w:r>
            <w:r>
              <w:rPr>
                <w:rFonts w:hint="eastAsia" w:ascii="宋体" w:hAnsi="宋体" w:cs="宋体"/>
                <w:color w:val="auto"/>
                <w:kern w:val="0"/>
                <w:sz w:val="24"/>
                <w:szCs w:val="24"/>
              </w:rPr>
              <w:t xml:space="preserve"> 中国移动微法院</w:t>
            </w:r>
          </w:p>
          <w:p>
            <w:pPr>
              <w:widowControl/>
              <w:spacing w:line="52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 短信</w:t>
            </w:r>
          </w:p>
          <w:p>
            <w:pPr>
              <w:widowControl/>
              <w:spacing w:line="520" w:lineRule="exact"/>
              <w:jc w:val="left"/>
              <w:rPr>
                <w:rFonts w:ascii="宋体" w:hAnsi="宋体" w:cs="宋体"/>
                <w:color w:val="auto"/>
                <w:kern w:val="0"/>
                <w:sz w:val="24"/>
                <w:szCs w:val="24"/>
              </w:rPr>
            </w:pPr>
            <w:r>
              <w:rPr>
                <w:rFonts w:hint="eastAsia" w:ascii="宋体" w:hAnsi="宋体" w:cs="宋体"/>
                <w:color w:val="auto"/>
                <w:kern w:val="0"/>
                <w:sz w:val="24"/>
                <w:szCs w:val="24"/>
              </w:rPr>
              <w:t>□ 电子邮箱</w:t>
            </w:r>
          </w:p>
          <w:p>
            <w:pPr>
              <w:widowControl/>
              <w:spacing w:line="520" w:lineRule="exact"/>
              <w:ind w:firstLine="480" w:firstLineChars="200"/>
              <w:jc w:val="left"/>
              <w:rPr>
                <w:rFonts w:ascii="宋体" w:hAnsi="宋体" w:cs="宋体"/>
                <w:color w:val="auto"/>
                <w:kern w:val="0"/>
                <w:sz w:val="24"/>
                <w:szCs w:val="24"/>
                <w:u w:val="single"/>
              </w:rPr>
            </w:pPr>
            <w:r>
              <w:rPr>
                <w:rFonts w:hint="eastAsia" w:ascii="宋体" w:hAnsi="宋体" w:cs="宋体"/>
                <w:color w:val="auto"/>
                <w:kern w:val="0"/>
                <w:sz w:val="24"/>
                <w:szCs w:val="24"/>
              </w:rPr>
              <w:t>电子邮箱地址：</w:t>
            </w:r>
            <w:r>
              <w:rPr>
                <w:rFonts w:hint="eastAsia" w:ascii="宋体" w:hAnsi="宋体" w:cs="宋体"/>
                <w:color w:val="auto"/>
                <w:kern w:val="0"/>
                <w:sz w:val="24"/>
                <w:szCs w:val="24"/>
                <w:u w:val="single"/>
              </w:rPr>
              <w:t xml:space="preserve"> </w:t>
            </w:r>
            <w:r>
              <w:rPr>
                <w:rFonts w:ascii="宋体" w:hAnsi="宋体" w:cs="宋体"/>
                <w:color w:val="auto"/>
                <w:kern w:val="0"/>
                <w:sz w:val="24"/>
                <w:szCs w:val="24"/>
                <w:u w:val="single"/>
              </w:rPr>
              <w:t xml:space="preserve">                                      </w:t>
            </w:r>
          </w:p>
          <w:p>
            <w:pPr>
              <w:widowControl/>
              <w:spacing w:line="520" w:lineRule="exact"/>
              <w:ind w:firstLine="0" w:firstLineChars="0"/>
              <w:jc w:val="left"/>
              <w:rPr>
                <w:rFonts w:ascii="宋体" w:hAnsi="宋体" w:cs="宋体"/>
                <w:color w:val="auto"/>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655" w:hRule="atLeast"/>
          <w:jc w:val="center"/>
        </w:trPr>
        <w:tc>
          <w:tcPr>
            <w:tcW w:w="1155" w:type="dxa"/>
            <w:vMerge w:val="continue"/>
            <w:tcBorders>
              <w:top w:val="single" w:color="auto" w:sz="4" w:space="0"/>
              <w:left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c>
          <w:tcPr>
            <w:tcW w:w="217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手机号码</w:t>
            </w:r>
          </w:p>
        </w:tc>
        <w:tc>
          <w:tcPr>
            <w:tcW w:w="3127" w:type="dxa"/>
            <w:gridSpan w:val="3"/>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p>
        </w:tc>
        <w:tc>
          <w:tcPr>
            <w:tcW w:w="231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邮编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8" w:hRule="atLeast"/>
          <w:jc w:val="center"/>
        </w:trPr>
        <w:tc>
          <w:tcPr>
            <w:tcW w:w="1155"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c>
          <w:tcPr>
            <w:tcW w:w="2175" w:type="dxa"/>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宋体"/>
                <w:color w:val="auto"/>
                <w:kern w:val="0"/>
                <w:sz w:val="24"/>
                <w:szCs w:val="24"/>
              </w:rPr>
            </w:pPr>
            <w:r>
              <w:rPr>
                <w:rFonts w:hint="eastAsia" w:ascii="宋体" w:hAnsi="宋体" w:cs="宋体"/>
                <w:color w:val="auto"/>
                <w:kern w:val="0"/>
                <w:sz w:val="24"/>
                <w:szCs w:val="24"/>
              </w:rPr>
              <w:t>其他联系方式</w:t>
            </w:r>
          </w:p>
        </w:tc>
        <w:tc>
          <w:tcPr>
            <w:tcW w:w="5443" w:type="dxa"/>
            <w:gridSpan w:val="4"/>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29"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center"/>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告</w:t>
            </w:r>
          </w:p>
          <w:p>
            <w:pPr>
              <w:widowControl/>
              <w:spacing w:line="315" w:lineRule="atLeast"/>
              <w:jc w:val="center"/>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知</w:t>
            </w:r>
          </w:p>
          <w:p>
            <w:pPr>
              <w:widowControl/>
              <w:spacing w:line="315" w:lineRule="atLeast"/>
              <w:jc w:val="center"/>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事</w:t>
            </w:r>
          </w:p>
          <w:p>
            <w:pPr>
              <w:widowControl/>
              <w:spacing w:line="400" w:lineRule="exact"/>
              <w:jc w:val="center"/>
              <w:rPr>
                <w:rFonts w:ascii="宋体" w:hAnsi="宋体" w:cs="宋体"/>
                <w:color w:val="auto"/>
                <w:kern w:val="0"/>
                <w:sz w:val="24"/>
                <w:szCs w:val="24"/>
              </w:rPr>
            </w:pPr>
            <w:r>
              <w:rPr>
                <w:rFonts w:hint="eastAsia" w:ascii="宋体" w:hAnsi="宋体" w:cs="宋体"/>
                <w:b w:val="0"/>
                <w:bCs w:val="0"/>
                <w:color w:val="auto"/>
                <w:kern w:val="0"/>
                <w:sz w:val="24"/>
                <w:szCs w:val="24"/>
              </w:rPr>
              <w:t>项</w:t>
            </w:r>
          </w:p>
        </w:tc>
        <w:tc>
          <w:tcPr>
            <w:tcW w:w="76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11" w:firstLine="484" w:firstLineChars="202"/>
              <w:rPr>
                <w:rFonts w:ascii="宋体" w:hAnsi="宋体" w:cs="宋体"/>
                <w:color w:val="auto"/>
                <w:kern w:val="0"/>
                <w:sz w:val="24"/>
                <w:szCs w:val="24"/>
              </w:rPr>
            </w:pPr>
            <w:r>
              <w:rPr>
                <w:rFonts w:ascii="宋体" w:hAnsi="宋体" w:cs="宋体"/>
                <w:color w:val="auto"/>
                <w:kern w:val="0"/>
                <w:sz w:val="24"/>
                <w:szCs w:val="24"/>
              </w:rPr>
              <w:t>1.为便于当事人及时收到人民法院诉讼文书，保证诉讼程序顺利进行，当事人应当如实提供确切的送达地址。</w:t>
            </w:r>
          </w:p>
          <w:p>
            <w:pPr>
              <w:widowControl/>
              <w:spacing w:line="360" w:lineRule="auto"/>
              <w:ind w:left="11" w:firstLine="484" w:firstLineChars="202"/>
              <w:rPr>
                <w:rFonts w:ascii="宋体" w:hAnsi="宋体" w:cs="宋体"/>
                <w:color w:val="auto"/>
                <w:kern w:val="0"/>
                <w:sz w:val="24"/>
                <w:szCs w:val="24"/>
              </w:rPr>
            </w:pPr>
            <w:r>
              <w:rPr>
                <w:rFonts w:ascii="宋体" w:hAnsi="宋体" w:cs="宋体"/>
                <w:color w:val="auto"/>
                <w:kern w:val="0"/>
                <w:sz w:val="24"/>
                <w:szCs w:val="24"/>
              </w:rPr>
              <w:t>2.如果提供的地址不确切，或不及时告知变更后的地址，使诉讼文</w:t>
            </w:r>
            <w:r>
              <w:rPr>
                <w:rFonts w:ascii="宋体" w:hAnsi="宋体" w:cs="宋体"/>
                <w:color w:val="auto"/>
                <w:spacing w:val="-6"/>
                <w:kern w:val="0"/>
                <w:sz w:val="24"/>
                <w:szCs w:val="24"/>
              </w:rPr>
              <w:t>书无法送达或未及时送达，当事人将自行承担由此可能产生的法律后果。</w:t>
            </w:r>
          </w:p>
          <w:p>
            <w:pPr>
              <w:widowControl/>
              <w:spacing w:line="360" w:lineRule="auto"/>
              <w:ind w:left="11" w:firstLine="484" w:firstLineChars="202"/>
              <w:rPr>
                <w:rFonts w:ascii="宋体" w:hAnsi="宋体" w:cs="宋体"/>
                <w:color w:val="auto"/>
                <w:kern w:val="0"/>
                <w:sz w:val="24"/>
                <w:szCs w:val="24"/>
              </w:rPr>
            </w:pPr>
            <w:r>
              <w:rPr>
                <w:rFonts w:ascii="宋体" w:hAnsi="宋体" w:cs="宋体"/>
                <w:color w:val="auto"/>
                <w:kern w:val="0"/>
                <w:sz w:val="24"/>
                <w:szCs w:val="24"/>
              </w:rPr>
              <w:t>3.确认的送达地址适用于一审、二审、再审审查、执行程序。如果送达地址有变更，应当及时书面告知人民法院变更后的送达地址。</w:t>
            </w:r>
          </w:p>
          <w:p>
            <w:pPr>
              <w:spacing w:line="360" w:lineRule="auto"/>
              <w:ind w:left="11" w:firstLine="484" w:firstLineChars="202"/>
              <w:rPr>
                <w:rFonts w:ascii="宋体" w:hAns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经受送达人同意，本院可以通过送达平台，向受送达人的电子邮箱、即时通讯账号、诉讼平台专用账号等电子地址，按照法律和司法解释的相关规定送达诉讼文书和证据材料。</w:t>
            </w:r>
          </w:p>
          <w:p>
            <w:pPr>
              <w:spacing w:line="360" w:lineRule="auto"/>
              <w:ind w:left="11" w:firstLine="484" w:firstLineChars="202"/>
              <w:rPr>
                <w:rFonts w:ascii="宋体" w:hAns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中国移动微法院、人民法院送达平台、人民法院律师服务平台（仅限代理人）、中国审判流程信息公开网为受送达人开设查询功能。受送达人可以通过上述诉讼平台、电子邮箱、短信等查阅、接收、下载相关送达材料。</w:t>
            </w:r>
          </w:p>
          <w:p>
            <w:pPr>
              <w:spacing w:line="360" w:lineRule="auto"/>
              <w:ind w:left="11" w:firstLine="484" w:firstLineChars="202"/>
              <w:rPr>
                <w:rFonts w:ascii="宋体" w:hAnsi="宋体" w:cs="宋体"/>
                <w:color w:val="auto"/>
                <w:kern w:val="0"/>
                <w:sz w:val="24"/>
                <w:szCs w:val="24"/>
              </w:rPr>
            </w:pPr>
            <w:r>
              <w:rPr>
                <w:rFonts w:hint="eastAsia" w:ascii="宋体" w:hAnsi="宋体" w:cs="宋体"/>
                <w:color w:val="auto"/>
                <w:kern w:val="0"/>
                <w:sz w:val="24"/>
                <w:szCs w:val="24"/>
              </w:rPr>
              <w:t>6.有关送达的法律规定，见本确认书后页。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6"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受送</w:t>
            </w:r>
          </w:p>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达人</w:t>
            </w:r>
          </w:p>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确认</w:t>
            </w:r>
          </w:p>
        </w:tc>
        <w:tc>
          <w:tcPr>
            <w:tcW w:w="761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　  我已阅读(听明白)本确认书的告知事项，提供了上栏送达地址，确认了上栏送达方式，并保证所提供的送达地址各项内容是正确的、有效的。如在诉讼过程中送达地址发生变化，将及时通知法院。</w:t>
            </w:r>
          </w:p>
          <w:p>
            <w:pPr>
              <w:widowControl/>
              <w:spacing w:line="400" w:lineRule="exact"/>
              <w:rPr>
                <w:rFonts w:ascii="宋体" w:hAnsi="宋体" w:cs="宋体"/>
                <w:color w:val="auto"/>
                <w:kern w:val="0"/>
                <w:sz w:val="24"/>
                <w:szCs w:val="24"/>
              </w:rPr>
            </w:pPr>
            <w:r>
              <w:rPr>
                <w:rFonts w:hint="eastAsia" w:ascii="宋体" w:hAnsi="宋体" w:cs="宋体"/>
                <w:color w:val="auto"/>
                <w:kern w:val="0"/>
                <w:sz w:val="24"/>
                <w:szCs w:val="24"/>
              </w:rPr>
              <w:t xml:space="preserve">                                    受送达人（签名或者盖章）</w:t>
            </w:r>
          </w:p>
          <w:p>
            <w:pPr>
              <w:widowControl/>
              <w:wordWrap w:val="0"/>
              <w:spacing w:line="400" w:lineRule="exact"/>
              <w:ind w:right="420"/>
              <w:jc w:val="right"/>
              <w:rPr>
                <w:rFonts w:ascii="宋体" w:hAnsi="宋体" w:cs="宋体"/>
                <w:color w:val="auto"/>
                <w:kern w:val="0"/>
                <w:sz w:val="24"/>
                <w:szCs w:val="24"/>
              </w:rPr>
            </w:pPr>
            <w:r>
              <w:rPr>
                <w:rFonts w:hint="eastAsia" w:ascii="宋体" w:hAnsi="宋体" w:cs="宋体"/>
                <w:color w:val="auto"/>
                <w:kern w:val="0"/>
                <w:sz w:val="24"/>
                <w:szCs w:val="24"/>
              </w:rPr>
              <w:t>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57"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备注</w:t>
            </w:r>
          </w:p>
        </w:tc>
        <w:tc>
          <w:tcPr>
            <w:tcW w:w="7618" w:type="dxa"/>
            <w:gridSpan w:val="5"/>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宋体"/>
                <w:color w:val="auto"/>
                <w:kern w:val="0"/>
                <w:sz w:val="24"/>
                <w:szCs w:val="24"/>
              </w:rPr>
            </w:pPr>
            <w:r>
              <w:rPr>
                <w:rFonts w:hint="eastAsia" w:ascii="宋体" w:hAnsi="宋体" w:cs="宋体"/>
                <w:color w:val="auto"/>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74"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法院工作人员签名</w:t>
            </w:r>
          </w:p>
        </w:tc>
        <w:tc>
          <w:tcPr>
            <w:tcW w:w="7618" w:type="dxa"/>
            <w:gridSpan w:val="5"/>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宋体"/>
                <w:color w:val="auto"/>
                <w:kern w:val="0"/>
                <w:sz w:val="24"/>
                <w:szCs w:val="24"/>
              </w:rPr>
            </w:pPr>
          </w:p>
        </w:tc>
      </w:tr>
    </w:tbl>
    <w:p>
      <w:pPr>
        <w:adjustRightInd/>
        <w:snapToGrid/>
        <w:spacing w:line="360" w:lineRule="auto"/>
        <w:jc w:val="center"/>
        <w:outlineLvl w:val="0"/>
        <w:rPr>
          <w:rFonts w:hint="eastAsia" w:ascii="宋体" w:hAnsi="宋体" w:eastAsia="宋体" w:cs="宋体"/>
          <w:sz w:val="32"/>
          <w:szCs w:val="32"/>
        </w:rPr>
        <w:sectPr>
          <w:headerReference r:id="rId3" w:type="default"/>
          <w:footerReference r:id="rId4" w:type="default"/>
          <w:pgSz w:w="11906" w:h="16838"/>
          <w:pgMar w:top="1270" w:right="1797" w:bottom="1270" w:left="1797" w:header="851" w:footer="992" w:gutter="0"/>
          <w:cols w:space="720" w:num="1"/>
          <w:docGrid w:type="lines" w:linePitch="312" w:charSpace="0"/>
        </w:sectPr>
      </w:pPr>
      <w:r>
        <w:rPr>
          <w:rFonts w:hint="eastAsia" w:ascii="宋体" w:hAnsi="宋体" w:eastAsia="宋体" w:cs="宋体"/>
          <w:sz w:val="32"/>
          <w:szCs w:val="32"/>
        </w:rPr>
        <w:t>收到后请于一周内填妥寄回××××人民法院</w:t>
      </w:r>
    </w:p>
    <w:p>
      <w:pPr>
        <w:widowControl/>
        <w:shd w:val="clear" w:color="auto" w:fill="auto"/>
        <w:spacing w:line="420" w:lineRule="exact"/>
        <w:ind w:left="0" w:firstLine="0"/>
        <w:jc w:val="center"/>
        <w:outlineLvl w:val="0"/>
        <w:rPr>
          <w:rFonts w:ascii="宋体" w:hAnsi="宋体" w:cs="宋体"/>
          <w:color w:val="2F2F2F"/>
          <w:kern w:val="0"/>
          <w:sz w:val="32"/>
          <w:szCs w:val="32"/>
        </w:rPr>
      </w:pPr>
      <w:r>
        <w:rPr>
          <w:rFonts w:hint="eastAsia" w:ascii="宋体" w:hAnsi="宋体" w:cs="宋体"/>
          <w:b/>
          <w:bCs/>
          <w:color w:val="2F2F2F"/>
          <w:kern w:val="0"/>
          <w:sz w:val="32"/>
          <w:szCs w:val="32"/>
        </w:rPr>
        <w:t>送达地址有关事项告知书</w:t>
      </w:r>
    </w:p>
    <w:p>
      <w:pPr>
        <w:widowControl/>
        <w:shd w:val="clear" w:color="auto" w:fill="FFFFFF"/>
        <w:spacing w:line="420" w:lineRule="exact"/>
        <w:ind w:firstLine="640"/>
        <w:rPr>
          <w:rFonts w:ascii="宋体" w:hAnsi="宋体" w:cs="宋体"/>
          <w:color w:val="2F2F2F"/>
          <w:kern w:val="0"/>
          <w:sz w:val="28"/>
          <w:szCs w:val="28"/>
        </w:rPr>
      </w:pPr>
      <w:r>
        <w:rPr>
          <w:rFonts w:hint="eastAsia" w:ascii="宋体" w:hAnsi="宋体" w:cs="宋体"/>
          <w:color w:val="2F2F2F"/>
          <w:kern w:val="0"/>
          <w:sz w:val="28"/>
          <w:szCs w:val="28"/>
        </w:rPr>
        <w:t> </w:t>
      </w:r>
    </w:p>
    <w:p>
      <w:pPr>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根据《中华人民共和国民事诉讼法》《最高人民法院关于适用〈中华人民共和国民事诉讼法〉的解释》《最高人民法院关于以法院专递方式邮寄送达民事诉讼文书的若干规定》《</w:t>
      </w:r>
      <w:r>
        <w:rPr>
          <w:rFonts w:ascii="宋体" w:hAnsi="宋体" w:cs="宋体"/>
          <w:bCs/>
          <w:color w:val="2F2F2F"/>
          <w:kern w:val="0"/>
          <w:sz w:val="24"/>
          <w:szCs w:val="24"/>
        </w:rPr>
        <w:t>人民法院在线诉讼规则</w:t>
      </w:r>
      <w:r>
        <w:rPr>
          <w:rFonts w:hint="eastAsia" w:ascii="宋体" w:hAnsi="宋体" w:cs="宋体"/>
          <w:color w:val="2F2F2F"/>
          <w:kern w:val="0"/>
          <w:sz w:val="24"/>
          <w:szCs w:val="24"/>
        </w:rPr>
        <w:t>》等，现将送达地址及送达方式有关事项告知如下：</w:t>
      </w:r>
    </w:p>
    <w:p>
      <w:pPr>
        <w:widowControl/>
        <w:shd w:val="clear" w:color="auto" w:fill="FFFFFF"/>
        <w:spacing w:line="420" w:lineRule="exact"/>
        <w:ind w:firstLine="560" w:firstLineChars="200"/>
        <w:outlineLvl w:val="0"/>
        <w:rPr>
          <w:rFonts w:hint="eastAsia" w:ascii="黑体" w:hAnsi="黑体" w:eastAsia="黑体" w:cs="黑体"/>
          <w:b w:val="0"/>
          <w:bCs w:val="0"/>
          <w:color w:val="2F2F2F"/>
          <w:kern w:val="0"/>
          <w:sz w:val="28"/>
          <w:szCs w:val="28"/>
        </w:rPr>
      </w:pPr>
      <w:r>
        <w:rPr>
          <w:rFonts w:hint="eastAsia" w:ascii="黑体" w:hAnsi="黑体" w:eastAsia="黑体" w:cs="黑体"/>
          <w:b w:val="0"/>
          <w:bCs w:val="0"/>
          <w:color w:val="2F2F2F"/>
          <w:kern w:val="0"/>
          <w:sz w:val="28"/>
          <w:szCs w:val="28"/>
        </w:rPr>
        <w:t>一、法院专递的适用范围</w:t>
      </w:r>
    </w:p>
    <w:p>
      <w:pPr>
        <w:widowControl/>
        <w:shd w:val="clear" w:color="auto" w:fill="FFFFFF"/>
        <w:spacing w:line="420" w:lineRule="exact"/>
        <w:ind w:firstLine="480" w:firstLineChars="200"/>
        <w:rPr>
          <w:rFonts w:hint="eastAsia" w:ascii="宋体" w:hAnsi="宋体" w:cs="宋体"/>
          <w:color w:val="2F2F2F"/>
          <w:kern w:val="0"/>
          <w:sz w:val="24"/>
          <w:szCs w:val="24"/>
        </w:rPr>
      </w:pPr>
      <w:r>
        <w:rPr>
          <w:rFonts w:hint="eastAsia" w:ascii="宋体" w:hAnsi="宋体" w:cs="宋体"/>
          <w:color w:val="2F2F2F"/>
          <w:kern w:val="0"/>
          <w:sz w:val="24"/>
          <w:szCs w:val="24"/>
        </w:rPr>
        <w:t>人民法院直接送达诉讼文书有困难的，可以交由国家邮政机构(以下简称邮政机构)以法院专递方式邮寄送达，但有下列情形之一的除外：</w:t>
      </w:r>
    </w:p>
    <w:p>
      <w:pPr>
        <w:widowControl/>
        <w:shd w:val="clear" w:color="auto" w:fill="FFFFFF"/>
        <w:spacing w:line="420" w:lineRule="exact"/>
        <w:ind w:firstLine="480" w:firstLineChars="200"/>
        <w:rPr>
          <w:rFonts w:hint="eastAsia" w:ascii="宋体" w:hAnsi="宋体" w:cs="宋体"/>
          <w:color w:val="2F2F2F"/>
          <w:kern w:val="0"/>
          <w:sz w:val="24"/>
          <w:szCs w:val="24"/>
        </w:rPr>
      </w:pPr>
      <w:r>
        <w:rPr>
          <w:rFonts w:hint="eastAsia" w:ascii="宋体" w:hAnsi="宋体" w:cs="宋体"/>
          <w:color w:val="2F2F2F"/>
          <w:kern w:val="0"/>
          <w:sz w:val="24"/>
          <w:szCs w:val="24"/>
        </w:rPr>
        <w:t>1．受送达人或者其诉讼代理人、受送达人指定的代收人同意在指定的期间到人民法院接受送达的；</w:t>
      </w:r>
    </w:p>
    <w:p>
      <w:pPr>
        <w:widowControl/>
        <w:shd w:val="clear" w:color="auto" w:fill="FFFFFF"/>
        <w:spacing w:line="420" w:lineRule="exact"/>
        <w:ind w:firstLine="480" w:firstLineChars="200"/>
        <w:rPr>
          <w:rFonts w:hint="eastAsia" w:ascii="宋体" w:hAnsi="宋体" w:cs="宋体"/>
          <w:color w:val="2F2F2F"/>
          <w:kern w:val="0"/>
          <w:sz w:val="24"/>
          <w:szCs w:val="24"/>
        </w:rPr>
      </w:pPr>
      <w:r>
        <w:rPr>
          <w:rFonts w:hint="eastAsia" w:ascii="宋体" w:hAnsi="宋体" w:cs="宋体"/>
          <w:color w:val="2F2F2F"/>
          <w:kern w:val="0"/>
          <w:sz w:val="24"/>
          <w:szCs w:val="24"/>
        </w:rPr>
        <w:t>2．受送达人下落不明的；</w:t>
      </w:r>
    </w:p>
    <w:p>
      <w:pPr>
        <w:widowControl/>
        <w:shd w:val="clear" w:color="auto" w:fill="FFFFFF"/>
        <w:spacing w:line="420" w:lineRule="exact"/>
        <w:ind w:firstLine="480" w:firstLineChars="200"/>
        <w:rPr>
          <w:rFonts w:hint="eastAsia" w:ascii="宋体" w:hAnsi="宋体" w:cs="宋体"/>
          <w:color w:val="2F2F2F"/>
          <w:kern w:val="0"/>
          <w:sz w:val="24"/>
          <w:szCs w:val="24"/>
        </w:rPr>
      </w:pPr>
      <w:r>
        <w:rPr>
          <w:rFonts w:hint="eastAsia" w:ascii="宋体" w:hAnsi="宋体" w:cs="宋体"/>
          <w:color w:val="2F2F2F"/>
          <w:kern w:val="0"/>
          <w:sz w:val="24"/>
          <w:szCs w:val="24"/>
        </w:rPr>
        <w:t>3．法律规定或者我国缔结或者参加的国际条约中约定有特别送达方式的。</w:t>
      </w:r>
    </w:p>
    <w:p>
      <w:pPr>
        <w:widowControl/>
        <w:shd w:val="clear" w:color="auto" w:fill="FFFFFF"/>
        <w:spacing w:line="420" w:lineRule="exact"/>
        <w:ind w:firstLine="560" w:firstLineChars="200"/>
        <w:outlineLvl w:val="0"/>
        <w:rPr>
          <w:rFonts w:hint="eastAsia" w:ascii="黑体" w:hAnsi="黑体" w:eastAsia="黑体" w:cs="黑体"/>
          <w:b w:val="0"/>
          <w:bCs w:val="0"/>
          <w:color w:val="2F2F2F"/>
          <w:kern w:val="0"/>
          <w:sz w:val="28"/>
          <w:szCs w:val="28"/>
        </w:rPr>
      </w:pPr>
      <w:r>
        <w:rPr>
          <w:rFonts w:hint="eastAsia" w:ascii="黑体" w:hAnsi="黑体" w:eastAsia="黑体" w:cs="黑体"/>
          <w:b w:val="0"/>
          <w:bCs w:val="0"/>
          <w:color w:val="2F2F2F"/>
          <w:kern w:val="0"/>
          <w:sz w:val="28"/>
          <w:szCs w:val="28"/>
        </w:rPr>
        <w:t>二、法院专递的法律效力</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以法院专递方式邮寄送达民事诉讼文书的，其送达与人民法院送达具有同等法律效力。</w:t>
      </w:r>
    </w:p>
    <w:p>
      <w:pPr>
        <w:widowControl/>
        <w:shd w:val="clear" w:color="auto" w:fill="FFFFFF"/>
        <w:spacing w:line="420" w:lineRule="exact"/>
        <w:ind w:firstLine="560" w:firstLineChars="200"/>
        <w:outlineLvl w:val="0"/>
        <w:rPr>
          <w:rFonts w:hint="eastAsia" w:ascii="黑体" w:hAnsi="黑体" w:eastAsia="黑体" w:cs="黑体"/>
          <w:b w:val="0"/>
          <w:bCs w:val="0"/>
          <w:color w:val="2F2F2F"/>
          <w:kern w:val="0"/>
          <w:sz w:val="28"/>
          <w:szCs w:val="28"/>
        </w:rPr>
      </w:pPr>
      <w:r>
        <w:rPr>
          <w:rFonts w:hint="eastAsia" w:ascii="黑体" w:hAnsi="黑体" w:eastAsia="黑体" w:cs="黑体"/>
          <w:b w:val="0"/>
          <w:bCs w:val="0"/>
          <w:color w:val="2F2F2F"/>
          <w:kern w:val="0"/>
          <w:sz w:val="28"/>
          <w:szCs w:val="28"/>
        </w:rPr>
        <w:t>三、电子送达的方式、范围和条件</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经受送达人同意，人民法院可以通过送达平台，向受送达人的电子邮箱、即时通讯账号、诉讼平台专用账号等电子地址，按照法律和司法解释的相关规定送达诉讼文书和证据材料。</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具备下列情形之一的，人民法院可以确定受送达人同意电子送达：</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（一）受送达人明确表示同意的；</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（二）受送达人在诉讼前对适用电子送达已作出约定或者承诺的；</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（三）受送达人在提交的起诉状、上诉状、申请书、答辩状中主动提供用于接收送达的电子地址的；</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（四）受送达人通过回复收悉、参加诉讼等方式接受已经完成的电子送达，并且未明确表示不同意电子送达的。</w:t>
      </w:r>
    </w:p>
    <w:p>
      <w:pPr>
        <w:widowControl/>
        <w:shd w:val="clear" w:color="auto" w:fill="FFFFFF"/>
        <w:spacing w:line="420" w:lineRule="exact"/>
        <w:ind w:firstLine="560" w:firstLineChars="200"/>
        <w:outlineLvl w:val="0"/>
        <w:rPr>
          <w:rFonts w:hint="eastAsia" w:ascii="黑体" w:hAnsi="黑体" w:eastAsia="黑体" w:cs="黑体"/>
          <w:b w:val="0"/>
          <w:bCs w:val="0"/>
          <w:color w:val="2F2F2F"/>
          <w:kern w:val="0"/>
          <w:sz w:val="28"/>
          <w:szCs w:val="28"/>
        </w:rPr>
      </w:pPr>
      <w:r>
        <w:rPr>
          <w:rFonts w:hint="eastAsia" w:ascii="黑体" w:hAnsi="黑体" w:eastAsia="黑体" w:cs="黑体"/>
          <w:b w:val="0"/>
          <w:bCs w:val="0"/>
          <w:color w:val="2F2F2F"/>
          <w:kern w:val="0"/>
          <w:sz w:val="28"/>
          <w:szCs w:val="28"/>
        </w:rPr>
        <w:t>四、电子送达生效标准</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人民法院向受送达人主动提供或者确认的电子地址送达的，送达信息到达电子地址所在系统时，即为送达。</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受送达人未提供或者未确认有效电子送达地址，人民法院向能够确认为受送达人本人的电子地址送达的，根据下列情形确定送达是否生效：</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（一）受送达人回复已收悉，或者根据送达内容已作出相应诉讼行为的，即为完成有效送达；</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二）受送达人的电子地址所在系统反馈受送达人已阅知，或者有其他证据可以证明受送达人已经收悉的，推定完成有效送达，但受送达人能够证明存在系统错误、送达地址非本人使用或者非本人阅知等未收悉送达内容的情形除外。</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文书送达的，系统自动记录并生成电子送达凭证。电子送达凭证具有送达回证效力。</w:t>
      </w:r>
    </w:p>
    <w:p>
      <w:pPr>
        <w:widowControl/>
        <w:shd w:val="clear" w:color="auto" w:fill="FFFFFF"/>
        <w:spacing w:line="420" w:lineRule="exact"/>
        <w:ind w:firstLine="480" w:firstLineChars="200"/>
        <w:rPr>
          <w:rFonts w:hint="eastAsia" w:ascii="宋体" w:hAnsi="宋体" w:cs="宋体"/>
          <w:color w:val="2F2F2F"/>
          <w:kern w:val="0"/>
          <w:sz w:val="24"/>
          <w:szCs w:val="24"/>
        </w:rPr>
      </w:pPr>
      <w:r>
        <w:rPr>
          <w:rFonts w:hint="eastAsia" w:ascii="宋体" w:hAnsi="宋体" w:cs="宋体"/>
          <w:color w:val="2F2F2F"/>
          <w:kern w:val="0"/>
          <w:sz w:val="24"/>
          <w:szCs w:val="24"/>
        </w:rPr>
        <w:t>对同一内容的送达材料采取多种电子方式发送受送达人的，以最先完成的有效送达时间作为送达生效时间。</w:t>
      </w:r>
    </w:p>
    <w:p>
      <w:pPr>
        <w:widowControl/>
        <w:shd w:val="clear" w:color="auto" w:fill="FFFFFF"/>
        <w:spacing w:line="420" w:lineRule="exact"/>
        <w:ind w:firstLine="560" w:firstLineChars="200"/>
        <w:outlineLvl w:val="0"/>
        <w:rPr>
          <w:rFonts w:hint="eastAsia" w:ascii="黑体" w:hAnsi="黑体" w:eastAsia="黑体" w:cs="黑体"/>
          <w:b w:val="0"/>
          <w:bCs w:val="0"/>
          <w:color w:val="2F2F2F"/>
          <w:kern w:val="0"/>
          <w:sz w:val="28"/>
          <w:szCs w:val="28"/>
        </w:rPr>
      </w:pPr>
      <w:r>
        <w:rPr>
          <w:rFonts w:hint="eastAsia" w:ascii="黑体" w:hAnsi="黑体" w:eastAsia="黑体" w:cs="黑体"/>
          <w:b w:val="0"/>
          <w:bCs w:val="0"/>
          <w:color w:val="2F2F2F"/>
          <w:kern w:val="0"/>
          <w:sz w:val="28"/>
          <w:szCs w:val="28"/>
        </w:rPr>
        <w:t>五、电子送达的法律效力</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以法院电子送达方式送达诉讼文书的，其送达与人民法院送达具有同等法律效力。</w:t>
      </w:r>
    </w:p>
    <w:p>
      <w:pPr>
        <w:widowControl/>
        <w:shd w:val="clear" w:color="auto" w:fill="FFFFFF"/>
        <w:spacing w:line="420" w:lineRule="exact"/>
        <w:ind w:firstLine="560" w:firstLineChars="200"/>
        <w:outlineLvl w:val="0"/>
        <w:rPr>
          <w:rFonts w:hint="eastAsia" w:ascii="黑体" w:hAnsi="黑体" w:eastAsia="黑体" w:cs="黑体"/>
          <w:b w:val="0"/>
          <w:bCs w:val="0"/>
          <w:color w:val="2F2F2F"/>
          <w:kern w:val="0"/>
          <w:sz w:val="28"/>
          <w:szCs w:val="28"/>
        </w:rPr>
      </w:pPr>
      <w:r>
        <w:rPr>
          <w:rFonts w:hint="eastAsia" w:ascii="黑体" w:hAnsi="黑体" w:eastAsia="黑体" w:cs="黑体"/>
          <w:b w:val="0"/>
          <w:bCs w:val="0"/>
          <w:color w:val="2F2F2F"/>
          <w:kern w:val="0"/>
          <w:sz w:val="28"/>
          <w:szCs w:val="28"/>
        </w:rPr>
        <w:t>六、电子送达的使用说明</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如受送达人同意接受电子送达，需</w:t>
      </w:r>
      <w:r>
        <w:rPr>
          <w:rFonts w:ascii="宋体" w:hAnsi="宋体" w:cs="宋体"/>
          <w:color w:val="2F2F2F"/>
          <w:kern w:val="0"/>
          <w:sz w:val="24"/>
          <w:szCs w:val="24"/>
        </w:rPr>
        <w:t>配合本院采集、核对身份信息，并预留有效的手机号码。身份证件号码、律师执业证号、组织机构代码、统一社会信用代码，是登录</w:t>
      </w:r>
      <w:r>
        <w:rPr>
          <w:rFonts w:hint="eastAsia" w:ascii="宋体" w:hAnsi="宋体" w:cs="宋体"/>
          <w:color w:val="2F2F2F"/>
          <w:kern w:val="0"/>
          <w:sz w:val="24"/>
          <w:szCs w:val="24"/>
        </w:rPr>
        <w:t>电子送达系统的身份验证依据，手机号码将用于接收电子送达系统以短信形式发送的登录验证码。</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为方便受送达人接受送达，本院提供中国移动微法院、人民法院送达平台、人民法院律师服务平台（仅限代理人）、中国审判流程信息公开网、电子邮箱、传真</w:t>
      </w:r>
      <w:r>
        <w:rPr>
          <w:rFonts w:hint="eastAsia" w:ascii="宋体" w:hAnsi="宋体" w:cs="宋体"/>
          <w:color w:val="2F2F2F"/>
          <w:kern w:val="0"/>
          <w:sz w:val="24"/>
          <w:szCs w:val="24"/>
          <w:highlight w:val="none"/>
        </w:rPr>
        <w:t>、短信推送</w:t>
      </w:r>
      <w:r>
        <w:rPr>
          <w:rFonts w:hint="eastAsia" w:ascii="宋体" w:hAnsi="宋体" w:cs="宋体"/>
          <w:color w:val="2F2F2F"/>
          <w:kern w:val="0"/>
          <w:sz w:val="24"/>
          <w:szCs w:val="24"/>
        </w:rPr>
        <w:t>电子诉讼文书服务。受送达人可通过上述渠道签收电子送达的诉讼文书。</w:t>
      </w:r>
    </w:p>
    <w:p>
      <w:pPr>
        <w:widowControl/>
        <w:shd w:val="clear" w:color="auto" w:fill="FFFFFF"/>
        <w:spacing w:line="420" w:lineRule="exact"/>
        <w:ind w:firstLine="560" w:firstLineChars="200"/>
        <w:outlineLvl w:val="0"/>
        <w:rPr>
          <w:rFonts w:hint="eastAsia" w:ascii="黑体" w:hAnsi="黑体" w:eastAsia="黑体" w:cs="黑体"/>
          <w:b w:val="0"/>
          <w:bCs w:val="0"/>
          <w:color w:val="2F2F2F"/>
          <w:kern w:val="0"/>
          <w:sz w:val="28"/>
          <w:szCs w:val="28"/>
        </w:rPr>
      </w:pPr>
      <w:r>
        <w:rPr>
          <w:rFonts w:hint="eastAsia" w:ascii="黑体" w:hAnsi="黑体" w:eastAsia="黑体" w:cs="黑体"/>
          <w:b w:val="0"/>
          <w:bCs w:val="0"/>
          <w:color w:val="2F2F2F"/>
          <w:kern w:val="0"/>
          <w:sz w:val="28"/>
          <w:szCs w:val="28"/>
        </w:rPr>
        <w:t>七、送达地址的提供或者确认</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当事人起诉或者答辩时应当向人民法院提供或者确认自己准确的送达地址，并填写送达地址、送达方式确认书。当事人拒绝提供的，人民法院应该告知其拒不提供送达地址的不利后果，并记入笔录。</w:t>
      </w:r>
    </w:p>
    <w:p>
      <w:pPr>
        <w:widowControl/>
        <w:shd w:val="clear" w:color="auto" w:fill="FFFFFF"/>
        <w:spacing w:line="420" w:lineRule="exact"/>
        <w:ind w:firstLine="560" w:firstLineChars="200"/>
        <w:outlineLvl w:val="0"/>
        <w:rPr>
          <w:rFonts w:hint="eastAsia" w:ascii="黑体" w:hAnsi="黑体" w:eastAsia="黑体" w:cs="黑体"/>
          <w:b w:val="0"/>
          <w:bCs w:val="0"/>
          <w:color w:val="2F2F2F"/>
          <w:kern w:val="0"/>
          <w:sz w:val="28"/>
          <w:szCs w:val="28"/>
        </w:rPr>
      </w:pPr>
      <w:r>
        <w:rPr>
          <w:rFonts w:hint="eastAsia" w:ascii="黑体" w:hAnsi="黑体" w:eastAsia="黑体" w:cs="黑体"/>
          <w:b w:val="0"/>
          <w:bCs w:val="0"/>
          <w:color w:val="2F2F2F"/>
          <w:kern w:val="0"/>
          <w:sz w:val="28"/>
          <w:szCs w:val="28"/>
        </w:rPr>
        <w:t>八、送达地址的推定</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当事人拒绝提供自己的送达地址，经人民法院告知后仍不提供的，自然人以其户籍登记中的住所地或者经常居住地为送达地址；法人或者其他组织以其工商登记或者其他依法登记、备案中的住所地为送达地址。</w:t>
      </w:r>
    </w:p>
    <w:p>
      <w:pPr>
        <w:widowControl/>
        <w:shd w:val="clear" w:color="auto" w:fill="FFFFFF"/>
        <w:spacing w:line="420" w:lineRule="exact"/>
        <w:ind w:firstLine="560" w:firstLineChars="200"/>
        <w:outlineLvl w:val="0"/>
        <w:rPr>
          <w:rFonts w:hint="eastAsia" w:ascii="黑体" w:hAnsi="黑体" w:eastAsia="黑体" w:cs="黑体"/>
          <w:b w:val="0"/>
          <w:bCs w:val="0"/>
          <w:color w:val="2F2F2F"/>
          <w:kern w:val="0"/>
          <w:sz w:val="28"/>
          <w:szCs w:val="28"/>
        </w:rPr>
      </w:pPr>
      <w:r>
        <w:rPr>
          <w:rFonts w:hint="eastAsia" w:ascii="黑体" w:hAnsi="黑体" w:eastAsia="黑体" w:cs="黑体"/>
          <w:b w:val="0"/>
          <w:bCs w:val="0"/>
          <w:color w:val="2F2F2F"/>
          <w:kern w:val="0"/>
          <w:sz w:val="28"/>
          <w:szCs w:val="28"/>
        </w:rPr>
        <w:t>九、法律后果及其除外条件</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因受送达人自己提供或者确认的送达地址不准确、拒不提供送达地址、送达地址变更未及时告知人民法院、受送达人本人或者受送达人指定的代收人拒绝签收，导致诉讼文书未能被受送达人实际接收的，文书退回之日视为送达之日。</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受送达人能够证明自己在诉讼文书送达的过程中没有过错的，不适用前款规定。</w:t>
      </w:r>
    </w:p>
    <w:p>
      <w:pPr>
        <w:widowControl/>
        <w:spacing w:line="420" w:lineRule="exact"/>
        <w:ind w:firstLine="480" w:firstLineChars="200"/>
        <w:jc w:val="both"/>
        <w:rPr>
          <w:rFonts w:ascii="宋体" w:hAnsi="宋体" w:cs="宋体"/>
          <w:kern w:val="0"/>
          <w:sz w:val="24"/>
          <w:szCs w:val="24"/>
        </w:rPr>
      </w:pPr>
      <w:r>
        <w:rPr>
          <w:rFonts w:hint="eastAsia" w:ascii="宋体" w:hAnsi="宋体" w:eastAsia="宋体" w:cs="宋体"/>
          <w:color w:val="2F2F2F"/>
          <w:kern w:val="0"/>
          <w:sz w:val="24"/>
          <w:szCs w:val="24"/>
          <w:shd w:val="clear" w:color="auto" w:fill="FFFFFF"/>
        </w:rPr>
        <w:br w:type="textWrapping"/>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【说明】</w:t>
      </w:r>
    </w:p>
    <w:p>
      <w:pPr>
        <w:widowControl/>
        <w:shd w:val="clear" w:color="auto" w:fill="FFFFFF"/>
        <w:spacing w:line="420" w:lineRule="exact"/>
        <w:ind w:firstLine="480" w:firstLineChars="200"/>
        <w:rPr>
          <w:rFonts w:ascii="宋体" w:hAnsi="宋体" w:cs="宋体"/>
          <w:color w:val="2F2F2F"/>
          <w:kern w:val="0"/>
          <w:sz w:val="24"/>
          <w:szCs w:val="24"/>
        </w:rPr>
      </w:pPr>
      <w:r>
        <w:rPr>
          <w:rFonts w:hint="eastAsia" w:ascii="宋体" w:hAnsi="宋体" w:cs="宋体"/>
          <w:color w:val="2F2F2F"/>
          <w:kern w:val="0"/>
          <w:sz w:val="24"/>
          <w:szCs w:val="24"/>
        </w:rPr>
        <w:t>1．本样式根据《中华人民共和国民事诉讼法》第八十四条、第八十五条、第八十七条、第九十一条以及《最高人民法院关于适用〈中华人民共和国民事诉讼法〉的解释》第一百三十六条制定，供人民法院确认当事人送达地址用。</w:t>
      </w:r>
    </w:p>
    <w:p>
      <w:pPr>
        <w:widowControl/>
        <w:shd w:val="clear" w:color="auto" w:fill="FFFFFF"/>
        <w:spacing w:line="420" w:lineRule="exact"/>
        <w:ind w:firstLine="480" w:firstLineChars="200"/>
        <w:rPr>
          <w:rFonts w:hint="eastAsia" w:ascii="宋体" w:hAnsi="宋体" w:cs="宋体"/>
          <w:color w:val="2F2F2F"/>
          <w:kern w:val="0"/>
          <w:sz w:val="24"/>
          <w:szCs w:val="24"/>
        </w:rPr>
      </w:pPr>
      <w:r>
        <w:rPr>
          <w:rFonts w:hint="eastAsia" w:ascii="宋体" w:hAnsi="宋体" w:cs="宋体"/>
          <w:color w:val="2F2F2F"/>
          <w:kern w:val="0"/>
          <w:sz w:val="24"/>
          <w:szCs w:val="24"/>
        </w:rPr>
        <w:t>2．受送达人同意采用电子方式送达的，应当在送达地址确认书中予以确认。</w:t>
      </w:r>
    </w:p>
    <w:p>
      <w:pPr>
        <w:adjustRightInd/>
        <w:snapToGrid/>
        <w:spacing w:line="420" w:lineRule="exact"/>
        <w:jc w:val="center"/>
        <w:rPr>
          <w:rFonts w:hint="eastAsia" w:ascii="仿宋_GB2312" w:eastAsia="仿宋_GB2312"/>
          <w:sz w:val="28"/>
          <w:szCs w:val="28"/>
        </w:rPr>
      </w:pPr>
    </w:p>
    <w:sectPr>
      <w:type w:val="continuous"/>
      <w:pgSz w:w="11906" w:h="16838"/>
      <w:pgMar w:top="986" w:right="1020" w:bottom="873"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2000609000000000000"/>
    <w:charset w:val="02"/>
    <w:family w:val="roman"/>
    <w:pitch w:val="default"/>
    <w:sig w:usb0="00000000" w:usb1="00000000" w:usb2="00000000" w:usb3="00000000" w:csb0="20000000" w:csb1="00000000"/>
  </w:font>
  <w:font w:name="Wingdings 2">
    <w:panose1 w:val="05020102010507070707"/>
    <w:charset w:val="02"/>
    <w:family w:val="auto"/>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Microsoft YaHei">
    <w:altName w:val="汉仪旗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E1002AFF" w:usb1="C000605B" w:usb2="00000029" w:usb3="00000000" w:csb0="200101FF" w:csb1="20280000"/>
  </w:font>
  <w:font w:name="方正兰亭中黑_GBK">
    <w:altName w:val="冬青黑体简体中文"/>
    <w:panose1 w:val="02000000000000000000"/>
    <w:charset w:val="86"/>
    <w:family w:val="auto"/>
    <w:pitch w:val="default"/>
    <w:sig w:usb0="00000000" w:usb1="00000000" w:usb2="00082016" w:usb3="00000000" w:csb0="00040000" w:csb1="00000000"/>
  </w:font>
  <w:font w:name="方正兰亭特黑简体">
    <w:altName w:val="冬青黑体简体中文"/>
    <w:panose1 w:val="02000000000000000000"/>
    <w:charset w:val="86"/>
    <w:family w:val="auto"/>
    <w:pitch w:val="default"/>
    <w:sig w:usb0="00000000" w:usb1="00000000" w:usb2="00000000" w:usb3="00000000" w:csb0="00040000" w:csb1="00000000"/>
  </w:font>
  <w:font w:name="方正兰亭粗黑简体">
    <w:altName w:val="冬青黑体简体中文"/>
    <w:panose1 w:val="02000000000000000000"/>
    <w:charset w:val="86"/>
    <w:family w:val="auto"/>
    <w:pitch w:val="default"/>
    <w:sig w:usb0="00000000" w:usb1="00000000" w:usb2="00000000" w:usb3="00000000" w:csb0="00040000" w:csb1="00000000"/>
  </w:font>
  <w:font w:name="方正粗黑宋简体">
    <w:altName w:val="冬青黑体简体中文"/>
    <w:panose1 w:val="02000000000000000000"/>
    <w:charset w:val="86"/>
    <w:family w:val="auto"/>
    <w:pitch w:val="default"/>
    <w:sig w:usb0="00000000" w:usb1="00000000" w:usb2="00000012" w:usb3="00000000" w:csb0="00040001" w:csb1="00000000"/>
  </w:font>
  <w:font w:name="方正行楷_GBK">
    <w:altName w:val="冬青黑体简体中文"/>
    <w:panose1 w:val="02000000000000000000"/>
    <w:charset w:val="86"/>
    <w:family w:val="auto"/>
    <w:pitch w:val="default"/>
    <w:sig w:usb0="00000000" w:usb1="00000000" w:usb2="00000000" w:usb3="00000000" w:csb0="00040000" w:csb1="00000000"/>
  </w:font>
  <w:font w:name="方正隶书_GBK">
    <w:altName w:val="冬青黑体简体中文"/>
    <w:panose1 w:val="02000000000000000000"/>
    <w:charset w:val="86"/>
    <w:family w:val="auto"/>
    <w:pitch w:val="default"/>
    <w:sig w:usb0="00000000" w:usb1="00000000" w:usb2="00000000" w:usb3="00000000" w:csb0="00040000" w:csb1="00000000"/>
  </w:font>
  <w:font w:name="隶书">
    <w:altName w:val="宋体-简"/>
    <w:panose1 w:val="02010509060101010101"/>
    <w:charset w:val="86"/>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F6"/>
    <w:rsid w:val="00006342"/>
    <w:rsid w:val="00006D2D"/>
    <w:rsid w:val="00007B2F"/>
    <w:rsid w:val="00012616"/>
    <w:rsid w:val="0002134C"/>
    <w:rsid w:val="00022F51"/>
    <w:rsid w:val="00023B89"/>
    <w:rsid w:val="00024264"/>
    <w:rsid w:val="00024F5E"/>
    <w:rsid w:val="0002529A"/>
    <w:rsid w:val="00025860"/>
    <w:rsid w:val="00025E78"/>
    <w:rsid w:val="0002712D"/>
    <w:rsid w:val="00032C93"/>
    <w:rsid w:val="0003396D"/>
    <w:rsid w:val="00035D0A"/>
    <w:rsid w:val="0003672C"/>
    <w:rsid w:val="00044238"/>
    <w:rsid w:val="000443E8"/>
    <w:rsid w:val="00044901"/>
    <w:rsid w:val="0005261C"/>
    <w:rsid w:val="000538DE"/>
    <w:rsid w:val="00055EC0"/>
    <w:rsid w:val="000567E0"/>
    <w:rsid w:val="00057AB6"/>
    <w:rsid w:val="00064427"/>
    <w:rsid w:val="00065570"/>
    <w:rsid w:val="0006608B"/>
    <w:rsid w:val="0006747F"/>
    <w:rsid w:val="00067D00"/>
    <w:rsid w:val="00071142"/>
    <w:rsid w:val="00072458"/>
    <w:rsid w:val="00073962"/>
    <w:rsid w:val="00074B79"/>
    <w:rsid w:val="00074EE6"/>
    <w:rsid w:val="00077CC8"/>
    <w:rsid w:val="00080A9C"/>
    <w:rsid w:val="00080D2F"/>
    <w:rsid w:val="0008206C"/>
    <w:rsid w:val="000879F0"/>
    <w:rsid w:val="00087C9B"/>
    <w:rsid w:val="0009590C"/>
    <w:rsid w:val="00095D7D"/>
    <w:rsid w:val="000A09FF"/>
    <w:rsid w:val="000A19B9"/>
    <w:rsid w:val="000A59D0"/>
    <w:rsid w:val="000B26BF"/>
    <w:rsid w:val="000B3B71"/>
    <w:rsid w:val="000B5713"/>
    <w:rsid w:val="000C2777"/>
    <w:rsid w:val="000C4E1C"/>
    <w:rsid w:val="000D1DEE"/>
    <w:rsid w:val="000D7F09"/>
    <w:rsid w:val="000E0179"/>
    <w:rsid w:val="000E39D9"/>
    <w:rsid w:val="000F0ABC"/>
    <w:rsid w:val="000F193A"/>
    <w:rsid w:val="000F1D7B"/>
    <w:rsid w:val="000F27C2"/>
    <w:rsid w:val="000F724E"/>
    <w:rsid w:val="00101D67"/>
    <w:rsid w:val="001050E6"/>
    <w:rsid w:val="00112DDB"/>
    <w:rsid w:val="00112E5A"/>
    <w:rsid w:val="0011439B"/>
    <w:rsid w:val="0012343E"/>
    <w:rsid w:val="00130285"/>
    <w:rsid w:val="00132C3D"/>
    <w:rsid w:val="0013389D"/>
    <w:rsid w:val="001408DA"/>
    <w:rsid w:val="0014410B"/>
    <w:rsid w:val="001469B4"/>
    <w:rsid w:val="0015264C"/>
    <w:rsid w:val="00154732"/>
    <w:rsid w:val="00156D04"/>
    <w:rsid w:val="001646B8"/>
    <w:rsid w:val="00164B91"/>
    <w:rsid w:val="00165D2C"/>
    <w:rsid w:val="00170AB8"/>
    <w:rsid w:val="00174C46"/>
    <w:rsid w:val="00176348"/>
    <w:rsid w:val="0017714F"/>
    <w:rsid w:val="0017794E"/>
    <w:rsid w:val="001850BA"/>
    <w:rsid w:val="00191058"/>
    <w:rsid w:val="00191CD1"/>
    <w:rsid w:val="00194AB5"/>
    <w:rsid w:val="0019502C"/>
    <w:rsid w:val="001958DF"/>
    <w:rsid w:val="00196319"/>
    <w:rsid w:val="001A4806"/>
    <w:rsid w:val="001A5ACE"/>
    <w:rsid w:val="001B04A1"/>
    <w:rsid w:val="001B153D"/>
    <w:rsid w:val="001B2654"/>
    <w:rsid w:val="001B40DE"/>
    <w:rsid w:val="001C09DE"/>
    <w:rsid w:val="001C0D7D"/>
    <w:rsid w:val="001C1742"/>
    <w:rsid w:val="001C1EB8"/>
    <w:rsid w:val="001C289D"/>
    <w:rsid w:val="001C4A44"/>
    <w:rsid w:val="001D0F91"/>
    <w:rsid w:val="001D2009"/>
    <w:rsid w:val="001D2EEB"/>
    <w:rsid w:val="001D31F9"/>
    <w:rsid w:val="001D5FF5"/>
    <w:rsid w:val="001D7C9D"/>
    <w:rsid w:val="001E2FDB"/>
    <w:rsid w:val="001E5D22"/>
    <w:rsid w:val="001E72FF"/>
    <w:rsid w:val="001F1ABC"/>
    <w:rsid w:val="001F2DFB"/>
    <w:rsid w:val="001F71F6"/>
    <w:rsid w:val="002027A7"/>
    <w:rsid w:val="002123C2"/>
    <w:rsid w:val="00213C23"/>
    <w:rsid w:val="00214C8E"/>
    <w:rsid w:val="00214DB8"/>
    <w:rsid w:val="00214E1B"/>
    <w:rsid w:val="00217150"/>
    <w:rsid w:val="00221F77"/>
    <w:rsid w:val="002223FD"/>
    <w:rsid w:val="002232C0"/>
    <w:rsid w:val="00224109"/>
    <w:rsid w:val="002256DA"/>
    <w:rsid w:val="00225CE9"/>
    <w:rsid w:val="00227C2A"/>
    <w:rsid w:val="00233291"/>
    <w:rsid w:val="0023400C"/>
    <w:rsid w:val="00240CC8"/>
    <w:rsid w:val="00242D19"/>
    <w:rsid w:val="00246A2F"/>
    <w:rsid w:val="00246BD6"/>
    <w:rsid w:val="002516E7"/>
    <w:rsid w:val="00254071"/>
    <w:rsid w:val="00255833"/>
    <w:rsid w:val="00256D2C"/>
    <w:rsid w:val="00257216"/>
    <w:rsid w:val="00262978"/>
    <w:rsid w:val="00267CF9"/>
    <w:rsid w:val="002701A8"/>
    <w:rsid w:val="00280A0F"/>
    <w:rsid w:val="002821C4"/>
    <w:rsid w:val="00282FB9"/>
    <w:rsid w:val="002840F4"/>
    <w:rsid w:val="002874FE"/>
    <w:rsid w:val="0029579B"/>
    <w:rsid w:val="002A0A3B"/>
    <w:rsid w:val="002A18E6"/>
    <w:rsid w:val="002A5DEC"/>
    <w:rsid w:val="002B1842"/>
    <w:rsid w:val="002B3EFE"/>
    <w:rsid w:val="002B5024"/>
    <w:rsid w:val="002E3BD9"/>
    <w:rsid w:val="002E4A39"/>
    <w:rsid w:val="002E645D"/>
    <w:rsid w:val="002E78FD"/>
    <w:rsid w:val="002F387B"/>
    <w:rsid w:val="002F5311"/>
    <w:rsid w:val="002F585F"/>
    <w:rsid w:val="00301160"/>
    <w:rsid w:val="00306838"/>
    <w:rsid w:val="0030732B"/>
    <w:rsid w:val="00312513"/>
    <w:rsid w:val="003202C2"/>
    <w:rsid w:val="003253E9"/>
    <w:rsid w:val="003255AE"/>
    <w:rsid w:val="00325873"/>
    <w:rsid w:val="003272EF"/>
    <w:rsid w:val="003401ED"/>
    <w:rsid w:val="0034654F"/>
    <w:rsid w:val="003502FE"/>
    <w:rsid w:val="00351937"/>
    <w:rsid w:val="003547C2"/>
    <w:rsid w:val="0035662F"/>
    <w:rsid w:val="00361290"/>
    <w:rsid w:val="00361B2F"/>
    <w:rsid w:val="00363E80"/>
    <w:rsid w:val="003657B9"/>
    <w:rsid w:val="003660DA"/>
    <w:rsid w:val="0036697D"/>
    <w:rsid w:val="00370950"/>
    <w:rsid w:val="003818F6"/>
    <w:rsid w:val="00387583"/>
    <w:rsid w:val="0039392A"/>
    <w:rsid w:val="00393FD0"/>
    <w:rsid w:val="00395609"/>
    <w:rsid w:val="00395D87"/>
    <w:rsid w:val="00395F30"/>
    <w:rsid w:val="00397B5F"/>
    <w:rsid w:val="003A44D7"/>
    <w:rsid w:val="003A4FB3"/>
    <w:rsid w:val="003B0466"/>
    <w:rsid w:val="003B3BFA"/>
    <w:rsid w:val="003B3DA7"/>
    <w:rsid w:val="003B56AD"/>
    <w:rsid w:val="003C1286"/>
    <w:rsid w:val="003C244A"/>
    <w:rsid w:val="003C2A4F"/>
    <w:rsid w:val="003C2E00"/>
    <w:rsid w:val="003C5201"/>
    <w:rsid w:val="003D72D1"/>
    <w:rsid w:val="003E0CAB"/>
    <w:rsid w:val="003E166C"/>
    <w:rsid w:val="003E5234"/>
    <w:rsid w:val="003E7270"/>
    <w:rsid w:val="003F060D"/>
    <w:rsid w:val="003F63C9"/>
    <w:rsid w:val="003F69F8"/>
    <w:rsid w:val="003F79F9"/>
    <w:rsid w:val="00400796"/>
    <w:rsid w:val="00401C0C"/>
    <w:rsid w:val="00402D2C"/>
    <w:rsid w:val="00403C37"/>
    <w:rsid w:val="00405153"/>
    <w:rsid w:val="00405816"/>
    <w:rsid w:val="00410942"/>
    <w:rsid w:val="00411A2C"/>
    <w:rsid w:val="004170A6"/>
    <w:rsid w:val="0041727F"/>
    <w:rsid w:val="00421DA8"/>
    <w:rsid w:val="004220EA"/>
    <w:rsid w:val="00424FDD"/>
    <w:rsid w:val="00430E73"/>
    <w:rsid w:val="00435941"/>
    <w:rsid w:val="00441CB9"/>
    <w:rsid w:val="00442D5E"/>
    <w:rsid w:val="004436E8"/>
    <w:rsid w:val="00446BBA"/>
    <w:rsid w:val="00451697"/>
    <w:rsid w:val="00452634"/>
    <w:rsid w:val="0045286B"/>
    <w:rsid w:val="00452EFE"/>
    <w:rsid w:val="0045523D"/>
    <w:rsid w:val="004556E0"/>
    <w:rsid w:val="004557E8"/>
    <w:rsid w:val="00455802"/>
    <w:rsid w:val="004650A7"/>
    <w:rsid w:val="00480866"/>
    <w:rsid w:val="00483203"/>
    <w:rsid w:val="004874D1"/>
    <w:rsid w:val="004910C5"/>
    <w:rsid w:val="004924F0"/>
    <w:rsid w:val="00492D58"/>
    <w:rsid w:val="0049432A"/>
    <w:rsid w:val="00496A43"/>
    <w:rsid w:val="0049787C"/>
    <w:rsid w:val="004A37A9"/>
    <w:rsid w:val="004A5AD5"/>
    <w:rsid w:val="004B0A7B"/>
    <w:rsid w:val="004B481F"/>
    <w:rsid w:val="004C4B80"/>
    <w:rsid w:val="004C7EFA"/>
    <w:rsid w:val="004D0A88"/>
    <w:rsid w:val="004D4755"/>
    <w:rsid w:val="004D62C4"/>
    <w:rsid w:val="004D7EB0"/>
    <w:rsid w:val="004E74DC"/>
    <w:rsid w:val="004F5DE8"/>
    <w:rsid w:val="00503417"/>
    <w:rsid w:val="00503479"/>
    <w:rsid w:val="00505086"/>
    <w:rsid w:val="005057C6"/>
    <w:rsid w:val="005113F2"/>
    <w:rsid w:val="005132D6"/>
    <w:rsid w:val="0051366F"/>
    <w:rsid w:val="00514A56"/>
    <w:rsid w:val="00520BEB"/>
    <w:rsid w:val="00521590"/>
    <w:rsid w:val="00521852"/>
    <w:rsid w:val="00527BD0"/>
    <w:rsid w:val="00532EE3"/>
    <w:rsid w:val="00533B61"/>
    <w:rsid w:val="00541A13"/>
    <w:rsid w:val="00543741"/>
    <w:rsid w:val="00545EB0"/>
    <w:rsid w:val="00552FC7"/>
    <w:rsid w:val="00553290"/>
    <w:rsid w:val="00554EED"/>
    <w:rsid w:val="005611FF"/>
    <w:rsid w:val="005667D5"/>
    <w:rsid w:val="00567148"/>
    <w:rsid w:val="00571851"/>
    <w:rsid w:val="00572724"/>
    <w:rsid w:val="00572D36"/>
    <w:rsid w:val="005734EB"/>
    <w:rsid w:val="00573B43"/>
    <w:rsid w:val="00574FB6"/>
    <w:rsid w:val="005817ED"/>
    <w:rsid w:val="0058446E"/>
    <w:rsid w:val="00584705"/>
    <w:rsid w:val="00590FBB"/>
    <w:rsid w:val="0059219E"/>
    <w:rsid w:val="0059283B"/>
    <w:rsid w:val="00595CF4"/>
    <w:rsid w:val="00597002"/>
    <w:rsid w:val="005A0B88"/>
    <w:rsid w:val="005A3300"/>
    <w:rsid w:val="005A385A"/>
    <w:rsid w:val="005A3D23"/>
    <w:rsid w:val="005A5022"/>
    <w:rsid w:val="005A790E"/>
    <w:rsid w:val="005B0798"/>
    <w:rsid w:val="005B133B"/>
    <w:rsid w:val="005B17CA"/>
    <w:rsid w:val="005B47A5"/>
    <w:rsid w:val="005B59C6"/>
    <w:rsid w:val="005B7D7A"/>
    <w:rsid w:val="005C08D2"/>
    <w:rsid w:val="005C4C10"/>
    <w:rsid w:val="005D0368"/>
    <w:rsid w:val="005D5798"/>
    <w:rsid w:val="005D5F79"/>
    <w:rsid w:val="005D6D72"/>
    <w:rsid w:val="005D6F23"/>
    <w:rsid w:val="005D7AD2"/>
    <w:rsid w:val="005E0320"/>
    <w:rsid w:val="005E0B88"/>
    <w:rsid w:val="005E2300"/>
    <w:rsid w:val="005E2303"/>
    <w:rsid w:val="005E3AE5"/>
    <w:rsid w:val="005E55CB"/>
    <w:rsid w:val="005E75B6"/>
    <w:rsid w:val="005E7B08"/>
    <w:rsid w:val="005F0EF7"/>
    <w:rsid w:val="005F301D"/>
    <w:rsid w:val="005F4679"/>
    <w:rsid w:val="005F5EEB"/>
    <w:rsid w:val="005F65F9"/>
    <w:rsid w:val="0060259E"/>
    <w:rsid w:val="00611186"/>
    <w:rsid w:val="006160B1"/>
    <w:rsid w:val="00616E6D"/>
    <w:rsid w:val="006202B7"/>
    <w:rsid w:val="00634641"/>
    <w:rsid w:val="00635113"/>
    <w:rsid w:val="00636EEB"/>
    <w:rsid w:val="00637AA5"/>
    <w:rsid w:val="006417A1"/>
    <w:rsid w:val="0064205A"/>
    <w:rsid w:val="00642E78"/>
    <w:rsid w:val="00643A27"/>
    <w:rsid w:val="00645B66"/>
    <w:rsid w:val="00646A68"/>
    <w:rsid w:val="0065058F"/>
    <w:rsid w:val="00651D39"/>
    <w:rsid w:val="006576B4"/>
    <w:rsid w:val="00657E47"/>
    <w:rsid w:val="00662ED5"/>
    <w:rsid w:val="00663E2C"/>
    <w:rsid w:val="00664D20"/>
    <w:rsid w:val="00666E93"/>
    <w:rsid w:val="006764B8"/>
    <w:rsid w:val="00681567"/>
    <w:rsid w:val="00682640"/>
    <w:rsid w:val="00683255"/>
    <w:rsid w:val="00685868"/>
    <w:rsid w:val="00687639"/>
    <w:rsid w:val="00695849"/>
    <w:rsid w:val="006A1392"/>
    <w:rsid w:val="006A3B15"/>
    <w:rsid w:val="006A76CC"/>
    <w:rsid w:val="006A7B4F"/>
    <w:rsid w:val="006B2859"/>
    <w:rsid w:val="006B5BA6"/>
    <w:rsid w:val="006B6398"/>
    <w:rsid w:val="006C2546"/>
    <w:rsid w:val="006C297E"/>
    <w:rsid w:val="006C2E9B"/>
    <w:rsid w:val="006D4535"/>
    <w:rsid w:val="006E4755"/>
    <w:rsid w:val="006E5F19"/>
    <w:rsid w:val="006E6CA5"/>
    <w:rsid w:val="006E745E"/>
    <w:rsid w:val="006F1625"/>
    <w:rsid w:val="006F22AA"/>
    <w:rsid w:val="006F5D67"/>
    <w:rsid w:val="007043C9"/>
    <w:rsid w:val="00704652"/>
    <w:rsid w:val="0071240F"/>
    <w:rsid w:val="00713E5F"/>
    <w:rsid w:val="00715287"/>
    <w:rsid w:val="0071766E"/>
    <w:rsid w:val="00720BB2"/>
    <w:rsid w:val="00721FF3"/>
    <w:rsid w:val="007227B2"/>
    <w:rsid w:val="00724487"/>
    <w:rsid w:val="0072544D"/>
    <w:rsid w:val="007303E0"/>
    <w:rsid w:val="00730C4A"/>
    <w:rsid w:val="00730F97"/>
    <w:rsid w:val="00732717"/>
    <w:rsid w:val="007358E5"/>
    <w:rsid w:val="00735FC7"/>
    <w:rsid w:val="0074149D"/>
    <w:rsid w:val="00750E91"/>
    <w:rsid w:val="0075206B"/>
    <w:rsid w:val="007542AA"/>
    <w:rsid w:val="00757869"/>
    <w:rsid w:val="00760FCB"/>
    <w:rsid w:val="00764081"/>
    <w:rsid w:val="00764F94"/>
    <w:rsid w:val="00775055"/>
    <w:rsid w:val="0077577D"/>
    <w:rsid w:val="00775ACB"/>
    <w:rsid w:val="00776286"/>
    <w:rsid w:val="00782400"/>
    <w:rsid w:val="007832C3"/>
    <w:rsid w:val="00785687"/>
    <w:rsid w:val="007857DA"/>
    <w:rsid w:val="00785F93"/>
    <w:rsid w:val="00790893"/>
    <w:rsid w:val="007913A2"/>
    <w:rsid w:val="00791956"/>
    <w:rsid w:val="00792E0C"/>
    <w:rsid w:val="0079320D"/>
    <w:rsid w:val="00793F2E"/>
    <w:rsid w:val="00795365"/>
    <w:rsid w:val="007A003B"/>
    <w:rsid w:val="007A1E10"/>
    <w:rsid w:val="007A22B5"/>
    <w:rsid w:val="007A3AA7"/>
    <w:rsid w:val="007A41D0"/>
    <w:rsid w:val="007A6647"/>
    <w:rsid w:val="007A7DA2"/>
    <w:rsid w:val="007B1C35"/>
    <w:rsid w:val="007B433D"/>
    <w:rsid w:val="007B4DF8"/>
    <w:rsid w:val="007B54B7"/>
    <w:rsid w:val="007B5B41"/>
    <w:rsid w:val="007B68A9"/>
    <w:rsid w:val="007C49AC"/>
    <w:rsid w:val="007C574B"/>
    <w:rsid w:val="007C60BF"/>
    <w:rsid w:val="007C7906"/>
    <w:rsid w:val="007D0206"/>
    <w:rsid w:val="007D1004"/>
    <w:rsid w:val="007D1370"/>
    <w:rsid w:val="007D6A59"/>
    <w:rsid w:val="007E1DB5"/>
    <w:rsid w:val="007E4309"/>
    <w:rsid w:val="007E5F6E"/>
    <w:rsid w:val="007F0A4A"/>
    <w:rsid w:val="007F0E61"/>
    <w:rsid w:val="007F1DFD"/>
    <w:rsid w:val="007F5A4B"/>
    <w:rsid w:val="008007FA"/>
    <w:rsid w:val="0080373E"/>
    <w:rsid w:val="008047FF"/>
    <w:rsid w:val="008049DA"/>
    <w:rsid w:val="00804D37"/>
    <w:rsid w:val="00806147"/>
    <w:rsid w:val="00807388"/>
    <w:rsid w:val="00810871"/>
    <w:rsid w:val="00811F3E"/>
    <w:rsid w:val="00813999"/>
    <w:rsid w:val="008141BF"/>
    <w:rsid w:val="00814CC9"/>
    <w:rsid w:val="00814D2D"/>
    <w:rsid w:val="0081641A"/>
    <w:rsid w:val="00822C8C"/>
    <w:rsid w:val="0082387A"/>
    <w:rsid w:val="00827066"/>
    <w:rsid w:val="00835627"/>
    <w:rsid w:val="00835C5D"/>
    <w:rsid w:val="00836D2D"/>
    <w:rsid w:val="00837E1E"/>
    <w:rsid w:val="008419C5"/>
    <w:rsid w:val="00845D84"/>
    <w:rsid w:val="00846646"/>
    <w:rsid w:val="00850465"/>
    <w:rsid w:val="00850DA9"/>
    <w:rsid w:val="0085385F"/>
    <w:rsid w:val="008538DD"/>
    <w:rsid w:val="00860A4A"/>
    <w:rsid w:val="0086159E"/>
    <w:rsid w:val="008707F0"/>
    <w:rsid w:val="00870C9B"/>
    <w:rsid w:val="0087775B"/>
    <w:rsid w:val="00877FBD"/>
    <w:rsid w:val="008825A4"/>
    <w:rsid w:val="00882AD0"/>
    <w:rsid w:val="00884B7E"/>
    <w:rsid w:val="00891AB1"/>
    <w:rsid w:val="00892598"/>
    <w:rsid w:val="00893199"/>
    <w:rsid w:val="00893AFD"/>
    <w:rsid w:val="008B13D1"/>
    <w:rsid w:val="008B1968"/>
    <w:rsid w:val="008B354F"/>
    <w:rsid w:val="008B4C8D"/>
    <w:rsid w:val="008B567B"/>
    <w:rsid w:val="008B5B07"/>
    <w:rsid w:val="008B6153"/>
    <w:rsid w:val="008B6722"/>
    <w:rsid w:val="008C05C8"/>
    <w:rsid w:val="008C0622"/>
    <w:rsid w:val="008C113E"/>
    <w:rsid w:val="008C3873"/>
    <w:rsid w:val="008C3977"/>
    <w:rsid w:val="008C73CC"/>
    <w:rsid w:val="008D0A77"/>
    <w:rsid w:val="008D2B85"/>
    <w:rsid w:val="008D3A21"/>
    <w:rsid w:val="008D491B"/>
    <w:rsid w:val="008D5970"/>
    <w:rsid w:val="008E0489"/>
    <w:rsid w:val="008E19C5"/>
    <w:rsid w:val="008E4324"/>
    <w:rsid w:val="008E51BF"/>
    <w:rsid w:val="008F0990"/>
    <w:rsid w:val="008F3A73"/>
    <w:rsid w:val="008F4565"/>
    <w:rsid w:val="008F4A48"/>
    <w:rsid w:val="00902BEB"/>
    <w:rsid w:val="00907F79"/>
    <w:rsid w:val="00912214"/>
    <w:rsid w:val="00913A15"/>
    <w:rsid w:val="009152FA"/>
    <w:rsid w:val="00915C06"/>
    <w:rsid w:val="00920295"/>
    <w:rsid w:val="00920493"/>
    <w:rsid w:val="009212B4"/>
    <w:rsid w:val="0092138A"/>
    <w:rsid w:val="009250C7"/>
    <w:rsid w:val="00926B40"/>
    <w:rsid w:val="0094086B"/>
    <w:rsid w:val="00942C6B"/>
    <w:rsid w:val="00943A58"/>
    <w:rsid w:val="00943BB6"/>
    <w:rsid w:val="009445DA"/>
    <w:rsid w:val="00947276"/>
    <w:rsid w:val="00947CB0"/>
    <w:rsid w:val="009539C8"/>
    <w:rsid w:val="00965925"/>
    <w:rsid w:val="00966B5C"/>
    <w:rsid w:val="009704A2"/>
    <w:rsid w:val="00973E2A"/>
    <w:rsid w:val="009770C8"/>
    <w:rsid w:val="00977F1B"/>
    <w:rsid w:val="00983B1F"/>
    <w:rsid w:val="00993929"/>
    <w:rsid w:val="009947E1"/>
    <w:rsid w:val="00995862"/>
    <w:rsid w:val="00996892"/>
    <w:rsid w:val="009A25C1"/>
    <w:rsid w:val="009A4BDA"/>
    <w:rsid w:val="009A6BAB"/>
    <w:rsid w:val="009B1BBB"/>
    <w:rsid w:val="009B48B9"/>
    <w:rsid w:val="009B69C4"/>
    <w:rsid w:val="009B7DFF"/>
    <w:rsid w:val="009C0141"/>
    <w:rsid w:val="009C0453"/>
    <w:rsid w:val="009C046A"/>
    <w:rsid w:val="009C23FF"/>
    <w:rsid w:val="009C64EF"/>
    <w:rsid w:val="009D0B6D"/>
    <w:rsid w:val="009D38B8"/>
    <w:rsid w:val="009D482C"/>
    <w:rsid w:val="009D5D5E"/>
    <w:rsid w:val="009E21DC"/>
    <w:rsid w:val="009E3428"/>
    <w:rsid w:val="009E4036"/>
    <w:rsid w:val="009E6547"/>
    <w:rsid w:val="009E7C32"/>
    <w:rsid w:val="009F54ED"/>
    <w:rsid w:val="009F7BB9"/>
    <w:rsid w:val="009F7C56"/>
    <w:rsid w:val="009F7E0C"/>
    <w:rsid w:val="00A01B8E"/>
    <w:rsid w:val="00A030E6"/>
    <w:rsid w:val="00A0462A"/>
    <w:rsid w:val="00A063C7"/>
    <w:rsid w:val="00A067FD"/>
    <w:rsid w:val="00A06E1E"/>
    <w:rsid w:val="00A112C2"/>
    <w:rsid w:val="00A1165E"/>
    <w:rsid w:val="00A14A55"/>
    <w:rsid w:val="00A2426A"/>
    <w:rsid w:val="00A30FD3"/>
    <w:rsid w:val="00A313F6"/>
    <w:rsid w:val="00A320D4"/>
    <w:rsid w:val="00A33893"/>
    <w:rsid w:val="00A33C3D"/>
    <w:rsid w:val="00A34C4E"/>
    <w:rsid w:val="00A37F81"/>
    <w:rsid w:val="00A42C7B"/>
    <w:rsid w:val="00A42D90"/>
    <w:rsid w:val="00A44900"/>
    <w:rsid w:val="00A44A44"/>
    <w:rsid w:val="00A458E8"/>
    <w:rsid w:val="00A4696C"/>
    <w:rsid w:val="00A4775E"/>
    <w:rsid w:val="00A52737"/>
    <w:rsid w:val="00A53F5E"/>
    <w:rsid w:val="00A5620E"/>
    <w:rsid w:val="00A60E84"/>
    <w:rsid w:val="00A62615"/>
    <w:rsid w:val="00A634AE"/>
    <w:rsid w:val="00A7461A"/>
    <w:rsid w:val="00A75AF3"/>
    <w:rsid w:val="00A76EB6"/>
    <w:rsid w:val="00A906C2"/>
    <w:rsid w:val="00A91BF1"/>
    <w:rsid w:val="00A9382A"/>
    <w:rsid w:val="00A977D5"/>
    <w:rsid w:val="00AA78B4"/>
    <w:rsid w:val="00AB08F6"/>
    <w:rsid w:val="00AB214C"/>
    <w:rsid w:val="00AC1E05"/>
    <w:rsid w:val="00AC7678"/>
    <w:rsid w:val="00AD16BE"/>
    <w:rsid w:val="00AD1837"/>
    <w:rsid w:val="00AD1FBC"/>
    <w:rsid w:val="00AD512B"/>
    <w:rsid w:val="00AD5E8B"/>
    <w:rsid w:val="00AD6A9B"/>
    <w:rsid w:val="00AE19C4"/>
    <w:rsid w:val="00AE2024"/>
    <w:rsid w:val="00AE32B4"/>
    <w:rsid w:val="00AE51B6"/>
    <w:rsid w:val="00AE5534"/>
    <w:rsid w:val="00AE61D5"/>
    <w:rsid w:val="00AE69F1"/>
    <w:rsid w:val="00AF5120"/>
    <w:rsid w:val="00B01E1E"/>
    <w:rsid w:val="00B036D2"/>
    <w:rsid w:val="00B04434"/>
    <w:rsid w:val="00B0640D"/>
    <w:rsid w:val="00B06DFD"/>
    <w:rsid w:val="00B11701"/>
    <w:rsid w:val="00B11B7A"/>
    <w:rsid w:val="00B120EB"/>
    <w:rsid w:val="00B13C0B"/>
    <w:rsid w:val="00B16219"/>
    <w:rsid w:val="00B1669D"/>
    <w:rsid w:val="00B215D9"/>
    <w:rsid w:val="00B224FE"/>
    <w:rsid w:val="00B22C10"/>
    <w:rsid w:val="00B23FFC"/>
    <w:rsid w:val="00B27389"/>
    <w:rsid w:val="00B315DD"/>
    <w:rsid w:val="00B31931"/>
    <w:rsid w:val="00B31F4E"/>
    <w:rsid w:val="00B3289E"/>
    <w:rsid w:val="00B41C35"/>
    <w:rsid w:val="00B43785"/>
    <w:rsid w:val="00B4616F"/>
    <w:rsid w:val="00B46CFB"/>
    <w:rsid w:val="00B51171"/>
    <w:rsid w:val="00B51F6E"/>
    <w:rsid w:val="00B52409"/>
    <w:rsid w:val="00B53408"/>
    <w:rsid w:val="00B60A9F"/>
    <w:rsid w:val="00B61749"/>
    <w:rsid w:val="00B72DF1"/>
    <w:rsid w:val="00B72DFC"/>
    <w:rsid w:val="00B750BC"/>
    <w:rsid w:val="00B7659B"/>
    <w:rsid w:val="00B80BA7"/>
    <w:rsid w:val="00B8449B"/>
    <w:rsid w:val="00B85F0E"/>
    <w:rsid w:val="00B91F34"/>
    <w:rsid w:val="00B948D3"/>
    <w:rsid w:val="00B949A2"/>
    <w:rsid w:val="00B94DBA"/>
    <w:rsid w:val="00B96A3A"/>
    <w:rsid w:val="00B96F1C"/>
    <w:rsid w:val="00BA76E0"/>
    <w:rsid w:val="00BA7ED8"/>
    <w:rsid w:val="00BB1FAD"/>
    <w:rsid w:val="00BB58E4"/>
    <w:rsid w:val="00BB677B"/>
    <w:rsid w:val="00BB6979"/>
    <w:rsid w:val="00BB6CCA"/>
    <w:rsid w:val="00BC1162"/>
    <w:rsid w:val="00BC3D3D"/>
    <w:rsid w:val="00BC4A2B"/>
    <w:rsid w:val="00BC59F6"/>
    <w:rsid w:val="00BC60B1"/>
    <w:rsid w:val="00BC6704"/>
    <w:rsid w:val="00BD1753"/>
    <w:rsid w:val="00BD2DFA"/>
    <w:rsid w:val="00BD437A"/>
    <w:rsid w:val="00BD43A1"/>
    <w:rsid w:val="00BE1908"/>
    <w:rsid w:val="00BE339C"/>
    <w:rsid w:val="00BE5070"/>
    <w:rsid w:val="00BF1C83"/>
    <w:rsid w:val="00C01005"/>
    <w:rsid w:val="00C017F2"/>
    <w:rsid w:val="00C03422"/>
    <w:rsid w:val="00C04F1F"/>
    <w:rsid w:val="00C134E5"/>
    <w:rsid w:val="00C142CF"/>
    <w:rsid w:val="00C15F29"/>
    <w:rsid w:val="00C16283"/>
    <w:rsid w:val="00C17BFC"/>
    <w:rsid w:val="00C17EC0"/>
    <w:rsid w:val="00C21301"/>
    <w:rsid w:val="00C21600"/>
    <w:rsid w:val="00C219DC"/>
    <w:rsid w:val="00C22588"/>
    <w:rsid w:val="00C24052"/>
    <w:rsid w:val="00C2510D"/>
    <w:rsid w:val="00C264ED"/>
    <w:rsid w:val="00C264EF"/>
    <w:rsid w:val="00C26CD9"/>
    <w:rsid w:val="00C30602"/>
    <w:rsid w:val="00C31BE5"/>
    <w:rsid w:val="00C33DC4"/>
    <w:rsid w:val="00C34123"/>
    <w:rsid w:val="00C351AC"/>
    <w:rsid w:val="00C42C01"/>
    <w:rsid w:val="00C42FB2"/>
    <w:rsid w:val="00C45530"/>
    <w:rsid w:val="00C46117"/>
    <w:rsid w:val="00C4700D"/>
    <w:rsid w:val="00C52D5C"/>
    <w:rsid w:val="00C651E9"/>
    <w:rsid w:val="00C65235"/>
    <w:rsid w:val="00C65CD3"/>
    <w:rsid w:val="00C80A25"/>
    <w:rsid w:val="00C91017"/>
    <w:rsid w:val="00C919F1"/>
    <w:rsid w:val="00C94606"/>
    <w:rsid w:val="00C95B64"/>
    <w:rsid w:val="00CA05DC"/>
    <w:rsid w:val="00CA066D"/>
    <w:rsid w:val="00CA1F15"/>
    <w:rsid w:val="00CA2B4C"/>
    <w:rsid w:val="00CA34B4"/>
    <w:rsid w:val="00CA34F1"/>
    <w:rsid w:val="00CA6C92"/>
    <w:rsid w:val="00CB0B2B"/>
    <w:rsid w:val="00CB2215"/>
    <w:rsid w:val="00CB794A"/>
    <w:rsid w:val="00CC629F"/>
    <w:rsid w:val="00CC7C6D"/>
    <w:rsid w:val="00CD0527"/>
    <w:rsid w:val="00CD0AAB"/>
    <w:rsid w:val="00CD0D89"/>
    <w:rsid w:val="00CD22E9"/>
    <w:rsid w:val="00CD47E7"/>
    <w:rsid w:val="00CE0128"/>
    <w:rsid w:val="00CE06A6"/>
    <w:rsid w:val="00CE0BFC"/>
    <w:rsid w:val="00CE7A9C"/>
    <w:rsid w:val="00CF1D69"/>
    <w:rsid w:val="00D05FB2"/>
    <w:rsid w:val="00D063B8"/>
    <w:rsid w:val="00D14EDE"/>
    <w:rsid w:val="00D16220"/>
    <w:rsid w:val="00D25F56"/>
    <w:rsid w:val="00D26E6D"/>
    <w:rsid w:val="00D30F7C"/>
    <w:rsid w:val="00D42F56"/>
    <w:rsid w:val="00D45226"/>
    <w:rsid w:val="00D45A09"/>
    <w:rsid w:val="00D46D04"/>
    <w:rsid w:val="00D51F3A"/>
    <w:rsid w:val="00D530F5"/>
    <w:rsid w:val="00D55F89"/>
    <w:rsid w:val="00D56416"/>
    <w:rsid w:val="00D627F0"/>
    <w:rsid w:val="00D63059"/>
    <w:rsid w:val="00D632E3"/>
    <w:rsid w:val="00D637A9"/>
    <w:rsid w:val="00D663EE"/>
    <w:rsid w:val="00D67768"/>
    <w:rsid w:val="00D67996"/>
    <w:rsid w:val="00D73368"/>
    <w:rsid w:val="00D73723"/>
    <w:rsid w:val="00D73B97"/>
    <w:rsid w:val="00D81E9D"/>
    <w:rsid w:val="00D8579A"/>
    <w:rsid w:val="00D87353"/>
    <w:rsid w:val="00D87ED2"/>
    <w:rsid w:val="00D902CD"/>
    <w:rsid w:val="00D90F60"/>
    <w:rsid w:val="00D915CA"/>
    <w:rsid w:val="00D91CB7"/>
    <w:rsid w:val="00D92404"/>
    <w:rsid w:val="00DA13F6"/>
    <w:rsid w:val="00DA301C"/>
    <w:rsid w:val="00DA4FF2"/>
    <w:rsid w:val="00DA52AD"/>
    <w:rsid w:val="00DB24E7"/>
    <w:rsid w:val="00DB2825"/>
    <w:rsid w:val="00DB45CC"/>
    <w:rsid w:val="00DB5919"/>
    <w:rsid w:val="00DB5A68"/>
    <w:rsid w:val="00DB5F93"/>
    <w:rsid w:val="00DC2D8B"/>
    <w:rsid w:val="00DC53EC"/>
    <w:rsid w:val="00DC65D8"/>
    <w:rsid w:val="00DC660A"/>
    <w:rsid w:val="00DD0A78"/>
    <w:rsid w:val="00DD1F15"/>
    <w:rsid w:val="00DE0A71"/>
    <w:rsid w:val="00DE4E01"/>
    <w:rsid w:val="00DF1984"/>
    <w:rsid w:val="00DF2D01"/>
    <w:rsid w:val="00DF35F2"/>
    <w:rsid w:val="00DF479F"/>
    <w:rsid w:val="00E12983"/>
    <w:rsid w:val="00E14627"/>
    <w:rsid w:val="00E14CC8"/>
    <w:rsid w:val="00E17668"/>
    <w:rsid w:val="00E17CBD"/>
    <w:rsid w:val="00E20BDF"/>
    <w:rsid w:val="00E20D3A"/>
    <w:rsid w:val="00E22A82"/>
    <w:rsid w:val="00E24D15"/>
    <w:rsid w:val="00E331DD"/>
    <w:rsid w:val="00E34606"/>
    <w:rsid w:val="00E34A14"/>
    <w:rsid w:val="00E35199"/>
    <w:rsid w:val="00E419BA"/>
    <w:rsid w:val="00E420E0"/>
    <w:rsid w:val="00E47FF1"/>
    <w:rsid w:val="00E51B09"/>
    <w:rsid w:val="00E51FC2"/>
    <w:rsid w:val="00E60E6E"/>
    <w:rsid w:val="00E62EF6"/>
    <w:rsid w:val="00E67511"/>
    <w:rsid w:val="00E7090F"/>
    <w:rsid w:val="00E75773"/>
    <w:rsid w:val="00E8538D"/>
    <w:rsid w:val="00E94431"/>
    <w:rsid w:val="00E94435"/>
    <w:rsid w:val="00E94B7D"/>
    <w:rsid w:val="00E95FA1"/>
    <w:rsid w:val="00E971EA"/>
    <w:rsid w:val="00EA3BE1"/>
    <w:rsid w:val="00EA4662"/>
    <w:rsid w:val="00EB44DC"/>
    <w:rsid w:val="00EC0C3A"/>
    <w:rsid w:val="00EC737D"/>
    <w:rsid w:val="00ED0314"/>
    <w:rsid w:val="00ED03C2"/>
    <w:rsid w:val="00ED1F03"/>
    <w:rsid w:val="00EE3446"/>
    <w:rsid w:val="00EE4BB7"/>
    <w:rsid w:val="00EE6571"/>
    <w:rsid w:val="00EE6E70"/>
    <w:rsid w:val="00EE70FA"/>
    <w:rsid w:val="00EE7F57"/>
    <w:rsid w:val="00EF07E9"/>
    <w:rsid w:val="00EF3FF0"/>
    <w:rsid w:val="00EF6D8A"/>
    <w:rsid w:val="00F0099D"/>
    <w:rsid w:val="00F07F6C"/>
    <w:rsid w:val="00F161A5"/>
    <w:rsid w:val="00F21531"/>
    <w:rsid w:val="00F22313"/>
    <w:rsid w:val="00F22C08"/>
    <w:rsid w:val="00F27C74"/>
    <w:rsid w:val="00F30FEC"/>
    <w:rsid w:val="00F328F0"/>
    <w:rsid w:val="00F35413"/>
    <w:rsid w:val="00F37A42"/>
    <w:rsid w:val="00F4225D"/>
    <w:rsid w:val="00F44DC2"/>
    <w:rsid w:val="00F51B06"/>
    <w:rsid w:val="00F52EA9"/>
    <w:rsid w:val="00F5459B"/>
    <w:rsid w:val="00F60301"/>
    <w:rsid w:val="00F620EE"/>
    <w:rsid w:val="00F62D61"/>
    <w:rsid w:val="00F64382"/>
    <w:rsid w:val="00F71C98"/>
    <w:rsid w:val="00F73D6C"/>
    <w:rsid w:val="00F77F2E"/>
    <w:rsid w:val="00F81C14"/>
    <w:rsid w:val="00F839F5"/>
    <w:rsid w:val="00F86DD6"/>
    <w:rsid w:val="00F873FB"/>
    <w:rsid w:val="00F939D1"/>
    <w:rsid w:val="00F94082"/>
    <w:rsid w:val="00F94DB9"/>
    <w:rsid w:val="00FA0809"/>
    <w:rsid w:val="00FA1E0F"/>
    <w:rsid w:val="00FA293F"/>
    <w:rsid w:val="00FA347B"/>
    <w:rsid w:val="00FB2D29"/>
    <w:rsid w:val="00FB2DD4"/>
    <w:rsid w:val="00FB3ABA"/>
    <w:rsid w:val="00FB58A9"/>
    <w:rsid w:val="00FC1E63"/>
    <w:rsid w:val="00FC31F5"/>
    <w:rsid w:val="00FC4166"/>
    <w:rsid w:val="00FC783E"/>
    <w:rsid w:val="00FD08DF"/>
    <w:rsid w:val="00FD0F3C"/>
    <w:rsid w:val="00FD5049"/>
    <w:rsid w:val="00FD5155"/>
    <w:rsid w:val="00FE4A54"/>
    <w:rsid w:val="00FE747B"/>
    <w:rsid w:val="00FF3765"/>
    <w:rsid w:val="00FF3C52"/>
    <w:rsid w:val="00FF3F08"/>
    <w:rsid w:val="00FF4268"/>
    <w:rsid w:val="00FF4E56"/>
    <w:rsid w:val="00FF54F8"/>
    <w:rsid w:val="0CE21EE2"/>
    <w:rsid w:val="0DEF7C50"/>
    <w:rsid w:val="18E5329C"/>
    <w:rsid w:val="19E37A14"/>
    <w:rsid w:val="1E441606"/>
    <w:rsid w:val="1E994EA4"/>
    <w:rsid w:val="27CF2099"/>
    <w:rsid w:val="28841598"/>
    <w:rsid w:val="2B2B0C32"/>
    <w:rsid w:val="2D1130C0"/>
    <w:rsid w:val="31774348"/>
    <w:rsid w:val="333C1A87"/>
    <w:rsid w:val="33762056"/>
    <w:rsid w:val="348A7983"/>
    <w:rsid w:val="34BB397F"/>
    <w:rsid w:val="357D0EA3"/>
    <w:rsid w:val="37452696"/>
    <w:rsid w:val="3DF419A1"/>
    <w:rsid w:val="426232A9"/>
    <w:rsid w:val="495B47A8"/>
    <w:rsid w:val="4B5A7ACF"/>
    <w:rsid w:val="572F0AB8"/>
    <w:rsid w:val="59CD12C7"/>
    <w:rsid w:val="63EA3F79"/>
    <w:rsid w:val="67D574A6"/>
    <w:rsid w:val="684F7512"/>
    <w:rsid w:val="72E12418"/>
    <w:rsid w:val="77FE45C0"/>
    <w:rsid w:val="7C134152"/>
    <w:rsid w:val="7D2A6F4E"/>
    <w:rsid w:val="7F2C12C0"/>
    <w:rsid w:val="A4F1691E"/>
    <w:rsid w:val="BB7D4EFC"/>
    <w:rsid w:val="DE6F0E3D"/>
    <w:rsid w:val="DE779473"/>
    <w:rsid w:val="F3FD7A18"/>
    <w:rsid w:val="FEEE68D7"/>
    <w:rsid w:val="FFFF893F"/>
    <w:rsid w:val="FFFFF8B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Balloon Text"/>
    <w:basedOn w:val="1"/>
    <w:link w:val="13"/>
    <w:qFormat/>
    <w:uiPriority w:val="0"/>
    <w:rPr>
      <w:rFonts w:ascii="宋体"/>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table" w:styleId="9">
    <w:name w:val="Table Grid"/>
    <w:basedOn w:val="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字符"/>
    <w:basedOn w:val="6"/>
    <w:link w:val="5"/>
    <w:qFormat/>
    <w:locked/>
    <w:uiPriority w:val="0"/>
    <w:rPr>
      <w:rFonts w:ascii="Calibri" w:hAnsi="Calibri" w:eastAsia="宋体" w:cs="Calibri"/>
      <w:kern w:val="2"/>
      <w:sz w:val="18"/>
      <w:szCs w:val="18"/>
      <w:lang w:val="en-US" w:eastAsia="zh-CN" w:bidi="ar-SA"/>
    </w:rPr>
  </w:style>
  <w:style w:type="character" w:customStyle="1" w:styleId="11">
    <w:name w:val="页脚字符"/>
    <w:basedOn w:val="6"/>
    <w:link w:val="4"/>
    <w:qFormat/>
    <w:locked/>
    <w:uiPriority w:val="0"/>
    <w:rPr>
      <w:rFonts w:ascii="Calibri" w:hAnsi="Calibri" w:eastAsia="宋体" w:cs="Calibri"/>
      <w:kern w:val="2"/>
      <w:sz w:val="18"/>
      <w:szCs w:val="18"/>
      <w:lang w:val="en-US" w:eastAsia="zh-CN" w:bidi="ar-SA"/>
    </w:rPr>
  </w:style>
  <w:style w:type="paragraph" w:customStyle="1" w:styleId="12">
    <w:name w:val="List Paragraph"/>
    <w:basedOn w:val="1"/>
    <w:qFormat/>
    <w:uiPriority w:val="99"/>
    <w:pPr>
      <w:ind w:firstLine="420" w:firstLineChars="200"/>
    </w:pPr>
  </w:style>
  <w:style w:type="character" w:customStyle="1" w:styleId="13">
    <w:name w:val="批注框文本字符"/>
    <w:basedOn w:val="6"/>
    <w:link w:val="3"/>
    <w:qFormat/>
    <w:uiPriority w:val="0"/>
    <w:rPr>
      <w:rFonts w:ascii="宋体"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230</Words>
  <Characters>1315</Characters>
  <Lines>10</Lines>
  <Paragraphs>3</Paragraphs>
  <TotalTime>0</TotalTime>
  <ScaleCrop>false</ScaleCrop>
  <LinksUpToDate>false</LinksUpToDate>
  <CharactersWithSpaces>1542</CharactersWithSpaces>
  <Application>WPS Office_3.6.2.5883_F1E327BC-269C-435d-A152-05C5408002CA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2021-03-27T14:47:00Z</dcterms:created>
  <dc:creator>韩文锋</dc:creator>
  <cp:lastModifiedBy>xinshiyun</cp:lastModifiedBy>
  <cp:lastPrinted>2021-08-26T23:48:00Z</cp:lastPrinted>
  <dcterms:modified xsi:type="dcterms:W3CDTF">2022-03-11T22:47:12Z</dcterms:modified>
  <dc:title>广东省佛山市顺德区人民法院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y fmtid="{D5CDD505-2E9C-101B-9397-08002B2CF9AE}" pid="3" name="ICV">
    <vt:lpwstr>2AE41CF49B834054B1527A1921E75E30</vt:lpwstr>
  </property>
</Properties>
</file>