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67BEA" w14:textId="77777777" w:rsidR="00D24326" w:rsidRDefault="00000000">
      <w:pPr>
        <w:pStyle w:val="1"/>
        <w:spacing w:beforeLines="0" w:before="0" w:afterLines="0" w:after="240" w:line="240" w:lineRule="auto"/>
        <w:rPr>
          <w:rFonts w:ascii="方正小标宋简体" w:eastAsia="方正小标宋简体" w:hAnsi="方正小标宋简体" w:hint="eastAsia"/>
          <w:lang w:eastAsia="zh-CN"/>
        </w:rPr>
      </w:pPr>
      <w:r>
        <w:rPr>
          <w:rFonts w:ascii="方正小标宋简体" w:eastAsia="方正小标宋简体" w:hAnsi="方正小标宋简体" w:hint="eastAsia"/>
          <w:lang w:eastAsia="zh-CN"/>
        </w:rPr>
        <w:t>东易日盛家居装饰集团股份有限公司预重整</w:t>
      </w:r>
      <w:r>
        <w:rPr>
          <w:rFonts w:ascii="方正小标宋简体" w:eastAsia="方正小标宋简体" w:hAnsi="方正小标宋简体"/>
          <w:lang w:eastAsia="zh-CN"/>
        </w:rPr>
        <w:br/>
      </w:r>
      <w:r>
        <w:rPr>
          <w:rFonts w:ascii="方正小标宋简体" w:eastAsia="方正小标宋简体" w:hAnsi="方正小标宋简体" w:hint="eastAsia"/>
          <w:lang w:eastAsia="zh-CN"/>
        </w:rPr>
        <w:t>债权申报公告</w:t>
      </w:r>
    </w:p>
    <w:p w14:paraId="1A1C8E89" w14:textId="77777777" w:rsidR="00D24326" w:rsidRDefault="00000000">
      <w:pPr>
        <w:pStyle w:val="a5"/>
        <w:spacing w:beforeLines="0" w:before="0" w:afterLines="0" w:after="0" w:line="580" w:lineRule="exact"/>
        <w:ind w:firstLine="588"/>
        <w:rPr>
          <w:rFonts w:ascii="Times New Roman" w:eastAsia="仿宋" w:hAnsi="Times New Roman" w:cs="仿宋_GB2312"/>
          <w:spacing w:val="-3"/>
          <w:sz w:val="30"/>
          <w:szCs w:val="30"/>
          <w:lang w:eastAsia="zh-CN"/>
        </w:rPr>
      </w:pPr>
      <w:r>
        <w:rPr>
          <w:rFonts w:ascii="Times New Roman" w:eastAsia="仿宋" w:hAnsi="Times New Roman" w:cs="仿宋_GB2312"/>
          <w:spacing w:val="-3"/>
          <w:sz w:val="30"/>
          <w:szCs w:val="30"/>
          <w:lang w:eastAsia="zh-CN"/>
        </w:rPr>
        <w:t>2024</w:t>
      </w:r>
      <w:r>
        <w:rPr>
          <w:rFonts w:ascii="Times New Roman" w:eastAsia="仿宋" w:hAnsi="Times New Roman" w:cs="仿宋_GB2312"/>
          <w:spacing w:val="-3"/>
          <w:sz w:val="30"/>
          <w:szCs w:val="30"/>
          <w:lang w:eastAsia="zh-CN"/>
        </w:rPr>
        <w:t>年</w:t>
      </w:r>
      <w:r>
        <w:rPr>
          <w:rFonts w:ascii="Times New Roman" w:eastAsia="仿宋" w:hAnsi="Times New Roman" w:cs="仿宋_GB2312" w:hint="eastAsia"/>
          <w:spacing w:val="-3"/>
          <w:sz w:val="30"/>
          <w:szCs w:val="30"/>
          <w:lang w:eastAsia="zh-CN"/>
        </w:rPr>
        <w:t>10</w:t>
      </w:r>
      <w:r>
        <w:rPr>
          <w:rFonts w:ascii="Times New Roman" w:eastAsia="仿宋" w:hAnsi="Times New Roman" w:cs="仿宋_GB2312" w:hint="eastAsia"/>
          <w:spacing w:val="-3"/>
          <w:sz w:val="30"/>
          <w:szCs w:val="30"/>
          <w:lang w:eastAsia="zh-CN"/>
        </w:rPr>
        <w:t>月</w:t>
      </w:r>
      <w:r>
        <w:rPr>
          <w:rFonts w:ascii="Times New Roman" w:eastAsia="仿宋" w:hAnsi="Times New Roman" w:cs="仿宋_GB2312" w:hint="eastAsia"/>
          <w:spacing w:val="-3"/>
          <w:sz w:val="30"/>
          <w:szCs w:val="30"/>
          <w:lang w:eastAsia="zh-CN"/>
        </w:rPr>
        <w:t>18</w:t>
      </w:r>
      <w:r>
        <w:rPr>
          <w:rFonts w:ascii="Times New Roman" w:eastAsia="仿宋" w:hAnsi="Times New Roman" w:cs="仿宋_GB2312"/>
          <w:spacing w:val="-3"/>
          <w:sz w:val="30"/>
          <w:szCs w:val="30"/>
          <w:lang w:eastAsia="zh-CN"/>
        </w:rPr>
        <w:t>日，</w:t>
      </w:r>
      <w:r>
        <w:rPr>
          <w:rFonts w:ascii="Times New Roman" w:eastAsia="仿宋" w:hAnsi="Times New Roman" w:cs="仿宋_GB2312" w:hint="eastAsia"/>
          <w:spacing w:val="-3"/>
          <w:sz w:val="30"/>
          <w:szCs w:val="30"/>
          <w:lang w:eastAsia="zh-CN"/>
        </w:rPr>
        <w:t>北京市第一中级人民法院</w:t>
      </w:r>
      <w:r>
        <w:rPr>
          <w:rFonts w:ascii="Times New Roman" w:eastAsia="仿宋" w:hAnsi="Times New Roman" w:cs="仿宋_GB2312"/>
          <w:spacing w:val="-3"/>
          <w:sz w:val="30"/>
          <w:szCs w:val="30"/>
          <w:lang w:eastAsia="zh-CN"/>
        </w:rPr>
        <w:t>（以下简称</w:t>
      </w:r>
      <w:r>
        <w:rPr>
          <w:rFonts w:ascii="Times New Roman" w:eastAsia="仿宋" w:hAnsi="Times New Roman" w:cs="仿宋_GB2312"/>
          <w:spacing w:val="-3"/>
          <w:sz w:val="30"/>
          <w:szCs w:val="30"/>
          <w:lang w:eastAsia="zh-CN"/>
        </w:rPr>
        <w:t>“</w:t>
      </w:r>
      <w:r>
        <w:rPr>
          <w:rFonts w:ascii="Times New Roman" w:eastAsia="仿宋" w:hAnsi="Times New Roman" w:cs="仿宋_GB2312" w:hint="eastAsia"/>
          <w:spacing w:val="-3"/>
          <w:sz w:val="30"/>
          <w:szCs w:val="30"/>
          <w:lang w:eastAsia="zh-CN"/>
        </w:rPr>
        <w:t>北京一中院</w:t>
      </w:r>
      <w:r>
        <w:rPr>
          <w:rFonts w:ascii="Times New Roman" w:eastAsia="仿宋" w:hAnsi="Times New Roman" w:cs="仿宋_GB2312"/>
          <w:spacing w:val="-3"/>
          <w:sz w:val="30"/>
          <w:szCs w:val="30"/>
          <w:lang w:eastAsia="zh-CN"/>
        </w:rPr>
        <w:t>”</w:t>
      </w:r>
      <w:r>
        <w:rPr>
          <w:rFonts w:ascii="Times New Roman" w:eastAsia="仿宋" w:hAnsi="Times New Roman" w:cs="仿宋_GB2312"/>
          <w:spacing w:val="-3"/>
          <w:sz w:val="30"/>
          <w:szCs w:val="30"/>
          <w:lang w:eastAsia="zh-CN"/>
        </w:rPr>
        <w:t>或</w:t>
      </w:r>
      <w:r>
        <w:rPr>
          <w:rFonts w:ascii="Times New Roman" w:eastAsia="仿宋" w:hAnsi="Times New Roman" w:cs="仿宋_GB2312"/>
          <w:spacing w:val="-3"/>
          <w:sz w:val="30"/>
          <w:szCs w:val="30"/>
          <w:lang w:eastAsia="zh-CN"/>
        </w:rPr>
        <w:t>“</w:t>
      </w:r>
      <w:r>
        <w:rPr>
          <w:rFonts w:ascii="Times New Roman" w:eastAsia="仿宋" w:hAnsi="Times New Roman" w:cs="仿宋_GB2312"/>
          <w:spacing w:val="-3"/>
          <w:sz w:val="30"/>
          <w:szCs w:val="30"/>
          <w:lang w:eastAsia="zh-CN"/>
        </w:rPr>
        <w:t>法院</w:t>
      </w:r>
      <w:r>
        <w:rPr>
          <w:rFonts w:ascii="Times New Roman" w:eastAsia="仿宋" w:hAnsi="Times New Roman" w:cs="仿宋_GB2312"/>
          <w:spacing w:val="-3"/>
          <w:sz w:val="30"/>
          <w:szCs w:val="30"/>
          <w:lang w:eastAsia="zh-CN"/>
        </w:rPr>
        <w:t>”</w:t>
      </w:r>
      <w:r>
        <w:rPr>
          <w:rFonts w:ascii="Times New Roman" w:eastAsia="仿宋" w:hAnsi="Times New Roman" w:cs="仿宋_GB2312"/>
          <w:spacing w:val="-3"/>
          <w:sz w:val="30"/>
          <w:szCs w:val="30"/>
          <w:lang w:eastAsia="zh-CN"/>
        </w:rPr>
        <w:t>）</w:t>
      </w:r>
      <w:proofErr w:type="gramStart"/>
      <w:r>
        <w:rPr>
          <w:rFonts w:ascii="Times New Roman" w:eastAsia="仿宋" w:hAnsi="Times New Roman" w:cs="仿宋_GB2312"/>
          <w:spacing w:val="-3"/>
          <w:sz w:val="30"/>
          <w:szCs w:val="30"/>
          <w:lang w:eastAsia="zh-CN"/>
        </w:rPr>
        <w:t>作出</w:t>
      </w:r>
      <w:proofErr w:type="gramEnd"/>
      <w:r>
        <w:rPr>
          <w:rFonts w:ascii="Times New Roman" w:eastAsia="仿宋" w:hAnsi="Times New Roman" w:cs="仿宋_GB2312" w:hint="eastAsia"/>
          <w:spacing w:val="-3"/>
          <w:sz w:val="30"/>
          <w:szCs w:val="30"/>
          <w:lang w:eastAsia="zh-CN"/>
        </w:rPr>
        <w:t>（</w:t>
      </w:r>
      <w:r>
        <w:rPr>
          <w:rFonts w:ascii="Times New Roman" w:eastAsia="仿宋" w:hAnsi="Times New Roman" w:cs="仿宋_GB2312" w:hint="eastAsia"/>
          <w:spacing w:val="-3"/>
          <w:sz w:val="30"/>
          <w:szCs w:val="30"/>
          <w:lang w:eastAsia="zh-CN"/>
        </w:rPr>
        <w:t>2024</w:t>
      </w:r>
      <w:r>
        <w:rPr>
          <w:rFonts w:ascii="Times New Roman" w:eastAsia="仿宋" w:hAnsi="Times New Roman" w:cs="仿宋_GB2312" w:hint="eastAsia"/>
          <w:spacing w:val="-3"/>
          <w:sz w:val="30"/>
          <w:szCs w:val="30"/>
          <w:lang w:eastAsia="zh-CN"/>
        </w:rPr>
        <w:t>）京</w:t>
      </w:r>
      <w:r>
        <w:rPr>
          <w:rFonts w:ascii="Times New Roman" w:eastAsia="仿宋" w:hAnsi="Times New Roman" w:cs="仿宋_GB2312" w:hint="eastAsia"/>
          <w:spacing w:val="-3"/>
          <w:sz w:val="30"/>
          <w:szCs w:val="30"/>
          <w:lang w:eastAsia="zh-CN"/>
        </w:rPr>
        <w:t>01</w:t>
      </w:r>
      <w:proofErr w:type="gramStart"/>
      <w:r>
        <w:rPr>
          <w:rFonts w:ascii="Times New Roman" w:eastAsia="仿宋" w:hAnsi="Times New Roman" w:cs="仿宋_GB2312" w:hint="eastAsia"/>
          <w:spacing w:val="-3"/>
          <w:sz w:val="30"/>
          <w:szCs w:val="30"/>
          <w:lang w:eastAsia="zh-CN"/>
        </w:rPr>
        <w:t>破申</w:t>
      </w:r>
      <w:r>
        <w:rPr>
          <w:rFonts w:ascii="Times New Roman" w:eastAsia="仿宋" w:hAnsi="Times New Roman" w:cs="仿宋_GB2312" w:hint="eastAsia"/>
          <w:spacing w:val="-3"/>
          <w:sz w:val="30"/>
          <w:szCs w:val="30"/>
          <w:lang w:eastAsia="zh-CN"/>
        </w:rPr>
        <w:t>1179</w:t>
      </w:r>
      <w:r>
        <w:rPr>
          <w:rFonts w:ascii="Times New Roman" w:eastAsia="仿宋" w:hAnsi="Times New Roman" w:cs="仿宋_GB2312" w:hint="eastAsia"/>
          <w:spacing w:val="-3"/>
          <w:sz w:val="30"/>
          <w:szCs w:val="30"/>
          <w:lang w:eastAsia="zh-CN"/>
        </w:rPr>
        <w:t>号</w:t>
      </w:r>
      <w:proofErr w:type="gramEnd"/>
      <w:r>
        <w:rPr>
          <w:rFonts w:ascii="Times New Roman" w:eastAsia="仿宋" w:hAnsi="Times New Roman" w:cs="仿宋_GB2312"/>
          <w:spacing w:val="-3"/>
          <w:sz w:val="30"/>
          <w:szCs w:val="30"/>
          <w:lang w:eastAsia="zh-CN"/>
        </w:rPr>
        <w:t>《决定书》，决定启动</w:t>
      </w:r>
      <w:r>
        <w:rPr>
          <w:rFonts w:ascii="Times New Roman" w:eastAsia="仿宋" w:hAnsi="Times New Roman" w:cs="仿宋_GB2312" w:hint="eastAsia"/>
          <w:spacing w:val="-3"/>
          <w:sz w:val="30"/>
          <w:szCs w:val="30"/>
          <w:lang w:eastAsia="zh-CN"/>
        </w:rPr>
        <w:t>东易日盛家居装饰集团股份有限公司</w:t>
      </w:r>
      <w:r>
        <w:rPr>
          <w:rFonts w:ascii="Times New Roman" w:eastAsia="仿宋" w:hAnsi="Times New Roman" w:cs="仿宋_GB2312"/>
          <w:spacing w:val="-3"/>
          <w:sz w:val="30"/>
          <w:szCs w:val="30"/>
          <w:lang w:eastAsia="zh-CN"/>
        </w:rPr>
        <w:t>（以下简称</w:t>
      </w:r>
      <w:r>
        <w:rPr>
          <w:rFonts w:ascii="Times New Roman" w:eastAsia="仿宋" w:hAnsi="Times New Roman" w:cs="仿宋_GB2312"/>
          <w:spacing w:val="-3"/>
          <w:sz w:val="30"/>
          <w:szCs w:val="30"/>
          <w:lang w:eastAsia="zh-CN"/>
        </w:rPr>
        <w:t>“</w:t>
      </w:r>
      <w:r>
        <w:rPr>
          <w:rFonts w:ascii="Times New Roman" w:eastAsia="仿宋" w:hAnsi="Times New Roman" w:cs="仿宋_GB2312" w:hint="eastAsia"/>
          <w:spacing w:val="-3"/>
          <w:sz w:val="30"/>
          <w:szCs w:val="30"/>
          <w:lang w:eastAsia="zh-CN"/>
        </w:rPr>
        <w:t>东易日盛公司</w:t>
      </w:r>
      <w:r>
        <w:rPr>
          <w:rFonts w:ascii="Times New Roman" w:eastAsia="仿宋" w:hAnsi="Times New Roman" w:cs="仿宋_GB2312"/>
          <w:spacing w:val="-3"/>
          <w:sz w:val="30"/>
          <w:szCs w:val="30"/>
          <w:lang w:eastAsia="zh-CN"/>
        </w:rPr>
        <w:t>”</w:t>
      </w:r>
      <w:r>
        <w:rPr>
          <w:rFonts w:ascii="Times New Roman" w:eastAsia="仿宋" w:hAnsi="Times New Roman" w:cs="仿宋_GB2312"/>
          <w:spacing w:val="-3"/>
          <w:sz w:val="30"/>
          <w:szCs w:val="30"/>
          <w:lang w:eastAsia="zh-CN"/>
        </w:rPr>
        <w:t>）预重整程序</w:t>
      </w:r>
      <w:r>
        <w:rPr>
          <w:rFonts w:ascii="Times New Roman" w:eastAsia="仿宋" w:hAnsi="Times New Roman" w:cs="仿宋_GB2312" w:hint="eastAsia"/>
          <w:spacing w:val="-3"/>
          <w:sz w:val="30"/>
          <w:szCs w:val="30"/>
          <w:lang w:eastAsia="zh-CN"/>
        </w:rPr>
        <w:t>。</w:t>
      </w:r>
      <w:r>
        <w:rPr>
          <w:rFonts w:ascii="Times New Roman" w:eastAsia="仿宋" w:hAnsi="Times New Roman" w:cs="仿宋_GB2312" w:hint="eastAsia"/>
          <w:spacing w:val="-3"/>
          <w:sz w:val="30"/>
          <w:szCs w:val="30"/>
          <w:lang w:eastAsia="zh-CN"/>
        </w:rPr>
        <w:t>2024</w:t>
      </w:r>
      <w:r>
        <w:rPr>
          <w:rFonts w:ascii="Times New Roman" w:eastAsia="仿宋" w:hAnsi="Times New Roman" w:cs="仿宋_GB2312" w:hint="eastAsia"/>
          <w:spacing w:val="-3"/>
          <w:sz w:val="30"/>
          <w:szCs w:val="30"/>
          <w:lang w:eastAsia="zh-CN"/>
        </w:rPr>
        <w:t>年</w:t>
      </w:r>
      <w:r>
        <w:rPr>
          <w:rFonts w:ascii="Times New Roman" w:eastAsia="仿宋" w:hAnsi="Times New Roman" w:cs="仿宋_GB2312" w:hint="eastAsia"/>
          <w:spacing w:val="-3"/>
          <w:sz w:val="30"/>
          <w:szCs w:val="30"/>
          <w:lang w:eastAsia="zh-CN"/>
        </w:rPr>
        <w:t>11</w:t>
      </w:r>
      <w:r>
        <w:rPr>
          <w:rFonts w:ascii="Times New Roman" w:eastAsia="仿宋" w:hAnsi="Times New Roman" w:cs="仿宋_GB2312" w:hint="eastAsia"/>
          <w:spacing w:val="-3"/>
          <w:sz w:val="30"/>
          <w:szCs w:val="30"/>
          <w:lang w:eastAsia="zh-CN"/>
        </w:rPr>
        <w:t>月</w:t>
      </w:r>
      <w:r>
        <w:rPr>
          <w:rFonts w:ascii="Times New Roman" w:eastAsia="仿宋" w:hAnsi="Times New Roman" w:cs="仿宋_GB2312" w:hint="eastAsia"/>
          <w:spacing w:val="-3"/>
          <w:sz w:val="30"/>
          <w:szCs w:val="30"/>
          <w:lang w:eastAsia="zh-CN"/>
        </w:rPr>
        <w:t>5</w:t>
      </w:r>
      <w:r>
        <w:rPr>
          <w:rFonts w:ascii="Times New Roman" w:eastAsia="仿宋" w:hAnsi="Times New Roman" w:cs="仿宋_GB2312" w:hint="eastAsia"/>
          <w:spacing w:val="-3"/>
          <w:sz w:val="30"/>
          <w:szCs w:val="30"/>
          <w:lang w:eastAsia="zh-CN"/>
        </w:rPr>
        <w:t>日，北京一中院指定北京大成律师事务所担任东易日盛公司预重整阶段的临时管理人（以下简称“临时管理人”）。</w:t>
      </w:r>
    </w:p>
    <w:p w14:paraId="5494DF08" w14:textId="28A6521D" w:rsidR="00D24326" w:rsidRDefault="00000000">
      <w:pPr>
        <w:pStyle w:val="a5"/>
        <w:spacing w:before="156" w:after="156"/>
        <w:ind w:firstLine="480"/>
        <w:rPr>
          <w:rFonts w:ascii="Times New Roman" w:eastAsia="仿宋" w:hAnsi="Times New Roman"/>
          <w:sz w:val="30"/>
          <w:szCs w:val="30"/>
          <w:lang w:eastAsia="zh-CN"/>
        </w:rPr>
      </w:pPr>
      <w:r>
        <w:rPr>
          <w:noProof/>
        </w:rPr>
        <w:drawing>
          <wp:anchor distT="0" distB="0" distL="114300" distR="114300" simplePos="0" relativeHeight="251659264" behindDoc="1" locked="0" layoutInCell="1" allowOverlap="0" wp14:anchorId="2B448E39" wp14:editId="0010DCCE">
            <wp:simplePos x="0" y="0"/>
            <wp:positionH relativeFrom="margin">
              <wp:posOffset>1678305</wp:posOffset>
            </wp:positionH>
            <wp:positionV relativeFrom="paragraph">
              <wp:posOffset>2723515</wp:posOffset>
            </wp:positionV>
            <wp:extent cx="2019300" cy="2152650"/>
            <wp:effectExtent l="0" t="0" r="0" b="0"/>
            <wp:wrapTopAndBottom/>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019300" cy="2152650"/>
                    </a:xfrm>
                    <a:prstGeom prst="rect">
                      <a:avLst/>
                    </a:prstGeom>
                    <a:noFill/>
                    <a:ln>
                      <a:noFill/>
                    </a:ln>
                  </pic:spPr>
                </pic:pic>
              </a:graphicData>
            </a:graphic>
          </wp:anchor>
        </w:drawing>
      </w:r>
      <w:r>
        <w:rPr>
          <w:rFonts w:ascii="Times New Roman" w:eastAsia="仿宋" w:hAnsi="Times New Roman" w:cs="仿宋_GB2312" w:hint="eastAsia"/>
          <w:spacing w:val="-3"/>
          <w:sz w:val="30"/>
          <w:szCs w:val="30"/>
          <w:lang w:eastAsia="zh-CN"/>
        </w:rPr>
        <w:t>东易日盛公司</w:t>
      </w:r>
      <w:r>
        <w:rPr>
          <w:rFonts w:ascii="Times New Roman" w:eastAsia="仿宋" w:hAnsi="Times New Roman"/>
          <w:sz w:val="30"/>
          <w:szCs w:val="30"/>
          <w:lang w:eastAsia="zh-CN"/>
        </w:rPr>
        <w:t>的债权人</w:t>
      </w:r>
      <w:r>
        <w:rPr>
          <w:rFonts w:ascii="Times New Roman" w:eastAsia="仿宋" w:hAnsi="Times New Roman" w:hint="eastAsia"/>
          <w:sz w:val="30"/>
          <w:szCs w:val="30"/>
          <w:lang w:eastAsia="zh-CN"/>
        </w:rPr>
        <w:t>请</w:t>
      </w:r>
      <w:r>
        <w:rPr>
          <w:rFonts w:ascii="Times New Roman" w:eastAsia="仿宋" w:hAnsi="Times New Roman"/>
          <w:sz w:val="30"/>
          <w:szCs w:val="30"/>
          <w:lang w:eastAsia="zh-CN"/>
        </w:rPr>
        <w:t>于</w:t>
      </w:r>
      <w:r>
        <w:rPr>
          <w:rFonts w:ascii="Times New Roman" w:eastAsia="仿宋" w:hAnsi="Times New Roman" w:hint="eastAsia"/>
          <w:sz w:val="30"/>
          <w:szCs w:val="30"/>
          <w:lang w:eastAsia="zh-CN"/>
        </w:rPr>
        <w:t>2024</w:t>
      </w:r>
      <w:r>
        <w:rPr>
          <w:rFonts w:ascii="Times New Roman" w:eastAsia="仿宋" w:hAnsi="Times New Roman"/>
          <w:sz w:val="30"/>
          <w:szCs w:val="30"/>
          <w:lang w:eastAsia="zh-CN"/>
        </w:rPr>
        <w:t>年</w:t>
      </w:r>
      <w:r>
        <w:rPr>
          <w:rFonts w:ascii="Times New Roman" w:eastAsia="仿宋" w:hAnsi="Times New Roman" w:hint="eastAsia"/>
          <w:sz w:val="30"/>
          <w:szCs w:val="30"/>
          <w:lang w:eastAsia="zh-CN"/>
        </w:rPr>
        <w:t>12</w:t>
      </w:r>
      <w:r>
        <w:rPr>
          <w:rFonts w:ascii="Times New Roman" w:eastAsia="仿宋" w:hAnsi="Times New Roman"/>
          <w:sz w:val="30"/>
          <w:szCs w:val="30"/>
          <w:lang w:eastAsia="zh-CN"/>
        </w:rPr>
        <w:t>月</w:t>
      </w:r>
      <w:r>
        <w:rPr>
          <w:rFonts w:ascii="Times New Roman" w:eastAsia="仿宋" w:hAnsi="Times New Roman" w:hint="eastAsia"/>
          <w:sz w:val="30"/>
          <w:szCs w:val="30"/>
          <w:lang w:eastAsia="zh-CN"/>
        </w:rPr>
        <w:t>20</w:t>
      </w:r>
      <w:r>
        <w:rPr>
          <w:rFonts w:ascii="Times New Roman" w:eastAsia="仿宋" w:hAnsi="Times New Roman"/>
          <w:sz w:val="30"/>
          <w:szCs w:val="30"/>
          <w:lang w:eastAsia="zh-CN"/>
        </w:rPr>
        <w:t>日前向</w:t>
      </w:r>
      <w:r>
        <w:rPr>
          <w:rFonts w:ascii="Times New Roman" w:eastAsia="仿宋" w:hAnsi="Times New Roman" w:cs="仿宋_GB2312" w:hint="eastAsia"/>
          <w:spacing w:val="-3"/>
          <w:sz w:val="30"/>
          <w:szCs w:val="30"/>
          <w:lang w:eastAsia="zh-CN"/>
        </w:rPr>
        <w:t>临时</w:t>
      </w:r>
      <w:r>
        <w:rPr>
          <w:rFonts w:ascii="Times New Roman" w:eastAsia="仿宋" w:hAnsi="Times New Roman"/>
          <w:sz w:val="30"/>
          <w:szCs w:val="30"/>
          <w:lang w:eastAsia="zh-CN"/>
        </w:rPr>
        <w:t>管理人申报债权，书面说明债权数额、有无财产担保及是否属于连带债权，并提供相关证据材料。</w:t>
      </w:r>
      <w:r>
        <w:rPr>
          <w:rFonts w:ascii="Times New Roman" w:eastAsia="仿宋" w:hAnsi="Times New Roman" w:hint="eastAsia"/>
          <w:b/>
          <w:bCs/>
          <w:sz w:val="30"/>
          <w:szCs w:val="30"/>
          <w:lang w:eastAsia="zh-CN"/>
        </w:rPr>
        <w:t>本案采用网络债权申报方式，</w:t>
      </w:r>
      <w:r>
        <w:rPr>
          <w:rFonts w:ascii="Times New Roman" w:eastAsia="仿宋" w:hAnsi="Times New Roman" w:hint="eastAsia"/>
          <w:sz w:val="30"/>
          <w:szCs w:val="30"/>
          <w:lang w:eastAsia="zh-CN"/>
        </w:rPr>
        <w:t>债权人需通过扫描下方二</w:t>
      </w:r>
      <w:proofErr w:type="gramStart"/>
      <w:r>
        <w:rPr>
          <w:rFonts w:ascii="Times New Roman" w:eastAsia="仿宋" w:hAnsi="Times New Roman" w:hint="eastAsia"/>
          <w:sz w:val="30"/>
          <w:szCs w:val="30"/>
          <w:lang w:eastAsia="zh-CN"/>
        </w:rPr>
        <w:t>维码进入</w:t>
      </w:r>
      <w:proofErr w:type="gramEnd"/>
      <w:r>
        <w:rPr>
          <w:rFonts w:ascii="Times New Roman" w:eastAsia="仿宋" w:hAnsi="Times New Roman" w:hint="eastAsia"/>
          <w:sz w:val="30"/>
          <w:szCs w:val="30"/>
          <w:lang w:eastAsia="zh-CN"/>
        </w:rPr>
        <w:t>债权申报系统，也可以通过浏览器登录申报系统（网址：</w:t>
      </w:r>
      <w:r>
        <w:rPr>
          <w:rFonts w:ascii="Times New Roman" w:eastAsia="仿宋" w:hAnsi="Times New Roman"/>
          <w:sz w:val="30"/>
          <w:szCs w:val="30"/>
          <w:lang w:eastAsia="zh-CN"/>
        </w:rPr>
        <w:t>https://zqsb.jiulaw.cn/v2/virtual/4395073</w:t>
      </w:r>
      <w:r>
        <w:rPr>
          <w:rFonts w:ascii="Times New Roman" w:eastAsia="仿宋" w:hAnsi="Times New Roman" w:hint="eastAsia"/>
          <w:sz w:val="30"/>
          <w:szCs w:val="30"/>
          <w:lang w:eastAsia="zh-CN"/>
        </w:rPr>
        <w:t>）进行申报。债权人登录债权申报系统后应按照系统流程和要求填写债权申报信息并上传证据材料等资料完成债权申报。</w:t>
      </w:r>
    </w:p>
    <w:p w14:paraId="6E3D17C3" w14:textId="77777777" w:rsidR="00D24326" w:rsidRDefault="00000000">
      <w:pPr>
        <w:pStyle w:val="a5"/>
        <w:spacing w:beforeLines="0" w:before="0" w:afterLines="0" w:after="0" w:line="580" w:lineRule="exact"/>
        <w:ind w:firstLine="600"/>
        <w:rPr>
          <w:rFonts w:ascii="Times New Roman" w:eastAsia="仿宋" w:hAnsi="Times New Roman"/>
          <w:sz w:val="30"/>
          <w:szCs w:val="30"/>
          <w:lang w:eastAsia="zh-CN"/>
        </w:rPr>
      </w:pPr>
      <w:r>
        <w:rPr>
          <w:rFonts w:ascii="Times New Roman" w:eastAsia="仿宋" w:hAnsi="Times New Roman"/>
          <w:sz w:val="30"/>
          <w:szCs w:val="30"/>
          <w:lang w:eastAsia="zh-CN"/>
        </w:rPr>
        <w:t>如后期</w:t>
      </w:r>
      <w:r>
        <w:rPr>
          <w:rFonts w:ascii="Times New Roman" w:eastAsia="仿宋" w:hAnsi="Times New Roman" w:hint="eastAsia"/>
          <w:sz w:val="30"/>
          <w:szCs w:val="30"/>
          <w:lang w:eastAsia="zh-CN"/>
        </w:rPr>
        <w:t>法</w:t>
      </w:r>
      <w:r>
        <w:rPr>
          <w:rFonts w:ascii="Times New Roman" w:eastAsia="仿宋" w:hAnsi="Times New Roman"/>
          <w:sz w:val="30"/>
          <w:szCs w:val="30"/>
          <w:lang w:eastAsia="zh-CN"/>
        </w:rPr>
        <w:t>院裁定受理</w:t>
      </w:r>
      <w:r>
        <w:rPr>
          <w:rFonts w:ascii="Times New Roman" w:eastAsia="仿宋" w:hAnsi="Times New Roman" w:cs="仿宋_GB2312" w:hint="eastAsia"/>
          <w:spacing w:val="-3"/>
          <w:sz w:val="30"/>
          <w:szCs w:val="30"/>
          <w:lang w:eastAsia="zh-CN"/>
        </w:rPr>
        <w:t>东易日盛公司</w:t>
      </w:r>
      <w:r>
        <w:rPr>
          <w:rFonts w:ascii="Times New Roman" w:eastAsia="仿宋" w:hAnsi="Times New Roman"/>
          <w:sz w:val="30"/>
          <w:szCs w:val="30"/>
          <w:lang w:eastAsia="zh-CN"/>
        </w:rPr>
        <w:t>重整，债权人在预重整程序中申报债权的，无需再另行申报债权</w:t>
      </w:r>
      <w:r>
        <w:rPr>
          <w:rFonts w:ascii="Times New Roman" w:eastAsia="仿宋" w:hAnsi="Times New Roman" w:hint="eastAsia"/>
          <w:sz w:val="30"/>
          <w:szCs w:val="30"/>
          <w:lang w:eastAsia="zh-CN"/>
        </w:rPr>
        <w:t>。</w:t>
      </w:r>
      <w:r>
        <w:rPr>
          <w:rFonts w:ascii="Times New Roman" w:eastAsia="仿宋" w:hAnsi="Times New Roman"/>
          <w:sz w:val="30"/>
          <w:szCs w:val="30"/>
          <w:lang w:eastAsia="zh-CN"/>
        </w:rPr>
        <w:t>预重整期间</w:t>
      </w:r>
      <w:r>
        <w:rPr>
          <w:rFonts w:ascii="Times New Roman" w:eastAsia="仿宋" w:hAnsi="Times New Roman" w:hint="eastAsia"/>
          <w:sz w:val="30"/>
          <w:szCs w:val="30"/>
          <w:lang w:eastAsia="zh-CN"/>
        </w:rPr>
        <w:t>临时</w:t>
      </w:r>
      <w:r>
        <w:rPr>
          <w:rFonts w:ascii="Times New Roman" w:eastAsia="仿宋" w:hAnsi="Times New Roman"/>
          <w:sz w:val="30"/>
          <w:szCs w:val="30"/>
          <w:lang w:eastAsia="zh-CN"/>
        </w:rPr>
        <w:t>管理人</w:t>
      </w:r>
      <w:r>
        <w:rPr>
          <w:rFonts w:ascii="Times New Roman" w:eastAsia="仿宋" w:hAnsi="Times New Roman"/>
          <w:sz w:val="30"/>
          <w:szCs w:val="30"/>
          <w:lang w:eastAsia="zh-CN"/>
        </w:rPr>
        <w:lastRenderedPageBreak/>
        <w:t>和债权人对法律关系成立与否、债权性质、债权本金的审查与确认与正式重整程序中具有同等法律效力。</w:t>
      </w:r>
      <w:proofErr w:type="gramStart"/>
      <w:r>
        <w:rPr>
          <w:rFonts w:ascii="Times New Roman" w:eastAsia="仿宋" w:hAnsi="Times New Roman"/>
          <w:sz w:val="30"/>
          <w:szCs w:val="30"/>
          <w:lang w:eastAsia="zh-CN"/>
        </w:rPr>
        <w:t>如预重整</w:t>
      </w:r>
      <w:proofErr w:type="gramEnd"/>
      <w:r>
        <w:rPr>
          <w:rFonts w:ascii="Times New Roman" w:eastAsia="仿宋" w:hAnsi="Times New Roman"/>
          <w:sz w:val="30"/>
          <w:szCs w:val="30"/>
          <w:lang w:eastAsia="zh-CN"/>
        </w:rPr>
        <w:t>期间需召开债权人会议的，相关事项届时将另行通知。</w:t>
      </w:r>
    </w:p>
    <w:p w14:paraId="38C57639" w14:textId="77777777" w:rsidR="00D24326" w:rsidRDefault="00000000">
      <w:pPr>
        <w:pStyle w:val="a5"/>
        <w:spacing w:beforeLines="0" w:before="0" w:afterLines="0" w:after="0" w:line="580" w:lineRule="exact"/>
        <w:ind w:firstLine="600"/>
        <w:rPr>
          <w:rFonts w:ascii="Times New Roman" w:eastAsia="仿宋" w:hAnsi="Times New Roman"/>
          <w:sz w:val="30"/>
          <w:szCs w:val="30"/>
          <w:lang w:eastAsia="zh-CN"/>
        </w:rPr>
      </w:pPr>
      <w:r>
        <w:rPr>
          <w:rFonts w:ascii="Times New Roman" w:eastAsia="仿宋" w:hAnsi="Times New Roman" w:hint="eastAsia"/>
          <w:sz w:val="30"/>
          <w:szCs w:val="30"/>
          <w:lang w:eastAsia="zh-CN"/>
        </w:rPr>
        <w:t>临时管理人联系方式如下：</w:t>
      </w:r>
    </w:p>
    <w:p w14:paraId="0A552F38" w14:textId="77777777" w:rsidR="00D24326" w:rsidRDefault="00000000">
      <w:pPr>
        <w:pStyle w:val="a5"/>
        <w:spacing w:before="156" w:after="156" w:line="580" w:lineRule="exact"/>
        <w:ind w:firstLine="600"/>
        <w:rPr>
          <w:rFonts w:ascii="Times New Roman" w:eastAsia="仿宋" w:hAnsi="Times New Roman"/>
          <w:sz w:val="30"/>
          <w:szCs w:val="30"/>
          <w:lang w:eastAsia="zh-CN"/>
        </w:rPr>
      </w:pPr>
      <w:r>
        <w:rPr>
          <w:rFonts w:ascii="Times New Roman" w:eastAsia="仿宋" w:hAnsi="Times New Roman"/>
          <w:sz w:val="30"/>
          <w:szCs w:val="30"/>
          <w:lang w:eastAsia="zh-CN"/>
        </w:rPr>
        <w:t>联系人：</w:t>
      </w:r>
      <w:r>
        <w:rPr>
          <w:rFonts w:ascii="Times New Roman" w:eastAsia="仿宋" w:hAnsi="Times New Roman" w:hint="eastAsia"/>
          <w:sz w:val="30"/>
          <w:szCs w:val="30"/>
          <w:lang w:eastAsia="zh-CN"/>
        </w:rPr>
        <w:t>胡律师、付律师</w:t>
      </w:r>
    </w:p>
    <w:p w14:paraId="010127E7" w14:textId="77777777" w:rsidR="00D24326" w:rsidRDefault="00000000">
      <w:pPr>
        <w:pStyle w:val="a5"/>
        <w:spacing w:before="156" w:after="156" w:line="580" w:lineRule="exact"/>
        <w:ind w:firstLine="600"/>
        <w:rPr>
          <w:rFonts w:ascii="Times New Roman" w:eastAsia="仿宋" w:hAnsi="Times New Roman"/>
          <w:sz w:val="30"/>
          <w:szCs w:val="30"/>
          <w:lang w:eastAsia="zh-CN"/>
        </w:rPr>
      </w:pPr>
      <w:r>
        <w:rPr>
          <w:rFonts w:ascii="Times New Roman" w:eastAsia="仿宋" w:hAnsi="Times New Roman"/>
          <w:sz w:val="30"/>
          <w:szCs w:val="30"/>
          <w:lang w:eastAsia="zh-CN"/>
        </w:rPr>
        <w:t>联系电话：</w:t>
      </w:r>
      <w:r>
        <w:rPr>
          <w:rFonts w:ascii="Times New Roman" w:eastAsia="仿宋" w:hAnsi="Times New Roman" w:hint="eastAsia"/>
          <w:sz w:val="30"/>
          <w:szCs w:val="30"/>
          <w:lang w:eastAsia="zh-CN"/>
        </w:rPr>
        <w:t>13522703162</w:t>
      </w:r>
      <w:r>
        <w:rPr>
          <w:rFonts w:ascii="Times New Roman" w:eastAsia="仿宋" w:hAnsi="Times New Roman" w:hint="eastAsia"/>
          <w:sz w:val="30"/>
          <w:szCs w:val="30"/>
          <w:lang w:eastAsia="zh-CN"/>
        </w:rPr>
        <w:t>、</w:t>
      </w:r>
      <w:r>
        <w:rPr>
          <w:rFonts w:ascii="Times New Roman" w:eastAsia="仿宋" w:hAnsi="Times New Roman" w:hint="eastAsia"/>
          <w:sz w:val="30"/>
          <w:szCs w:val="30"/>
          <w:lang w:eastAsia="zh-CN"/>
        </w:rPr>
        <w:t>13520785603</w:t>
      </w:r>
    </w:p>
    <w:p w14:paraId="24647102" w14:textId="77777777" w:rsidR="00D24326" w:rsidRDefault="00000000">
      <w:pPr>
        <w:pStyle w:val="a5"/>
        <w:spacing w:beforeLines="0" w:before="0" w:afterLines="0" w:after="0" w:line="580" w:lineRule="exact"/>
        <w:ind w:firstLine="600"/>
        <w:rPr>
          <w:rFonts w:ascii="Times New Roman" w:eastAsia="仿宋" w:hAnsi="Times New Roman"/>
          <w:sz w:val="30"/>
          <w:szCs w:val="30"/>
          <w:lang w:eastAsia="zh-CN"/>
        </w:rPr>
      </w:pPr>
      <w:r>
        <w:rPr>
          <w:rFonts w:ascii="Times New Roman" w:eastAsia="仿宋" w:hAnsi="Times New Roman" w:hint="eastAsia"/>
          <w:sz w:val="30"/>
          <w:szCs w:val="30"/>
          <w:lang w:eastAsia="zh-CN"/>
        </w:rPr>
        <w:t>联系</w:t>
      </w:r>
      <w:r>
        <w:rPr>
          <w:rFonts w:ascii="Times New Roman" w:eastAsia="仿宋" w:hAnsi="Times New Roman"/>
          <w:sz w:val="30"/>
          <w:szCs w:val="30"/>
          <w:lang w:eastAsia="zh-CN"/>
        </w:rPr>
        <w:t>地址：</w:t>
      </w:r>
      <w:r>
        <w:rPr>
          <w:rFonts w:ascii="Times New Roman" w:eastAsia="仿宋" w:hAnsi="Times New Roman" w:hint="eastAsia"/>
          <w:sz w:val="30"/>
          <w:szCs w:val="30"/>
          <w:lang w:eastAsia="zh-CN"/>
        </w:rPr>
        <w:t>北京市朝阳区酒仙桥北路电子城</w:t>
      </w:r>
      <w:r>
        <w:rPr>
          <w:rFonts w:ascii="Times New Roman" w:eastAsia="仿宋" w:hAnsi="Times New Roman" w:hint="eastAsia"/>
          <w:sz w:val="30"/>
          <w:szCs w:val="30"/>
          <w:lang w:eastAsia="zh-CN"/>
        </w:rPr>
        <w:t>IT</w:t>
      </w:r>
      <w:r>
        <w:rPr>
          <w:rFonts w:ascii="Times New Roman" w:eastAsia="仿宋" w:hAnsi="Times New Roman" w:hint="eastAsia"/>
          <w:sz w:val="30"/>
          <w:szCs w:val="30"/>
          <w:lang w:eastAsia="zh-CN"/>
        </w:rPr>
        <w:t>产业园</w:t>
      </w:r>
      <w:r>
        <w:rPr>
          <w:rFonts w:ascii="Times New Roman" w:eastAsia="仿宋" w:hAnsi="Times New Roman" w:hint="eastAsia"/>
          <w:sz w:val="30"/>
          <w:szCs w:val="30"/>
          <w:lang w:eastAsia="zh-CN"/>
        </w:rPr>
        <w:t>C3B</w:t>
      </w:r>
      <w:proofErr w:type="gramStart"/>
      <w:r>
        <w:rPr>
          <w:rFonts w:ascii="Times New Roman" w:eastAsia="仿宋" w:hAnsi="Times New Roman" w:hint="eastAsia"/>
          <w:sz w:val="30"/>
          <w:szCs w:val="30"/>
          <w:lang w:eastAsia="zh-CN"/>
        </w:rPr>
        <w:t>座东</w:t>
      </w:r>
      <w:proofErr w:type="gramEnd"/>
      <w:r>
        <w:rPr>
          <w:rFonts w:ascii="Times New Roman" w:eastAsia="仿宋" w:hAnsi="Times New Roman" w:hint="eastAsia"/>
          <w:sz w:val="30"/>
          <w:szCs w:val="30"/>
          <w:lang w:eastAsia="zh-CN"/>
        </w:rPr>
        <w:t>易日盛</w:t>
      </w:r>
    </w:p>
    <w:p w14:paraId="3C501406" w14:textId="77777777" w:rsidR="00D24326" w:rsidRDefault="00D24326">
      <w:pPr>
        <w:pStyle w:val="a5"/>
        <w:spacing w:beforeLines="0" w:before="0" w:afterLines="0" w:after="0" w:line="580" w:lineRule="exact"/>
        <w:ind w:firstLine="600"/>
        <w:rPr>
          <w:rFonts w:ascii="Times New Roman" w:eastAsia="仿宋" w:hAnsi="Times New Roman"/>
          <w:sz w:val="30"/>
          <w:szCs w:val="30"/>
          <w:lang w:eastAsia="zh-CN"/>
        </w:rPr>
      </w:pPr>
    </w:p>
    <w:p w14:paraId="671CF54B" w14:textId="77777777" w:rsidR="00D24326" w:rsidRDefault="00000000">
      <w:pPr>
        <w:spacing w:line="580" w:lineRule="exact"/>
        <w:ind w:firstLineChars="200" w:firstLine="588"/>
        <w:jc w:val="right"/>
        <w:rPr>
          <w:rFonts w:eastAsia="仿宋" w:cs="仿宋_GB2312"/>
          <w:spacing w:val="-3"/>
          <w:sz w:val="30"/>
          <w:szCs w:val="30"/>
        </w:rPr>
      </w:pPr>
      <w:r>
        <w:rPr>
          <w:rFonts w:eastAsia="仿宋" w:cs="仿宋_GB2312" w:hint="eastAsia"/>
          <w:spacing w:val="-3"/>
          <w:sz w:val="30"/>
          <w:szCs w:val="30"/>
        </w:rPr>
        <w:t>东易日盛家居装饰集团股份有限公司临时</w:t>
      </w:r>
      <w:r>
        <w:rPr>
          <w:rFonts w:eastAsia="仿宋"/>
          <w:sz w:val="30"/>
          <w:szCs w:val="30"/>
        </w:rPr>
        <w:t>管理人</w:t>
      </w:r>
    </w:p>
    <w:p w14:paraId="5CFB2EF0" w14:textId="0FA8FA0E" w:rsidR="00D24326" w:rsidRDefault="00000000">
      <w:pPr>
        <w:spacing w:line="580" w:lineRule="exact"/>
        <w:ind w:firstLineChars="200" w:firstLine="600"/>
        <w:jc w:val="right"/>
        <w:rPr>
          <w:rFonts w:eastAsia="仿宋"/>
          <w:sz w:val="30"/>
          <w:szCs w:val="30"/>
        </w:rPr>
      </w:pPr>
      <w:r>
        <w:rPr>
          <w:rFonts w:eastAsia="仿宋" w:hint="eastAsia"/>
          <w:sz w:val="30"/>
          <w:szCs w:val="30"/>
        </w:rPr>
        <w:t>2024</w:t>
      </w:r>
      <w:r>
        <w:rPr>
          <w:rFonts w:eastAsia="仿宋"/>
          <w:sz w:val="30"/>
          <w:szCs w:val="30"/>
        </w:rPr>
        <w:t>年</w:t>
      </w:r>
      <w:r>
        <w:rPr>
          <w:rFonts w:eastAsia="仿宋" w:hint="eastAsia"/>
          <w:sz w:val="30"/>
          <w:szCs w:val="30"/>
        </w:rPr>
        <w:t>11</w:t>
      </w:r>
      <w:r>
        <w:rPr>
          <w:rFonts w:eastAsia="仿宋"/>
          <w:sz w:val="30"/>
          <w:szCs w:val="30"/>
        </w:rPr>
        <w:t>月</w:t>
      </w:r>
      <w:r>
        <w:rPr>
          <w:rFonts w:eastAsia="仿宋" w:hint="eastAsia"/>
          <w:sz w:val="30"/>
          <w:szCs w:val="30"/>
        </w:rPr>
        <w:t>7</w:t>
      </w:r>
      <w:r>
        <w:rPr>
          <w:rFonts w:eastAsia="仿宋"/>
          <w:sz w:val="30"/>
          <w:szCs w:val="30"/>
        </w:rPr>
        <w:t>日</w:t>
      </w:r>
    </w:p>
    <w:sectPr w:rsidR="00D2432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7D464" w14:textId="77777777" w:rsidR="000136BD" w:rsidRDefault="000136BD">
      <w:r>
        <w:separator/>
      </w:r>
    </w:p>
  </w:endnote>
  <w:endnote w:type="continuationSeparator" w:id="0">
    <w:p w14:paraId="26F8D9D2" w14:textId="77777777" w:rsidR="000136BD" w:rsidRDefault="00013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1" w:subsetted="1" w:fontKey="{998791F4-01A2-4637-8169-FBC3C36167C9}"/>
    <w:embedBold r:id="rId2" w:subsetted="1" w:fontKey="{4307E091-2B44-4EEA-B79B-55297DAF0B58}"/>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5260C" w14:textId="77777777" w:rsidR="00D24326" w:rsidRDefault="00000000">
    <w:pPr>
      <w:pStyle w:val="a7"/>
      <w:jc w:val="center"/>
    </w:pPr>
    <w:r>
      <w:fldChar w:fldCharType="begin"/>
    </w:r>
    <w:r>
      <w:instrText>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890AA" w14:textId="77777777" w:rsidR="000136BD" w:rsidRDefault="000136BD">
      <w:r>
        <w:separator/>
      </w:r>
    </w:p>
  </w:footnote>
  <w:footnote w:type="continuationSeparator" w:id="0">
    <w:p w14:paraId="51FCCCD0" w14:textId="77777777" w:rsidR="000136BD" w:rsidRDefault="000136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E0MDg3MmQ2NTkyMTcxOTg2N2VjOTJmZDZhZmJiM2EifQ=="/>
  </w:docVars>
  <w:rsids>
    <w:rsidRoot w:val="00116F9A"/>
    <w:rsid w:val="000136BD"/>
    <w:rsid w:val="000526B6"/>
    <w:rsid w:val="000A5994"/>
    <w:rsid w:val="00116F9A"/>
    <w:rsid w:val="00134921"/>
    <w:rsid w:val="00137411"/>
    <w:rsid w:val="00183516"/>
    <w:rsid w:val="001B2508"/>
    <w:rsid w:val="00226ADA"/>
    <w:rsid w:val="002730E0"/>
    <w:rsid w:val="002B29D5"/>
    <w:rsid w:val="002C6889"/>
    <w:rsid w:val="003019CF"/>
    <w:rsid w:val="00323461"/>
    <w:rsid w:val="003241AB"/>
    <w:rsid w:val="00382E42"/>
    <w:rsid w:val="003C6515"/>
    <w:rsid w:val="00530343"/>
    <w:rsid w:val="00576A2D"/>
    <w:rsid w:val="005A599D"/>
    <w:rsid w:val="005B438F"/>
    <w:rsid w:val="005F5AB2"/>
    <w:rsid w:val="00640162"/>
    <w:rsid w:val="006520F6"/>
    <w:rsid w:val="00674449"/>
    <w:rsid w:val="006B5ADA"/>
    <w:rsid w:val="006C2014"/>
    <w:rsid w:val="006E4FB5"/>
    <w:rsid w:val="007113BD"/>
    <w:rsid w:val="00742C38"/>
    <w:rsid w:val="007441A1"/>
    <w:rsid w:val="00750C61"/>
    <w:rsid w:val="007A0109"/>
    <w:rsid w:val="007A512F"/>
    <w:rsid w:val="008055B9"/>
    <w:rsid w:val="008410B6"/>
    <w:rsid w:val="0085506E"/>
    <w:rsid w:val="00857B60"/>
    <w:rsid w:val="00866425"/>
    <w:rsid w:val="00877DBD"/>
    <w:rsid w:val="008D0BB3"/>
    <w:rsid w:val="008F5064"/>
    <w:rsid w:val="008F784C"/>
    <w:rsid w:val="009105E6"/>
    <w:rsid w:val="00911D8D"/>
    <w:rsid w:val="00A0755E"/>
    <w:rsid w:val="00A303A5"/>
    <w:rsid w:val="00A434FE"/>
    <w:rsid w:val="00A807E2"/>
    <w:rsid w:val="00AC4F4C"/>
    <w:rsid w:val="00AD341A"/>
    <w:rsid w:val="00AD76A2"/>
    <w:rsid w:val="00B01260"/>
    <w:rsid w:val="00B13470"/>
    <w:rsid w:val="00B4679C"/>
    <w:rsid w:val="00B92B9B"/>
    <w:rsid w:val="00B95DC1"/>
    <w:rsid w:val="00C005F5"/>
    <w:rsid w:val="00C45E00"/>
    <w:rsid w:val="00C844F4"/>
    <w:rsid w:val="00D10B8D"/>
    <w:rsid w:val="00D12D99"/>
    <w:rsid w:val="00D202B2"/>
    <w:rsid w:val="00D24326"/>
    <w:rsid w:val="00DC62FE"/>
    <w:rsid w:val="00DF0B4E"/>
    <w:rsid w:val="00E25175"/>
    <w:rsid w:val="00E82B3C"/>
    <w:rsid w:val="00E864E7"/>
    <w:rsid w:val="00EA18E7"/>
    <w:rsid w:val="00EB2D56"/>
    <w:rsid w:val="00EB53DC"/>
    <w:rsid w:val="00EE230F"/>
    <w:rsid w:val="00F2174D"/>
    <w:rsid w:val="00F833E5"/>
    <w:rsid w:val="00F97DC5"/>
    <w:rsid w:val="00FA73AA"/>
    <w:rsid w:val="00FD056E"/>
    <w:rsid w:val="00FD318F"/>
    <w:rsid w:val="00FE65CD"/>
    <w:rsid w:val="037405E1"/>
    <w:rsid w:val="06257970"/>
    <w:rsid w:val="0CD65E68"/>
    <w:rsid w:val="10A5002C"/>
    <w:rsid w:val="14641FAC"/>
    <w:rsid w:val="152B05DD"/>
    <w:rsid w:val="1A002777"/>
    <w:rsid w:val="206550E2"/>
    <w:rsid w:val="28F1521E"/>
    <w:rsid w:val="52DE46FC"/>
    <w:rsid w:val="583835A7"/>
    <w:rsid w:val="5CB702A9"/>
    <w:rsid w:val="63275C4B"/>
    <w:rsid w:val="6B6F018F"/>
    <w:rsid w:val="6B95409A"/>
    <w:rsid w:val="6C16685D"/>
    <w:rsid w:val="6F1E7F02"/>
    <w:rsid w:val="700D0815"/>
    <w:rsid w:val="750D2EF3"/>
    <w:rsid w:val="7F6C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7936E67"/>
  <w15:docId w15:val="{B216D9B6-E1D2-4C29-9CCE-08E86BCC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spacing w:beforeLines="50" w:before="50" w:afterLines="50" w:after="50" w:line="560" w:lineRule="exact"/>
      <w:jc w:val="center"/>
      <w:outlineLvl w:val="0"/>
    </w:pPr>
    <w:rPr>
      <w:rFonts w:ascii="黑体" w:eastAsia="黑体" w:hAnsi="黑体"/>
      <w:b/>
      <w:bCs/>
      <w:kern w:val="0"/>
      <w:sz w:val="36"/>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Body Text"/>
    <w:basedOn w:val="a"/>
    <w:link w:val="a6"/>
    <w:uiPriority w:val="99"/>
    <w:unhideWhenUsed/>
    <w:qFormat/>
    <w:pPr>
      <w:spacing w:beforeLines="50" w:before="50" w:afterLines="50" w:after="50" w:line="560" w:lineRule="exact"/>
      <w:ind w:firstLineChars="200" w:firstLine="400"/>
    </w:pPr>
    <w:rPr>
      <w:rFonts w:ascii="仿宋_GB2312" w:eastAsia="仿宋_GB2312" w:hAnsi="仿宋_GB2312"/>
      <w:kern w:val="0"/>
      <w:sz w:val="24"/>
      <w:szCs w:val="24"/>
      <w:lang w:eastAsia="en-US"/>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Hyperlink"/>
    <w:uiPriority w:val="99"/>
    <w:unhideWhenUsed/>
    <w:qFormat/>
    <w:rPr>
      <w:color w:val="0563C1"/>
      <w:u w:val="single"/>
    </w:rPr>
  </w:style>
  <w:style w:type="character" w:styleId="ae">
    <w:name w:val="annotation reference"/>
    <w:uiPriority w:val="99"/>
    <w:semiHidden/>
    <w:unhideWhenUsed/>
    <w:qFormat/>
    <w:rPr>
      <w:sz w:val="21"/>
      <w:szCs w:val="21"/>
    </w:rPr>
  </w:style>
  <w:style w:type="character" w:customStyle="1" w:styleId="10">
    <w:name w:val="标题 1 字符"/>
    <w:link w:val="1"/>
    <w:uiPriority w:val="9"/>
    <w:qFormat/>
    <w:rPr>
      <w:rFonts w:ascii="黑体" w:eastAsia="黑体" w:hAnsi="黑体"/>
      <w:b/>
      <w:bCs/>
      <w:sz w:val="36"/>
      <w:szCs w:val="36"/>
      <w:lang w:eastAsia="en-US"/>
    </w:rPr>
  </w:style>
  <w:style w:type="character" w:customStyle="1" w:styleId="a6">
    <w:name w:val="正文文本 字符"/>
    <w:link w:val="a5"/>
    <w:uiPriority w:val="99"/>
    <w:qFormat/>
    <w:rPr>
      <w:rFonts w:ascii="仿宋_GB2312" w:eastAsia="仿宋_GB2312" w:hAnsi="仿宋_GB2312"/>
      <w:kern w:val="0"/>
      <w:sz w:val="24"/>
      <w:szCs w:val="24"/>
      <w:lang w:eastAsia="en-US"/>
    </w:rPr>
  </w:style>
  <w:style w:type="character" w:customStyle="1" w:styleId="a8">
    <w:name w:val="页脚 字符"/>
    <w:link w:val="a7"/>
    <w:uiPriority w:val="99"/>
    <w:qFormat/>
    <w:rPr>
      <w:sz w:val="18"/>
      <w:szCs w:val="18"/>
    </w:rPr>
  </w:style>
  <w:style w:type="character" w:customStyle="1" w:styleId="aa">
    <w:name w:val="页眉 字符"/>
    <w:link w:val="a9"/>
    <w:uiPriority w:val="99"/>
    <w:qFormat/>
    <w:rPr>
      <w:sz w:val="18"/>
      <w:szCs w:val="18"/>
    </w:rPr>
  </w:style>
  <w:style w:type="paragraph" w:customStyle="1" w:styleId="11">
    <w:name w:val="修订1"/>
    <w:uiPriority w:val="99"/>
    <w:semiHidden/>
    <w:rPr>
      <w:kern w:val="2"/>
      <w:sz w:val="21"/>
      <w:szCs w:val="22"/>
    </w:rPr>
  </w:style>
  <w:style w:type="character" w:customStyle="1" w:styleId="12">
    <w:name w:val="未处理的提及1"/>
    <w:uiPriority w:val="99"/>
    <w:unhideWhenUsed/>
    <w:qFormat/>
    <w:rPr>
      <w:color w:val="605E5C"/>
      <w:shd w:val="clear" w:color="auto" w:fill="E1DFDD"/>
    </w:rPr>
  </w:style>
  <w:style w:type="character" w:customStyle="1" w:styleId="a4">
    <w:name w:val="批注文字 字符"/>
    <w:link w:val="a3"/>
    <w:uiPriority w:val="99"/>
    <w:rPr>
      <w:kern w:val="2"/>
      <w:sz w:val="21"/>
      <w:szCs w:val="22"/>
    </w:rPr>
  </w:style>
  <w:style w:type="character" w:customStyle="1" w:styleId="ac">
    <w:name w:val="批注主题 字符"/>
    <w:link w:val="ab"/>
    <w:uiPriority w:val="99"/>
    <w:semiHidden/>
    <w:qFormat/>
    <w:rPr>
      <w:b/>
      <w:bCs/>
      <w:kern w:val="2"/>
      <w:sz w:val="21"/>
      <w:szCs w:val="22"/>
    </w:rPr>
  </w:style>
  <w:style w:type="paragraph" w:styleId="af">
    <w:name w:val="Revision"/>
    <w:hidden/>
    <w:uiPriority w:val="99"/>
    <w:unhideWhenUsed/>
    <w:rsid w:val="008410B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大成 北京</dc:creator>
  <cp:lastModifiedBy>大 成</cp:lastModifiedBy>
  <cp:revision>3</cp:revision>
  <dcterms:created xsi:type="dcterms:W3CDTF">2024-11-06T12:13:00Z</dcterms:created>
  <dcterms:modified xsi:type="dcterms:W3CDTF">2024-11-07T12:03:00Z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0FD3C726EA024A989FE6FB2AA93642F8_13</vt:lpwstr>
  </property>
</Properties>
</file>