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45E96D">
      <w:pPr>
        <w:spacing w:line="360" w:lineRule="auto"/>
        <w:ind w:firstLine="560" w:firstLineChars="200"/>
        <w:jc w:val="center"/>
        <w:rPr>
          <w:rFonts w:hint="eastAsia" w:ascii="华文中宋" w:hAnsi="华文中宋" w:eastAsia="华文中宋"/>
          <w:sz w:val="28"/>
          <w:szCs w:val="28"/>
          <w:highlight w:val="none"/>
        </w:rPr>
      </w:pPr>
      <w:r>
        <w:rPr>
          <w:rFonts w:hint="eastAsia" w:ascii="华文中宋" w:hAnsi="华文中宋" w:eastAsia="华文中宋"/>
          <w:sz w:val="28"/>
          <w:szCs w:val="28"/>
          <w:highlight w:val="none"/>
        </w:rPr>
        <w:t>关于国龙联盟投资股份有限公司拍卖公告</w:t>
      </w:r>
    </w:p>
    <w:p w14:paraId="3497F33A">
      <w:pPr>
        <w:spacing w:line="360" w:lineRule="auto"/>
        <w:ind w:firstLine="560" w:firstLineChars="200"/>
        <w:rPr>
          <w:rFonts w:ascii="华文中宋" w:hAnsi="华文中宋" w:eastAsia="华文中宋"/>
          <w:sz w:val="28"/>
          <w:szCs w:val="28"/>
          <w:highlight w:val="none"/>
        </w:rPr>
      </w:pPr>
      <w:r>
        <w:rPr>
          <w:rFonts w:hint="eastAsia" w:ascii="华文中宋" w:hAnsi="华文中宋" w:eastAsia="华文中宋"/>
          <w:sz w:val="28"/>
          <w:szCs w:val="28"/>
          <w:highlight w:val="none"/>
        </w:rPr>
        <w:t xml:space="preserve"> 国龙联盟投资股份有限公司管理人将于</w:t>
      </w:r>
      <w:r>
        <w:rPr>
          <w:rFonts w:hint="eastAsia" w:ascii="华文中宋" w:hAnsi="华文中宋" w:eastAsia="华文中宋"/>
          <w:b/>
          <w:bCs/>
          <w:sz w:val="28"/>
          <w:szCs w:val="28"/>
          <w:highlight w:val="none"/>
        </w:rPr>
        <w:t>2024年</w:t>
      </w:r>
      <w:r>
        <w:rPr>
          <w:rFonts w:hint="eastAsia" w:ascii="华文中宋" w:hAnsi="华文中宋" w:eastAsia="华文中宋"/>
          <w:b/>
          <w:bCs/>
          <w:sz w:val="28"/>
          <w:szCs w:val="28"/>
          <w:highlight w:val="none"/>
          <w:u w:val="single"/>
        </w:rPr>
        <w:t xml:space="preserve"> 11 </w:t>
      </w:r>
      <w:r>
        <w:rPr>
          <w:rFonts w:hint="eastAsia" w:ascii="华文中宋" w:hAnsi="华文中宋" w:eastAsia="华文中宋"/>
          <w:b/>
          <w:bCs/>
          <w:sz w:val="28"/>
          <w:szCs w:val="28"/>
          <w:highlight w:val="none"/>
        </w:rPr>
        <w:t>月</w:t>
      </w:r>
      <w:r>
        <w:rPr>
          <w:rFonts w:hint="eastAsia" w:ascii="华文中宋" w:hAnsi="华文中宋" w:eastAsia="华文中宋"/>
          <w:b/>
          <w:bCs/>
          <w:sz w:val="28"/>
          <w:szCs w:val="28"/>
          <w:highlight w:val="none"/>
          <w:u w:val="single"/>
        </w:rPr>
        <w:t xml:space="preserve"> 21 </w:t>
      </w:r>
      <w:r>
        <w:rPr>
          <w:rFonts w:hint="eastAsia" w:ascii="华文中宋" w:hAnsi="华文中宋" w:eastAsia="华文中宋"/>
          <w:b/>
          <w:bCs/>
          <w:sz w:val="28"/>
          <w:szCs w:val="28"/>
          <w:highlight w:val="none"/>
        </w:rPr>
        <w:t>日10时至2024年</w:t>
      </w:r>
      <w:r>
        <w:rPr>
          <w:rFonts w:hint="eastAsia" w:ascii="华文中宋" w:hAnsi="华文中宋" w:eastAsia="华文中宋"/>
          <w:b/>
          <w:bCs/>
          <w:sz w:val="28"/>
          <w:szCs w:val="28"/>
          <w:highlight w:val="none"/>
          <w:u w:val="single"/>
        </w:rPr>
        <w:t xml:space="preserve"> 11 </w:t>
      </w:r>
      <w:r>
        <w:rPr>
          <w:rFonts w:hint="eastAsia" w:ascii="华文中宋" w:hAnsi="华文中宋" w:eastAsia="华文中宋"/>
          <w:b/>
          <w:bCs/>
          <w:sz w:val="28"/>
          <w:szCs w:val="28"/>
          <w:highlight w:val="none"/>
        </w:rPr>
        <w:t>月</w:t>
      </w:r>
      <w:r>
        <w:rPr>
          <w:rFonts w:hint="eastAsia" w:ascii="华文中宋" w:hAnsi="华文中宋" w:eastAsia="华文中宋"/>
          <w:b/>
          <w:bCs/>
          <w:sz w:val="28"/>
          <w:szCs w:val="28"/>
          <w:highlight w:val="none"/>
          <w:u w:val="single"/>
        </w:rPr>
        <w:t xml:space="preserve"> 22 </w:t>
      </w:r>
      <w:r>
        <w:rPr>
          <w:rFonts w:hint="eastAsia" w:ascii="华文中宋" w:hAnsi="华文中宋" w:eastAsia="华文中宋"/>
          <w:b/>
          <w:bCs/>
          <w:sz w:val="28"/>
          <w:szCs w:val="28"/>
          <w:highlight w:val="none"/>
        </w:rPr>
        <w:t>日10时止</w:t>
      </w:r>
      <w:r>
        <w:rPr>
          <w:rFonts w:hint="eastAsia" w:ascii="华文中宋" w:hAnsi="华文中宋" w:eastAsia="华文中宋"/>
          <w:sz w:val="28"/>
          <w:szCs w:val="28"/>
          <w:highlight w:val="none"/>
        </w:rPr>
        <w:t>（延时除外）在阿里拍卖网络平台上进行公开拍卖活动（处</w:t>
      </w:r>
      <w:bookmarkStart w:id="1" w:name="_GoBack"/>
      <w:bookmarkEnd w:id="1"/>
      <w:r>
        <w:rPr>
          <w:rFonts w:hint="eastAsia" w:ascii="华文中宋" w:hAnsi="华文中宋" w:eastAsia="华文中宋"/>
          <w:sz w:val="28"/>
          <w:szCs w:val="28"/>
          <w:highlight w:val="none"/>
        </w:rPr>
        <w:t>置单位：国龙联盟投资股份有限公司管理人，监督单位：北京市第一中级人民法院），</w:t>
      </w:r>
      <w:r>
        <w:rPr>
          <w:rFonts w:hint="eastAsia" w:ascii="华文中宋" w:hAnsi="华文中宋" w:eastAsia="华文中宋"/>
          <w:sz w:val="28"/>
          <w:szCs w:val="28"/>
          <w:highlight w:val="none"/>
        </w:rPr>
        <w:t>网址：https://susong-item.taobao.com/auction/852952813716.htm?spm=a213w.7398554.paiList.7.4b071f7bl82QZQ</w:t>
      </w:r>
    </w:p>
    <w:p w14:paraId="74440188">
      <w:pPr>
        <w:spacing w:line="360" w:lineRule="auto"/>
        <w:ind w:firstLine="560" w:firstLineChars="200"/>
        <w:rPr>
          <w:rFonts w:hint="eastAsia" w:ascii="华文中宋" w:hAnsi="华文中宋" w:eastAsia="华文中宋"/>
          <w:sz w:val="28"/>
          <w:szCs w:val="28"/>
          <w:highlight w:val="none"/>
        </w:rPr>
      </w:pPr>
    </w:p>
    <w:p w14:paraId="141E99F3">
      <w:pPr>
        <w:spacing w:line="360" w:lineRule="auto"/>
        <w:ind w:firstLine="560" w:firstLineChars="200"/>
        <w:rPr>
          <w:rFonts w:hint="eastAsia" w:ascii="华文中宋" w:hAnsi="华文中宋" w:eastAsia="华文中宋"/>
          <w:sz w:val="28"/>
          <w:szCs w:val="28"/>
          <w:highlight w:val="none"/>
        </w:rPr>
      </w:pPr>
    </w:p>
    <w:p w14:paraId="0EDA3713">
      <w:pPr>
        <w:spacing w:line="360" w:lineRule="auto"/>
        <w:ind w:firstLine="560" w:firstLineChars="200"/>
        <w:rPr>
          <w:rFonts w:hint="eastAsia" w:ascii="华文中宋" w:hAnsi="华文中宋" w:eastAsia="华文中宋"/>
          <w:sz w:val="28"/>
          <w:szCs w:val="28"/>
          <w:highlight w:val="none"/>
        </w:rPr>
      </w:pPr>
      <w:r>
        <w:rPr>
          <w:rFonts w:hint="eastAsia" w:ascii="华文中宋" w:hAnsi="华文中宋" w:eastAsia="华文中宋"/>
          <w:sz w:val="28"/>
          <w:szCs w:val="28"/>
          <w:highlight w:val="none"/>
        </w:rPr>
        <w:t>现公告如下：</w:t>
      </w:r>
    </w:p>
    <w:p w14:paraId="5D5162D5">
      <w:pPr>
        <w:widowControl/>
        <w:spacing w:line="360" w:lineRule="auto"/>
        <w:ind w:firstLine="560" w:firstLineChars="200"/>
        <w:jc w:val="left"/>
        <w:rPr>
          <w:rFonts w:hint="eastAsia" w:ascii="华文中宋" w:hAnsi="华文中宋" w:eastAsia="华文中宋" w:cs="Helvetica"/>
          <w:color w:val="666666"/>
          <w:kern w:val="0"/>
          <w:szCs w:val="21"/>
          <w:highlight w:val="none"/>
          <w14:ligatures w14:val="none"/>
        </w:rPr>
      </w:pPr>
      <w:r>
        <w:rPr>
          <w:rFonts w:hint="eastAsia" w:ascii="华文中宋" w:hAnsi="华文中宋" w:eastAsia="华文中宋" w:cs="Helvetica"/>
          <w:color w:val="000000"/>
          <w:kern w:val="0"/>
          <w:sz w:val="28"/>
          <w:szCs w:val="28"/>
          <w:highlight w:val="none"/>
          <w14:ligatures w14:val="none"/>
        </w:rPr>
        <w:t>国龙联盟投资股份有限公司（以下简称“国龙联盟”）管理人将于</w:t>
      </w:r>
      <w:r>
        <w:rPr>
          <w:rFonts w:hint="eastAsia" w:ascii="华文中宋" w:hAnsi="华文中宋" w:eastAsia="华文中宋" w:cs="Helvetica"/>
          <w:color w:val="FF0000"/>
          <w:kern w:val="0"/>
          <w:sz w:val="28"/>
          <w:szCs w:val="28"/>
          <w:highlight w:val="none"/>
          <w14:ligatures w14:val="none"/>
        </w:rPr>
        <w:t>2024年11月21日上午10时至2024年11月22日上午10时（延时的除外）</w:t>
      </w:r>
      <w:r>
        <w:rPr>
          <w:rFonts w:hint="eastAsia" w:ascii="华文中宋" w:hAnsi="华文中宋" w:eastAsia="华文中宋" w:cs="Helvetica"/>
          <w:color w:val="000000"/>
          <w:kern w:val="0"/>
          <w:sz w:val="28"/>
          <w:szCs w:val="28"/>
          <w:highlight w:val="none"/>
          <w14:ligatures w14:val="none"/>
        </w:rPr>
        <w:t>在阿里拍卖平台上（网址：https://susong.taobao.com/）对国龙联盟投资股份有限公司账面记载的应收账款（以下简称“标的”或“标的物”）进行公开拍卖活动，现公告如下：</w:t>
      </w:r>
    </w:p>
    <w:p w14:paraId="16496657">
      <w:pPr>
        <w:widowControl/>
        <w:spacing w:line="360" w:lineRule="auto"/>
        <w:ind w:firstLine="560" w:firstLineChars="200"/>
        <w:jc w:val="left"/>
        <w:rPr>
          <w:rFonts w:hint="eastAsia" w:ascii="华文中宋" w:hAnsi="华文中宋" w:eastAsia="华文中宋" w:cs="Helvetica"/>
          <w:color w:val="666666"/>
          <w:kern w:val="0"/>
          <w:szCs w:val="21"/>
          <w:highlight w:val="none"/>
          <w14:ligatures w14:val="none"/>
        </w:rPr>
      </w:pPr>
      <w:r>
        <w:rPr>
          <w:rFonts w:hint="eastAsia" w:ascii="华文中宋" w:hAnsi="华文中宋" w:eastAsia="华文中宋" w:cs="Helvetica"/>
          <w:color w:val="000000"/>
          <w:kern w:val="0"/>
          <w:sz w:val="28"/>
          <w:szCs w:val="28"/>
          <w:highlight w:val="none"/>
          <w14:ligatures w14:val="none"/>
        </w:rPr>
        <w:t>一、重要提示</w:t>
      </w:r>
    </w:p>
    <w:p w14:paraId="18E7CCBB">
      <w:pPr>
        <w:widowControl/>
        <w:spacing w:line="360" w:lineRule="auto"/>
        <w:ind w:firstLine="560" w:firstLineChars="200"/>
        <w:jc w:val="left"/>
        <w:rPr>
          <w:rFonts w:hint="eastAsia" w:ascii="华文中宋" w:hAnsi="华文中宋" w:eastAsia="华文中宋" w:cs="Helvetica"/>
          <w:color w:val="666666"/>
          <w:kern w:val="0"/>
          <w:szCs w:val="21"/>
          <w:highlight w:val="none"/>
          <w14:ligatures w14:val="none"/>
        </w:rPr>
      </w:pPr>
      <w:r>
        <w:rPr>
          <w:rFonts w:hint="eastAsia" w:ascii="华文中宋" w:hAnsi="华文中宋" w:eastAsia="华文中宋" w:cs="Helvetica"/>
          <w:color w:val="000000"/>
          <w:kern w:val="0"/>
          <w:sz w:val="28"/>
          <w:szCs w:val="28"/>
          <w:highlight w:val="none"/>
          <w14:ligatures w14:val="none"/>
        </w:rPr>
        <w:t>1.郑重声明：本标的系管理人依法独立履行《中华人民共和国企业破产法》第25条6项的职责在阿里拍卖平台处分债务人财产。</w:t>
      </w:r>
    </w:p>
    <w:p w14:paraId="0FA5F375">
      <w:pPr>
        <w:widowControl/>
        <w:spacing w:line="360" w:lineRule="auto"/>
        <w:ind w:firstLine="560" w:firstLineChars="200"/>
        <w:jc w:val="left"/>
        <w:rPr>
          <w:rFonts w:hint="eastAsia" w:ascii="华文中宋" w:hAnsi="华文中宋" w:eastAsia="华文中宋" w:cs="Helvetica"/>
          <w:color w:val="666666"/>
          <w:kern w:val="0"/>
          <w:szCs w:val="21"/>
          <w:highlight w:val="none"/>
          <w14:ligatures w14:val="none"/>
        </w:rPr>
      </w:pPr>
      <w:r>
        <w:rPr>
          <w:rFonts w:hint="eastAsia" w:ascii="华文中宋" w:hAnsi="华文中宋" w:eastAsia="华文中宋" w:cs="Helvetica"/>
          <w:color w:val="000000"/>
          <w:kern w:val="0"/>
          <w:sz w:val="28"/>
          <w:szCs w:val="28"/>
          <w:highlight w:val="none"/>
          <w14:ligatures w14:val="none"/>
        </w:rPr>
        <w:t>2.竞拍前请务必遵照《竞买公告》《竞买须知》及《拍卖标的物介绍》要求，进行调查标的物信息、了解竞买资质、委托代理及尾款支付方式等内容。如违反相关约定，您的保证金可能会被划扣并产生其他法律责任，请理性参拍。</w:t>
      </w:r>
    </w:p>
    <w:p w14:paraId="6C799AF4">
      <w:pPr>
        <w:widowControl/>
        <w:spacing w:line="360" w:lineRule="auto"/>
        <w:ind w:firstLine="560" w:firstLineChars="200"/>
        <w:jc w:val="left"/>
        <w:rPr>
          <w:rFonts w:hint="eastAsia" w:ascii="华文中宋" w:hAnsi="华文中宋" w:eastAsia="华文中宋" w:cs="Helvetica"/>
          <w:color w:val="666666"/>
          <w:kern w:val="0"/>
          <w:szCs w:val="21"/>
          <w:highlight w:val="none"/>
          <w14:ligatures w14:val="none"/>
        </w:rPr>
      </w:pPr>
      <w:r>
        <w:rPr>
          <w:rFonts w:hint="eastAsia" w:ascii="华文中宋" w:hAnsi="华文中宋" w:eastAsia="华文中宋" w:cs="Helvetica"/>
          <w:color w:val="000000"/>
          <w:kern w:val="0"/>
          <w:sz w:val="28"/>
          <w:szCs w:val="28"/>
          <w:highlight w:val="none"/>
          <w14:ligatures w14:val="none"/>
        </w:rPr>
        <w:t>3.本次拍卖产生的税费、权利变更登记（如有）等一切费用均由买受人负担，具体税、费情况请咨询当地税务等相关部门。</w:t>
      </w:r>
    </w:p>
    <w:p w14:paraId="103A7F79">
      <w:pPr>
        <w:widowControl/>
        <w:spacing w:line="360" w:lineRule="auto"/>
        <w:ind w:firstLine="560" w:firstLineChars="200"/>
        <w:jc w:val="left"/>
        <w:rPr>
          <w:rFonts w:hint="eastAsia" w:ascii="华文中宋" w:hAnsi="华文中宋" w:eastAsia="华文中宋" w:cs="Helvetica"/>
          <w:color w:val="666666"/>
          <w:kern w:val="0"/>
          <w:szCs w:val="21"/>
          <w:highlight w:val="none"/>
          <w14:ligatures w14:val="none"/>
        </w:rPr>
      </w:pPr>
      <w:r>
        <w:rPr>
          <w:rFonts w:hint="eastAsia" w:ascii="华文中宋" w:hAnsi="华文中宋" w:eastAsia="华文中宋" w:cs="Helvetica"/>
          <w:color w:val="000000"/>
          <w:kern w:val="0"/>
          <w:sz w:val="28"/>
          <w:szCs w:val="28"/>
          <w:highlight w:val="none"/>
          <w14:ligatures w14:val="none"/>
        </w:rPr>
        <w:t>4.本次拍卖标的以现状进行拍卖，标的物以移交时的现状为准，管理人不作担保。由买受人自行承担相关责任，由此产生的问题也不影响拍卖成交结果及成交价格。管理人不承诺本次拍品的价值，管理人所披露信息仅做参考，具体该拍卖标的物的状况以其现状为准，竞买人应充分进行尽调，谨慎购买，竞买人一旦报名交纳保证金，即表明已完全了解并接受标的物的现状和一切已知及未知的瑕疵，责任自负。因标的现状及存在瑕疵、权利负担等原因导致无法转让、拖延移交增加的费用、影响转让后使用等风险均由买受人自负，管理人不作任何承诺。</w:t>
      </w:r>
    </w:p>
    <w:p w14:paraId="2F39101D">
      <w:pPr>
        <w:widowControl/>
        <w:spacing w:line="360" w:lineRule="auto"/>
        <w:ind w:firstLine="560" w:firstLineChars="200"/>
        <w:jc w:val="left"/>
        <w:rPr>
          <w:rFonts w:hint="eastAsia" w:ascii="华文中宋" w:hAnsi="华文中宋" w:eastAsia="华文中宋" w:cs="Helvetica"/>
          <w:color w:val="666666"/>
          <w:kern w:val="0"/>
          <w:szCs w:val="21"/>
          <w:highlight w:val="none"/>
          <w14:ligatures w14:val="none"/>
        </w:rPr>
      </w:pPr>
      <w:r>
        <w:rPr>
          <w:rFonts w:hint="eastAsia" w:ascii="华文中宋" w:hAnsi="华文中宋" w:eastAsia="华文中宋" w:cs="Helvetica"/>
          <w:color w:val="000000"/>
          <w:kern w:val="0"/>
          <w:sz w:val="28"/>
          <w:szCs w:val="28"/>
          <w:highlight w:val="none"/>
          <w14:ligatures w14:val="none"/>
        </w:rPr>
        <w:t>拍卖成交后，竞得者不得以标的名称不准确、权利已丧失或有瑕疵、权属有争议、数量存在短缺、无法正常使用等方面存在问题或公告规则不合理、不公平等为由提出异议或悔拍。</w:t>
      </w:r>
    </w:p>
    <w:p w14:paraId="3B2BE321">
      <w:pPr>
        <w:widowControl/>
        <w:spacing w:line="360" w:lineRule="auto"/>
        <w:ind w:firstLine="560" w:firstLineChars="200"/>
        <w:jc w:val="left"/>
        <w:rPr>
          <w:rFonts w:hint="eastAsia" w:ascii="华文中宋" w:hAnsi="华文中宋" w:eastAsia="华文中宋" w:cs="Helvetica"/>
          <w:color w:val="666666"/>
          <w:kern w:val="0"/>
          <w:szCs w:val="21"/>
          <w:highlight w:val="none"/>
          <w14:ligatures w14:val="none"/>
        </w:rPr>
      </w:pPr>
      <w:r>
        <w:rPr>
          <w:rFonts w:hint="eastAsia" w:ascii="华文中宋" w:hAnsi="华文中宋" w:eastAsia="华文中宋" w:cs="Helvetica"/>
          <w:color w:val="000000"/>
          <w:kern w:val="0"/>
          <w:sz w:val="28"/>
          <w:szCs w:val="28"/>
          <w:highlight w:val="none"/>
          <w14:ligatures w14:val="none"/>
        </w:rPr>
        <w:t>5.管理人对拍卖标的物已知及可能存在的瑕疵已在本次拍卖资料中作了详尽的说明，管理人不确定标的有无其他瑕疵、有无权利负担、</w:t>
      </w:r>
      <w:r>
        <w:rPr>
          <w:rFonts w:hint="eastAsia" w:ascii="华文中宋" w:hAnsi="华文中宋" w:eastAsia="华文中宋" w:cs="Helvetica"/>
          <w:color w:val="000000"/>
          <w:kern w:val="0"/>
          <w:sz w:val="28"/>
          <w:szCs w:val="28"/>
          <w:highlight w:val="none"/>
          <w14:ligatures w14:val="none"/>
        </w:rPr>
        <w:t>是否存在时效经过情形，</w:t>
      </w:r>
      <w:r>
        <w:rPr>
          <w:rFonts w:hint="eastAsia" w:ascii="华文中宋" w:hAnsi="华文中宋" w:eastAsia="华文中宋" w:cs="Helvetica"/>
          <w:color w:val="000000"/>
          <w:kern w:val="0"/>
          <w:sz w:val="28"/>
          <w:szCs w:val="28"/>
          <w:highlight w:val="none"/>
          <w14:ligatures w14:val="none"/>
        </w:rPr>
        <w:t>标的物以其现状为准，管理人对拍卖标的物所作的说明和提供的图片等，仅供竞买人参考，不构成对标的物的任何担保。</w:t>
      </w:r>
    </w:p>
    <w:p w14:paraId="1DB5447A">
      <w:pPr>
        <w:widowControl/>
        <w:spacing w:line="360" w:lineRule="auto"/>
        <w:ind w:firstLine="560" w:firstLineChars="200"/>
        <w:jc w:val="left"/>
        <w:rPr>
          <w:rFonts w:hint="eastAsia" w:ascii="华文中宋" w:hAnsi="华文中宋" w:eastAsia="华文中宋" w:cs="Helvetica"/>
          <w:color w:val="666666"/>
          <w:kern w:val="0"/>
          <w:szCs w:val="21"/>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4E10CDD7">
      <w:pPr>
        <w:widowControl/>
        <w:spacing w:line="360" w:lineRule="auto"/>
        <w:ind w:firstLine="560" w:firstLineChars="200"/>
        <w:jc w:val="left"/>
        <w:rPr>
          <w:rFonts w:hint="eastAsia" w:ascii="华文中宋" w:hAnsi="华文中宋" w:eastAsia="华文中宋" w:cs="Helvetica"/>
          <w:color w:val="666666"/>
          <w:kern w:val="0"/>
          <w:szCs w:val="21"/>
          <w:highlight w:val="none"/>
          <w14:ligatures w14:val="none"/>
        </w:rPr>
      </w:pPr>
      <w:r>
        <w:rPr>
          <w:rFonts w:hint="eastAsia" w:ascii="华文中宋" w:hAnsi="华文中宋" w:eastAsia="华文中宋" w:cs="Helvetica"/>
          <w:color w:val="000000"/>
          <w:kern w:val="0"/>
          <w:sz w:val="28"/>
          <w:szCs w:val="28"/>
          <w:highlight w:val="none"/>
          <w14:ligatures w14:val="none"/>
        </w:rPr>
        <w:t>二、拍卖标的</w:t>
      </w:r>
    </w:p>
    <w:p w14:paraId="75B5A2EB">
      <w:pPr>
        <w:widowControl/>
        <w:spacing w:line="360" w:lineRule="auto"/>
        <w:ind w:firstLine="560" w:firstLineChars="200"/>
        <w:jc w:val="left"/>
        <w:rPr>
          <w:rFonts w:hint="eastAsia" w:ascii="华文中宋" w:hAnsi="华文中宋" w:eastAsia="华文中宋" w:cs="Helvetica"/>
          <w:color w:val="666666"/>
          <w:kern w:val="0"/>
          <w:szCs w:val="21"/>
          <w:highlight w:val="none"/>
          <w14:ligatures w14:val="none"/>
        </w:rPr>
      </w:pPr>
      <w:r>
        <w:rPr>
          <w:rFonts w:hint="eastAsia" w:ascii="华文中宋" w:hAnsi="华文中宋" w:eastAsia="华文中宋" w:cs="Helvetica"/>
          <w:color w:val="000000"/>
          <w:kern w:val="0"/>
          <w:sz w:val="28"/>
          <w:szCs w:val="28"/>
          <w:highlight w:val="none"/>
          <w14:ligatures w14:val="none"/>
        </w:rPr>
        <w:t>本次拍卖标的为：国龙联盟投资股份有限公司账面记载的5笔对外</w:t>
      </w:r>
      <w:bookmarkStart w:id="0" w:name="OLE_LINK2"/>
      <w:r>
        <w:rPr>
          <w:rFonts w:hint="eastAsia" w:ascii="华文中宋" w:hAnsi="华文中宋" w:eastAsia="华文中宋" w:cs="Helvetica"/>
          <w:color w:val="000000"/>
          <w:kern w:val="0"/>
          <w:sz w:val="28"/>
          <w:szCs w:val="28"/>
          <w:highlight w:val="none"/>
          <w14:ligatures w14:val="none"/>
        </w:rPr>
        <w:t>应收账款</w:t>
      </w:r>
      <w:bookmarkEnd w:id="0"/>
      <w:r>
        <w:rPr>
          <w:rFonts w:hint="eastAsia" w:ascii="华文中宋" w:hAnsi="华文中宋" w:eastAsia="华文中宋" w:cs="Helvetica"/>
          <w:color w:val="000000"/>
          <w:kern w:val="0"/>
          <w:sz w:val="28"/>
          <w:szCs w:val="28"/>
          <w:highlight w:val="none"/>
          <w14:ligatures w14:val="none"/>
        </w:rPr>
        <w:t>，具体情况如下：</w:t>
      </w:r>
    </w:p>
    <w:tbl>
      <w:tblPr>
        <w:tblStyle w:val="3"/>
        <w:tblW w:w="5000" w:type="pct"/>
        <w:tblInd w:w="0" w:type="dxa"/>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Layout w:type="autofit"/>
        <w:tblCellMar>
          <w:top w:w="15" w:type="dxa"/>
          <w:left w:w="15" w:type="dxa"/>
          <w:bottom w:w="15" w:type="dxa"/>
          <w:right w:w="15" w:type="dxa"/>
        </w:tblCellMar>
      </w:tblPr>
      <w:tblGrid>
        <w:gridCol w:w="584"/>
        <w:gridCol w:w="2548"/>
        <w:gridCol w:w="1720"/>
        <w:gridCol w:w="899"/>
        <w:gridCol w:w="2771"/>
      </w:tblGrid>
      <w:tr w14:paraId="1A60F9FE">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324" w:hRule="atLeast"/>
        </w:trPr>
        <w:tc>
          <w:tcPr>
            <w:tcW w:w="363"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54380E33">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序号</w:t>
            </w:r>
          </w:p>
        </w:tc>
        <w:tc>
          <w:tcPr>
            <w:tcW w:w="1515"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585AC0C">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债务人名称</w:t>
            </w:r>
          </w:p>
        </w:tc>
        <w:tc>
          <w:tcPr>
            <w:tcW w:w="927"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42602F3">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金额（元）</w:t>
            </w:r>
          </w:p>
        </w:tc>
        <w:tc>
          <w:tcPr>
            <w:tcW w:w="548"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14C2620">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类型</w:t>
            </w:r>
          </w:p>
        </w:tc>
        <w:tc>
          <w:tcPr>
            <w:tcW w:w="1646"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15F9197">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备注</w:t>
            </w:r>
          </w:p>
        </w:tc>
      </w:tr>
      <w:tr w14:paraId="5F9B8A5B">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317" w:hRule="atLeast"/>
        </w:trPr>
        <w:tc>
          <w:tcPr>
            <w:tcW w:w="363"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563383A">
            <w:pPr>
              <w:widowControl/>
              <w:spacing w:line="315" w:lineRule="atLeast"/>
              <w:jc w:val="center"/>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1</w:t>
            </w:r>
          </w:p>
        </w:tc>
        <w:tc>
          <w:tcPr>
            <w:tcW w:w="1515"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A70D054">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北京电通广告有限公司</w:t>
            </w:r>
          </w:p>
        </w:tc>
        <w:tc>
          <w:tcPr>
            <w:tcW w:w="927"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4F4F663">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900,000.00</w:t>
            </w:r>
          </w:p>
        </w:tc>
        <w:tc>
          <w:tcPr>
            <w:tcW w:w="548"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49D25EE">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应收账款</w:t>
            </w:r>
          </w:p>
        </w:tc>
        <w:tc>
          <w:tcPr>
            <w:tcW w:w="1646"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BC4FFF0">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未接管到债权详细资料，管理人催收未获反馈</w:t>
            </w:r>
          </w:p>
        </w:tc>
      </w:tr>
      <w:tr w14:paraId="7563CAE6">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317" w:hRule="atLeast"/>
        </w:trPr>
        <w:tc>
          <w:tcPr>
            <w:tcW w:w="363"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D179BAC">
            <w:pPr>
              <w:widowControl/>
              <w:spacing w:line="315" w:lineRule="atLeast"/>
              <w:jc w:val="center"/>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2</w:t>
            </w:r>
          </w:p>
        </w:tc>
        <w:tc>
          <w:tcPr>
            <w:tcW w:w="1515"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DBC14CA">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辽宁萤火虫影视广告有限公司</w:t>
            </w:r>
          </w:p>
        </w:tc>
        <w:tc>
          <w:tcPr>
            <w:tcW w:w="927"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376543C">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150,000.00</w:t>
            </w:r>
          </w:p>
        </w:tc>
        <w:tc>
          <w:tcPr>
            <w:tcW w:w="548"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D8A6D3F">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应收账款</w:t>
            </w:r>
          </w:p>
        </w:tc>
        <w:tc>
          <w:tcPr>
            <w:tcW w:w="1646"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28DCFA5">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未接管到债权详细资料，该公司已于2023年3月20日注销</w:t>
            </w:r>
          </w:p>
        </w:tc>
      </w:tr>
      <w:tr w14:paraId="52121D2E">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317" w:hRule="atLeast"/>
        </w:trPr>
        <w:tc>
          <w:tcPr>
            <w:tcW w:w="363"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06BD138">
            <w:pPr>
              <w:widowControl/>
              <w:spacing w:line="315" w:lineRule="atLeast"/>
              <w:jc w:val="center"/>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3</w:t>
            </w:r>
          </w:p>
        </w:tc>
        <w:tc>
          <w:tcPr>
            <w:tcW w:w="1515"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34607F8">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上海聚力传媒技术有限公司</w:t>
            </w:r>
          </w:p>
        </w:tc>
        <w:tc>
          <w:tcPr>
            <w:tcW w:w="927"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0AC7889">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13,559.00</w:t>
            </w:r>
          </w:p>
        </w:tc>
        <w:tc>
          <w:tcPr>
            <w:tcW w:w="548"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398BF29">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应收账款</w:t>
            </w:r>
          </w:p>
        </w:tc>
        <w:tc>
          <w:tcPr>
            <w:tcW w:w="1646"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5EA8C38">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未接管到债权详细资料，管理人催收未获反馈</w:t>
            </w:r>
          </w:p>
        </w:tc>
      </w:tr>
      <w:tr w14:paraId="2E86CD04">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317" w:hRule="atLeast"/>
        </w:trPr>
        <w:tc>
          <w:tcPr>
            <w:tcW w:w="363"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BF64993">
            <w:pPr>
              <w:widowControl/>
              <w:spacing w:line="315" w:lineRule="atLeast"/>
              <w:jc w:val="center"/>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4</w:t>
            </w:r>
          </w:p>
        </w:tc>
        <w:tc>
          <w:tcPr>
            <w:tcW w:w="1515"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52715A67">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北京静渊嘉华投资有限公司</w:t>
            </w:r>
          </w:p>
        </w:tc>
        <w:tc>
          <w:tcPr>
            <w:tcW w:w="927"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1A5FEA1">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100,000.00</w:t>
            </w:r>
          </w:p>
        </w:tc>
        <w:tc>
          <w:tcPr>
            <w:tcW w:w="548"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8263ED4">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应收账款</w:t>
            </w:r>
          </w:p>
        </w:tc>
        <w:tc>
          <w:tcPr>
            <w:tcW w:w="1646"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E452AC6">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未接管到债权详细资料，管理人催收未获反馈</w:t>
            </w:r>
          </w:p>
        </w:tc>
      </w:tr>
      <w:tr w14:paraId="02DEF93B">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317" w:hRule="atLeast"/>
        </w:trPr>
        <w:tc>
          <w:tcPr>
            <w:tcW w:w="363"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473D930">
            <w:pPr>
              <w:widowControl/>
              <w:spacing w:line="315" w:lineRule="atLeast"/>
              <w:jc w:val="center"/>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5</w:t>
            </w:r>
          </w:p>
        </w:tc>
        <w:tc>
          <w:tcPr>
            <w:tcW w:w="1515"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B5FCBE5">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北京枫丹丽舍科技有限公司</w:t>
            </w:r>
          </w:p>
        </w:tc>
        <w:tc>
          <w:tcPr>
            <w:tcW w:w="927"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551DF8A4">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35,619,060.00</w:t>
            </w:r>
          </w:p>
        </w:tc>
        <w:tc>
          <w:tcPr>
            <w:tcW w:w="548"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9D88D82">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应收帐款</w:t>
            </w:r>
          </w:p>
        </w:tc>
        <w:tc>
          <w:tcPr>
            <w:tcW w:w="1646"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3B99D94">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执行已终本，案号：（2021）京0105执22787号，管理人催收未获反馈</w:t>
            </w:r>
          </w:p>
        </w:tc>
      </w:tr>
      <w:tr w14:paraId="48DA9571">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317" w:hRule="atLeast"/>
        </w:trPr>
        <w:tc>
          <w:tcPr>
            <w:tcW w:w="363"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F0C0455">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合计</w:t>
            </w:r>
          </w:p>
        </w:tc>
        <w:tc>
          <w:tcPr>
            <w:tcW w:w="1515"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B0EF7B0">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 </w:t>
            </w:r>
          </w:p>
        </w:tc>
        <w:tc>
          <w:tcPr>
            <w:tcW w:w="927"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840FE5F">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36,782,619.00</w:t>
            </w:r>
          </w:p>
        </w:tc>
        <w:tc>
          <w:tcPr>
            <w:tcW w:w="548"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06B376A">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 </w:t>
            </w:r>
          </w:p>
        </w:tc>
        <w:tc>
          <w:tcPr>
            <w:tcW w:w="1646"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C399A1F">
            <w:pPr>
              <w:widowControl/>
              <w:spacing w:line="315" w:lineRule="atLeast"/>
              <w:jc w:val="left"/>
              <w:rPr>
                <w:rFonts w:hint="eastAsia" w:ascii="华文中宋" w:hAnsi="华文中宋" w:eastAsia="华文中宋" w:cs="Helvetica"/>
                <w:color w:val="666666"/>
                <w:kern w:val="0"/>
                <w:szCs w:val="21"/>
                <w:highlight w:val="none"/>
                <w14:ligatures w14:val="none"/>
              </w:rPr>
            </w:pPr>
            <w:r>
              <w:rPr>
                <w:rFonts w:ascii="华文中宋" w:hAnsi="华文中宋" w:eastAsia="华文中宋" w:cs="Helvetica"/>
                <w:color w:val="000000"/>
                <w:kern w:val="0"/>
                <w:szCs w:val="21"/>
                <w:highlight w:val="none"/>
                <w14:ligatures w14:val="none"/>
              </w:rPr>
              <w:t> </w:t>
            </w:r>
          </w:p>
        </w:tc>
      </w:tr>
    </w:tbl>
    <w:p w14:paraId="1ACFB374">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对上述标的权属有异议者，请于拍卖活动开始前三个工作日与管理人联系。</w:t>
      </w:r>
      <w:r>
        <w:rPr>
          <w:rFonts w:ascii="华文中宋" w:hAnsi="华文中宋" w:eastAsia="华文中宋" w:cs="Helvetica"/>
          <w:color w:val="000000"/>
          <w:kern w:val="0"/>
          <w:sz w:val="28"/>
          <w:szCs w:val="28"/>
          <w:highlight w:val="none"/>
          <w14:ligatures w14:val="none"/>
        </w:rPr>
        <w:br w:type="textWrapping"/>
      </w:r>
    </w:p>
    <w:p w14:paraId="2D2420E4">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三、拍卖时间</w:t>
      </w:r>
    </w:p>
    <w:p w14:paraId="5E0E83B2">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2024年11月21日上午10时至2024年11月22日上午10时。</w:t>
      </w:r>
    </w:p>
    <w:p w14:paraId="6DDF3EB2">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2875163F">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四、拍卖价格</w:t>
      </w:r>
    </w:p>
    <w:p w14:paraId="2EE331CD">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起拍价：【1】元，保证金：【1000】元，增价幅度：【100】元。</w:t>
      </w:r>
    </w:p>
    <w:p w14:paraId="5CFA40D0">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FF0000"/>
          <w:kern w:val="0"/>
          <w:sz w:val="28"/>
          <w:szCs w:val="28"/>
          <w:highlight w:val="none"/>
          <w14:ligatures w14:val="none"/>
        </w:rPr>
        <w:t>特别提醒：买受人悔拍后保证金不予退还。</w:t>
      </w:r>
    </w:p>
    <w:p w14:paraId="07956660">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09851931">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五、标的说明及风险提示</w:t>
      </w:r>
    </w:p>
    <w:p w14:paraId="522415A3">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1、本次拍卖标的为国龙联盟投资股份有限公司账面记载的5笔应收款项，管理人将秉持诚信原则，将管理人掌握的国龙联盟记账凭证、协议、往来明细、函件等债权资料（如有）提供给买受人，但管理人不保证债权文件的真实完整准确性，不保证债权文件所指向的事实不会被管理人尚未掌握的其他证据或事实推翻，并导致债权存在争议、无法收回、产生损失等。管理人不对转让标的设定任何权利负担或对瑕疵承担任何担保责任。竞买人应根据自身需求自行进行必要的调查、了解、核实。</w:t>
      </w:r>
    </w:p>
    <w:p w14:paraId="4D5EE7D4">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2、竞买人应自行调查债务人的具体情况和清偿能力，对影响标的债权价值的一切因素独立进行综合考量后作出是否竞买的决策，并自行承担由此所产生的一切风险、损失以及不能获得相应预期利益的后果。管理人不提供任何债权可收回性的保证或承诺。</w:t>
      </w:r>
    </w:p>
    <w:p w14:paraId="4CF09325">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3、竞买人在拍卖成交后所获得的债权如存在瑕疵或附随义务，买受人将同样受到该瑕疵或附随义务的约束。上述存在的瑕疵或附随义务或尚未发现的缺陷，由买受人自行调查核实并承担相应风险。</w:t>
      </w:r>
    </w:p>
    <w:p w14:paraId="4449D832">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4、管理人负责</w:t>
      </w:r>
      <w:r>
        <w:rPr>
          <w:rFonts w:hint="eastAsia" w:ascii="华文中宋" w:hAnsi="华文中宋" w:eastAsia="华文中宋" w:cs="Helvetica"/>
          <w:color w:val="000000"/>
          <w:kern w:val="0"/>
          <w:sz w:val="28"/>
          <w:szCs w:val="28"/>
          <w:highlight w:val="none"/>
          <w14:ligatures w14:val="none"/>
        </w:rPr>
        <w:t>在交割日后合理期限内</w:t>
      </w:r>
      <w:r>
        <w:rPr>
          <w:rFonts w:hint="eastAsia" w:ascii="华文中宋" w:hAnsi="华文中宋" w:eastAsia="华文中宋" w:cs="Helvetica"/>
          <w:color w:val="000000"/>
          <w:kern w:val="0"/>
          <w:sz w:val="28"/>
          <w:szCs w:val="28"/>
          <w:highlight w:val="none"/>
          <w14:ligatures w14:val="none"/>
        </w:rPr>
        <w:t>向买受人出具债权转让通知书，并向债务人发出债权转让通知书，但不保证债权转让通知能够送达到债务人。买受人竞拍债权后自行向债务人送达相关通知或文书、主张权利并承担相关费用。</w:t>
      </w:r>
    </w:p>
    <w:p w14:paraId="5FF7C343">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5、竞买人应在竞价前自行做好尽职调查，自行判断是否符合竞拍本标的的资格。因不符合条件参加竞买的，由竞买人自行承担相应的法律责任，并自行承担由此产生的全部责任及后果，包括但不限于费用、风险和损失。</w:t>
      </w:r>
    </w:p>
    <w:p w14:paraId="3F0ADE05">
      <w:pPr>
        <w:widowControl/>
        <w:spacing w:line="360" w:lineRule="auto"/>
        <w:ind w:firstLine="560" w:firstLineChars="200"/>
        <w:jc w:val="left"/>
        <w:rPr>
          <w:rFonts w:ascii="华文中宋" w:hAnsi="华文中宋" w:eastAsia="华文中宋" w:cs="Helvetica"/>
          <w:color w:val="000000"/>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6、竞买人竞拍前应自行决定是否竞买，竞买人一经出价即视为对标的物无异议，成交后不得以标的物资料欠缺、债权已过期或者无法收回等以及相关任何原因拒绝支付价款。</w:t>
      </w:r>
    </w:p>
    <w:p w14:paraId="082F06C2">
      <w:pPr>
        <w:widowControl/>
        <w:spacing w:line="360" w:lineRule="auto"/>
        <w:ind w:firstLine="560" w:firstLineChars="200"/>
        <w:jc w:val="left"/>
        <w:rPr>
          <w:rFonts w:hint="eastAsia" w:ascii="华文中宋" w:hAnsi="华文中宋" w:eastAsia="华文中宋" w:cs="Helvetica"/>
          <w:color w:val="000000"/>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7、其他事项披露：管理人新了解到原告北京枫丹丽舍科技有限公司诉被告浙江金沙影业有限公司合同纠纷案件一件【案号：（2024）京0108民初54592号】，国龙联盟投资股份有限公司为该案第三人，该诉讼尚于北京市海淀区人民法院审理过程中，竞买人需自行判断该案件对拍卖标的价值及实现方式等的影响。</w:t>
      </w:r>
    </w:p>
    <w:p w14:paraId="1EF44940">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1CAAD127">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六、咨询、看样</w:t>
      </w:r>
    </w:p>
    <w:p w14:paraId="602681C9">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1、管理人已委托京道华硕（北京）企业管理有限公司协助办理咨询事务，自</w:t>
      </w:r>
      <w:r>
        <w:rPr>
          <w:rFonts w:hint="eastAsia" w:ascii="华文中宋" w:hAnsi="华文中宋" w:eastAsia="华文中宋" w:cs="Helvetica"/>
          <w:color w:val="FF0000"/>
          <w:kern w:val="0"/>
          <w:sz w:val="28"/>
          <w:szCs w:val="28"/>
          <w:highlight w:val="none"/>
          <w14:ligatures w14:val="none"/>
        </w:rPr>
        <w:t>公告之日起至2024年11月21日止（节假日除外）</w:t>
      </w:r>
      <w:r>
        <w:rPr>
          <w:rFonts w:hint="eastAsia" w:ascii="华文中宋" w:hAnsi="华文中宋" w:eastAsia="华文中宋" w:cs="Helvetica"/>
          <w:color w:val="000000"/>
          <w:kern w:val="0"/>
          <w:sz w:val="28"/>
          <w:szCs w:val="28"/>
          <w:highlight w:val="none"/>
          <w14:ligatures w14:val="none"/>
        </w:rPr>
        <w:t>接受咨询，咨询电话13641053920；</w:t>
      </w:r>
    </w:p>
    <w:p w14:paraId="404DD3D6">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2、本次拍卖标的为应收款项，不安排看样。</w:t>
      </w:r>
    </w:p>
    <w:p w14:paraId="04C48E17">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038BB790">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七、竞买人条件</w:t>
      </w:r>
    </w:p>
    <w:p w14:paraId="220DD36D">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1、凡具备完全民事行为能力的公民、法人和其他组织均可参加竞买；法律、行政法规、司法解释对买受人资格或者条件有特殊规定的，竞买人应当具备规定的资格或者条件。因不符合条件参加竞买的，由竞买人自行承担相应的法律后果。</w:t>
      </w:r>
    </w:p>
    <w:p w14:paraId="0774B459">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2、竞买人可委托代理人参与竞买，代理人应为具备完全民事行为能力的自然人，并须在竞买开始前向管理人提交符合要求的授权委托手续。管理人不接受未办理委托的代理行为和拍卖成交后补办委托手续的请求，也不接受将标的资产过户或开具发票到非竞买人名下的请求。未及时办理委托手续的法律后果由竞买人自行承担。</w:t>
      </w:r>
    </w:p>
    <w:p w14:paraId="23377334">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3、负责承办本案件的人民法院、破产企业管理人、阿里平台、承担拍卖辅助工作的社会机构或者组织的工作人员及其近亲属不得参与竞买，并不得委托他人代为竞买与其行为相关的拍卖标的物。</w:t>
      </w:r>
    </w:p>
    <w:p w14:paraId="214B6690">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4、与本标的物有关人员，包括案件当事人、担保物权人（如有）、优先购买权人（如有）等均可参加竞拍，不参加竞拍的请关注本次拍卖活动的整个过程。</w:t>
      </w:r>
    </w:p>
    <w:p w14:paraId="64AA5F87">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5、对上述标的权属有异议者，请于开拍3日前与管理人联系，并提供相应的证据。</w:t>
      </w:r>
    </w:p>
    <w:p w14:paraId="771FA73D">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特别提醒：因不符合条件参加竞买的，由竞买人/买受人自行承担相应的法律责任。</w:t>
      </w:r>
    </w:p>
    <w:p w14:paraId="145FD044">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3AC572FB">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八、拍卖方式</w:t>
      </w:r>
    </w:p>
    <w:p w14:paraId="43D8DC74">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本次拍卖采取有保留价的增价拍卖方式，保留价即为起拍价，至少一人报名且出价不低于起拍价，方可成交。无人报名或出价的，则流拍。</w:t>
      </w:r>
    </w:p>
    <w:p w14:paraId="718E1CBD">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73F16D40">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九、拍卖延时</w:t>
      </w:r>
    </w:p>
    <w:p w14:paraId="0FF9345A">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本次拍卖活动设置延时出价功能，在拍卖活动结束前，每最后5分钟如果有竞买人出价，将自动延迟5分钟。</w:t>
      </w:r>
    </w:p>
    <w:p w14:paraId="665A1D29">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2A1D9E24">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十、税费及其他费用承担</w:t>
      </w:r>
    </w:p>
    <w:p w14:paraId="4D48824D">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1、本次拍卖过程中产生的交易税费均由买受人承担。若标的物需要转让登记手续（如有）则由买受人自行办理，发产生的一切费用由买受人承担。</w:t>
      </w:r>
    </w:p>
    <w:p w14:paraId="71BB98CA">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2、本次拍卖采用阿里拍卖平台拍卖，平台按成交价格的千分之五收取拍卖费用，该部分费用由买受人承担。</w:t>
      </w:r>
    </w:p>
    <w:p w14:paraId="44E16EE6">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3、本次竞价买受人需向司辅机构按照成交价的2%支付综合服务费，买受人应在成交之时起7日内将综合服务费汇款至京道华硕（北京）企业管理有限公司指定账户【户名：京道华硕（北京）企业管理有限公司，开户银行：中国工商银行股份有限公司北京海淀支行，账号：0200049609201452284】。</w:t>
      </w:r>
    </w:p>
    <w:p w14:paraId="17684E97">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179BB2F3">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十一、优先购买权人</w:t>
      </w:r>
    </w:p>
    <w:p w14:paraId="4B2CE1AE">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本标的不涉及优先购买权人。</w:t>
      </w:r>
    </w:p>
    <w:p w14:paraId="13DA9C0B">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44A0FE94">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十二、保证金和余款支付</w:t>
      </w:r>
    </w:p>
    <w:p w14:paraId="6F535086">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1、拍卖竞价前阿里拍卖平台将通过网拍系统在竞买人支付宝账户内冻结相应资金作为应缴的保证金，拍卖结束后未能竞得者冻结的保证金自动解冻，冻结期间不计利息。</w:t>
      </w:r>
    </w:p>
    <w:p w14:paraId="6A451FEF">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2、拍卖成交后，买受人交纳的保证金可以充抵价款，本标的物买受人原锁定的保证金将在买受人支付软件服务费以后的24小时以内自动转入管理人指定账户。</w:t>
      </w:r>
    </w:p>
    <w:p w14:paraId="78E70C61">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3、本标的物竞得者原冻结的保证金自动转入管理人指定账户冲抵价款。拍卖余款由竞得者在拍卖成交（即竞价成功日，下同）后七日内缴入指定账户：</w:t>
      </w:r>
    </w:p>
    <w:p w14:paraId="52D2EF68">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户名：国龙联盟投资股份有限公司管理人</w:t>
      </w:r>
    </w:p>
    <w:p w14:paraId="01374087">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账号：8110701012902720342</w:t>
      </w:r>
    </w:p>
    <w:p w14:paraId="3FB3230E">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开户行：中信银行北京三元桥支行</w:t>
      </w:r>
    </w:p>
    <w:p w14:paraId="5654A9C6">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买受人可在【我的拍卖】中查看已拍下的订单，及时完成余款的支付。买受人应在余款支付期限内完成平台软件服务费的支付，因买受人未支付平台软件服务费用导致保证金未及时到账的，买受人有权延迟交割标的且不构成违约，由此产生的相应责任由买受人自行承担。</w:t>
      </w:r>
    </w:p>
    <w:p w14:paraId="0902067F">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4、拍卖成交后，有下列情形之一的，买受人构成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2DBFE964">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（1）买受人逾期未支付全部成交款的；</w:t>
      </w:r>
    </w:p>
    <w:p w14:paraId="36695E19">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（2）买受人逾期未签署拍卖成交确认文件的；</w:t>
      </w:r>
    </w:p>
    <w:p w14:paraId="034BA47A">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（3）买受人逾期办理交接手续的；</w:t>
      </w:r>
    </w:p>
    <w:p w14:paraId="07F18310">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（4）买受人逾期未启动办理变更登记手续的。</w:t>
      </w:r>
    </w:p>
    <w:p w14:paraId="573DACC5">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7419D5A0">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十三、拍品交付</w:t>
      </w:r>
    </w:p>
    <w:p w14:paraId="1E254467">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1、买受人应于付清全部拍卖成交款后五个工作日内（遇节假日顺延）凭付款凭证及相关身份材料到管理人处（北京市朝阳区建国门外大街甲14号北京广播电视大厦13层）签署拍卖成交确认文件。</w:t>
      </w:r>
    </w:p>
    <w:p w14:paraId="16BDDED7">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2、管理人在收到买受人支付的所有成交价款当日即为本次拍卖标的的交割日。自交割日起，拍卖标的所涉及到相关的瑕疵、损失、义务、责任以及拍卖标的因任何事由而减损、毁损、灭失的风险由买受人承担。自交割之日起，拍卖标的相关款项和权益均归买受人所有。交割日后，管理人不承担拍卖标的的追索、执行、求偿及申报应收款项义务，且对此不承担任何责任，买受人不得就与标的有关事项以任何理由向管理人追究任何法律责任。</w:t>
      </w:r>
    </w:p>
    <w:p w14:paraId="0D1A9328">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4F8C3016">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十四、特别提醒</w:t>
      </w:r>
    </w:p>
    <w:p w14:paraId="501D8B91">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1、竞买人在竞价前自行做好尽职调查，竞买人自行判断是否符合取得本项目资格。</w:t>
      </w:r>
    </w:p>
    <w:p w14:paraId="18800FC5">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2、因不符合条件参加竞买的，由竞买人自行承担相应的法律责任，并自行承担由此产生的全部责任及后果，包括但不限于费用、风险和损失。</w:t>
      </w:r>
    </w:p>
    <w:p w14:paraId="03E9C718">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3、参照法释《北京市高级人民法院关于破产程序中财产网络拍卖的实施办法（修订）》的相关规定，竞买人成功竞得拍卖标的物后，网拍平台将在管理人后台生成相应《网络竞价成功确认书》，确认书中载明实际买受人姓名、网拍竞买号信息，但不进行公示。</w:t>
      </w:r>
    </w:p>
    <w:p w14:paraId="3A87A4FB">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4、在拍卖竞价前请务必再仔细阅读管理人发布的拍卖须知。</w:t>
      </w:r>
    </w:p>
    <w:p w14:paraId="00D1130B">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6FD44903">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十五、咨询电话：</w:t>
      </w:r>
    </w:p>
    <w:p w14:paraId="3E01E4E3">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淘宝技术咨询：400-822-2870 ；</w:t>
      </w:r>
    </w:p>
    <w:p w14:paraId="69B6B3F3">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辅拍机构：王经理13641053920；王经理 15811180413</w:t>
      </w:r>
    </w:p>
    <w:p w14:paraId="2122692A">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本次拍卖活动最终解释权归国龙联盟投资股份有限公司管理人所有。</w:t>
      </w:r>
    </w:p>
    <w:p w14:paraId="40293BB6">
      <w:pPr>
        <w:widowControl/>
        <w:spacing w:line="360" w:lineRule="auto"/>
        <w:ind w:firstLine="560" w:firstLineChars="200"/>
        <w:jc w:val="lef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 </w:t>
      </w:r>
    </w:p>
    <w:p w14:paraId="08E48B97">
      <w:pPr>
        <w:widowControl/>
        <w:spacing w:line="360" w:lineRule="auto"/>
        <w:ind w:firstLine="560" w:firstLineChars="200"/>
        <w:jc w:val="righ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国龙联盟投资股份有限公司管理人</w:t>
      </w:r>
    </w:p>
    <w:p w14:paraId="42CBC47F">
      <w:pPr>
        <w:widowControl/>
        <w:spacing w:line="360" w:lineRule="auto"/>
        <w:ind w:firstLine="560" w:firstLineChars="200"/>
        <w:jc w:val="right"/>
        <w:rPr>
          <w:rFonts w:hint="eastAsia" w:ascii="华文中宋" w:hAnsi="华文中宋" w:eastAsia="华文中宋" w:cs="Helvetica"/>
          <w:color w:val="666666"/>
          <w:kern w:val="0"/>
          <w:sz w:val="28"/>
          <w:szCs w:val="28"/>
          <w:highlight w:val="none"/>
          <w14:ligatures w14:val="none"/>
        </w:rPr>
      </w:pPr>
      <w:r>
        <w:rPr>
          <w:rFonts w:hint="eastAsia" w:ascii="华文中宋" w:hAnsi="华文中宋" w:eastAsia="华文中宋" w:cs="Helvetica"/>
          <w:color w:val="000000"/>
          <w:kern w:val="0"/>
          <w:sz w:val="28"/>
          <w:szCs w:val="28"/>
          <w:highlight w:val="none"/>
          <w14:ligatures w14:val="none"/>
        </w:rPr>
        <w:t>二〇二四年十一月十三日</w:t>
      </w:r>
    </w:p>
    <w:p w14:paraId="29148BF7">
      <w:pPr>
        <w:pStyle w:val="2"/>
        <w:spacing w:before="0" w:beforeAutospacing="0" w:after="0" w:afterAutospacing="0" w:line="360" w:lineRule="auto"/>
        <w:ind w:firstLine="200"/>
        <w:jc w:val="right"/>
        <w:rPr>
          <w:rFonts w:hint="eastAsia" w:ascii="华文中宋" w:hAnsi="华文中宋" w:eastAsia="华文中宋"/>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hZGU2Zjg5MWU1NjZmNjA0ZjYxOGYzZTM4ZTVhZTgifQ=="/>
  </w:docVars>
  <w:rsids>
    <w:rsidRoot w:val="00062F52"/>
    <w:rsid w:val="00032F2D"/>
    <w:rsid w:val="00062F52"/>
    <w:rsid w:val="000C20B6"/>
    <w:rsid w:val="001074EF"/>
    <w:rsid w:val="00130456"/>
    <w:rsid w:val="00140105"/>
    <w:rsid w:val="001A2992"/>
    <w:rsid w:val="00240BBA"/>
    <w:rsid w:val="00472074"/>
    <w:rsid w:val="005F6D35"/>
    <w:rsid w:val="005F730E"/>
    <w:rsid w:val="00642191"/>
    <w:rsid w:val="00682180"/>
    <w:rsid w:val="006F43EA"/>
    <w:rsid w:val="00776CF9"/>
    <w:rsid w:val="00796906"/>
    <w:rsid w:val="00825AD4"/>
    <w:rsid w:val="008D4E9C"/>
    <w:rsid w:val="009756F0"/>
    <w:rsid w:val="00A02645"/>
    <w:rsid w:val="00A03922"/>
    <w:rsid w:val="00A11DDE"/>
    <w:rsid w:val="00AC2F22"/>
    <w:rsid w:val="00B26207"/>
    <w:rsid w:val="00D70DD8"/>
    <w:rsid w:val="00DB5EC7"/>
    <w:rsid w:val="00E2313E"/>
    <w:rsid w:val="00EA1C9D"/>
    <w:rsid w:val="00F86981"/>
    <w:rsid w:val="1F890729"/>
    <w:rsid w:val="397260C6"/>
    <w:rsid w:val="3A764987"/>
    <w:rsid w:val="5A8D7133"/>
    <w:rsid w:val="749111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styleId="5">
    <w:name w:val="Hyperlink"/>
    <w:basedOn w:val="4"/>
    <w:semiHidden/>
    <w:unhideWhenUsed/>
    <w:uiPriority w:val="99"/>
    <w:rPr>
      <w:color w:val="0000FF"/>
      <w:u w:val="single"/>
    </w:rPr>
  </w:style>
  <w:style w:type="paragraph" w:customStyle="1" w:styleId="6">
    <w:name w:val="修订1"/>
    <w:hidden/>
    <w:unhideWhenUsed/>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4387</Words>
  <Characters>4628</Characters>
  <Lines>33</Lines>
  <Paragraphs>9</Paragraphs>
  <TotalTime>129</TotalTime>
  <ScaleCrop>false</ScaleCrop>
  <LinksUpToDate>false</LinksUpToDate>
  <CharactersWithSpaces>4656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2024-10-10T03:30:00Z</dcterms:created>
  <dc:creator>文星 杨</dc:creator>
  <cp:lastModifiedBy>monkey</cp:lastModifiedBy>
  <dcterms:modified xsi:type="dcterms:W3CDTF">2024-11-13T07:07:41Z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B7905721C8EE4CD291F055D58E747292_13</vt:lpwstr>
  </property>
</Properties>
</file>