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BD06D5">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bCs/>
          <w:sz w:val="45"/>
          <w:szCs w:val="45"/>
        </w:rPr>
      </w:pPr>
      <w:r>
        <w:rPr>
          <w:rFonts w:hint="eastAsia" w:ascii="宋体" w:hAnsi="宋体" w:eastAsia="宋体" w:cs="宋体"/>
          <w:b/>
          <w:bCs/>
          <w:sz w:val="45"/>
          <w:szCs w:val="45"/>
          <w:lang w:eastAsia="zh-CN"/>
        </w:rPr>
        <w:t>景德镇康源农业发展有限公司</w:t>
      </w:r>
      <w:r>
        <w:rPr>
          <w:rFonts w:hint="eastAsia" w:ascii="宋体" w:hAnsi="宋体" w:eastAsia="宋体" w:cs="宋体"/>
          <w:b/>
          <w:bCs/>
          <w:sz w:val="45"/>
          <w:szCs w:val="45"/>
        </w:rPr>
        <w:t>预重整案</w:t>
      </w:r>
    </w:p>
    <w:p w14:paraId="27633F89">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bCs/>
          <w:sz w:val="45"/>
          <w:szCs w:val="45"/>
        </w:rPr>
      </w:pPr>
      <w:r>
        <w:rPr>
          <w:rFonts w:hint="eastAsia" w:ascii="宋体" w:hAnsi="宋体" w:eastAsia="宋体" w:cs="宋体"/>
          <w:b/>
          <w:bCs/>
          <w:sz w:val="45"/>
          <w:szCs w:val="45"/>
        </w:rPr>
        <w:t>关于公开招募和遴选重整投资人的</w:t>
      </w:r>
    </w:p>
    <w:p w14:paraId="43134563">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宋体" w:hAnsi="宋体" w:eastAsia="宋体" w:cs="宋体"/>
          <w:b/>
          <w:bCs/>
          <w:sz w:val="45"/>
          <w:szCs w:val="45"/>
        </w:rPr>
      </w:pPr>
      <w:r>
        <w:rPr>
          <w:rFonts w:hint="eastAsia" w:ascii="宋体" w:hAnsi="宋体" w:eastAsia="宋体" w:cs="宋体"/>
          <w:b/>
          <w:bCs/>
          <w:sz w:val="45"/>
          <w:szCs w:val="45"/>
        </w:rPr>
        <w:t>公</w:t>
      </w:r>
      <w:r>
        <w:rPr>
          <w:rFonts w:hint="eastAsia" w:ascii="宋体" w:hAnsi="宋体" w:eastAsia="宋体" w:cs="宋体"/>
          <w:b/>
          <w:bCs/>
          <w:sz w:val="45"/>
          <w:szCs w:val="45"/>
          <w:lang w:val="en-US" w:eastAsia="zh-CN"/>
        </w:rPr>
        <w:t xml:space="preserve">      </w:t>
      </w:r>
      <w:r>
        <w:rPr>
          <w:rFonts w:hint="eastAsia" w:ascii="宋体" w:hAnsi="宋体" w:eastAsia="宋体" w:cs="宋体"/>
          <w:b/>
          <w:bCs/>
          <w:sz w:val="45"/>
          <w:szCs w:val="45"/>
        </w:rPr>
        <w:t>告</w:t>
      </w:r>
    </w:p>
    <w:p w14:paraId="380809D3">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hint="eastAsia" w:ascii="宋体" w:hAnsi="宋体" w:eastAsia="宋体" w:cs="宋体"/>
          <w:b/>
          <w:bCs/>
          <w:sz w:val="45"/>
          <w:szCs w:val="45"/>
        </w:rPr>
      </w:pPr>
    </w:p>
    <w:p w14:paraId="3C673F02">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hint="eastAsia" w:ascii="宋体" w:hAnsi="宋体" w:eastAsia="宋体" w:cs="宋体"/>
          <w:b/>
          <w:bCs/>
          <w:sz w:val="45"/>
          <w:szCs w:val="45"/>
        </w:rPr>
      </w:pPr>
    </w:p>
    <w:p w14:paraId="315448DE">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lang w:val="en-US" w:eastAsia="zh-CN"/>
        </w:rPr>
        <w:t>江西省景德镇市中级人民法院（以下简称景德镇中院）</w:t>
      </w:r>
      <w:r>
        <w:rPr>
          <w:rFonts w:hint="eastAsia" w:ascii="仿宋" w:hAnsi="仿宋" w:eastAsia="仿宋" w:cs="仿宋"/>
          <w:sz w:val="32"/>
          <w:szCs w:val="32"/>
        </w:rPr>
        <w:t>于202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9</w:t>
      </w:r>
      <w:r>
        <w:rPr>
          <w:rFonts w:hint="eastAsia" w:ascii="仿宋" w:hAnsi="仿宋" w:eastAsia="仿宋" w:cs="仿宋"/>
          <w:sz w:val="32"/>
          <w:szCs w:val="32"/>
        </w:rPr>
        <w:t>月</w:t>
      </w:r>
      <w:r>
        <w:rPr>
          <w:rFonts w:hint="eastAsia" w:ascii="仿宋" w:hAnsi="仿宋" w:eastAsia="仿宋" w:cs="仿宋"/>
          <w:sz w:val="32"/>
          <w:szCs w:val="32"/>
          <w:lang w:val="en-US" w:eastAsia="zh-CN"/>
        </w:rPr>
        <w:t>30</w:t>
      </w:r>
      <w:r>
        <w:rPr>
          <w:rFonts w:hint="eastAsia" w:ascii="仿宋" w:hAnsi="仿宋" w:eastAsia="仿宋" w:cs="仿宋"/>
          <w:sz w:val="32"/>
          <w:szCs w:val="32"/>
        </w:rPr>
        <w:t>日决定</w:t>
      </w:r>
      <w:r>
        <w:rPr>
          <w:rFonts w:hint="eastAsia" w:ascii="仿宋" w:hAnsi="仿宋" w:eastAsia="仿宋" w:cs="仿宋"/>
          <w:sz w:val="32"/>
          <w:szCs w:val="32"/>
          <w:lang w:val="en-US" w:eastAsia="zh-CN"/>
        </w:rPr>
        <w:t>对</w:t>
      </w:r>
      <w:r>
        <w:rPr>
          <w:rFonts w:hint="eastAsia" w:ascii="仿宋" w:hAnsi="仿宋" w:eastAsia="仿宋" w:cs="仿宋"/>
          <w:sz w:val="32"/>
          <w:szCs w:val="32"/>
          <w:lang w:eastAsia="zh-CN"/>
        </w:rPr>
        <w:t>景德镇康源农业发展有限公司</w:t>
      </w:r>
      <w:r>
        <w:rPr>
          <w:rFonts w:hint="eastAsia" w:ascii="仿宋" w:hAnsi="仿宋" w:eastAsia="仿宋" w:cs="仿宋"/>
          <w:sz w:val="32"/>
          <w:szCs w:val="32"/>
        </w:rPr>
        <w:t>(以下简称“</w:t>
      </w:r>
      <w:r>
        <w:rPr>
          <w:rFonts w:hint="eastAsia" w:ascii="仿宋" w:hAnsi="仿宋" w:eastAsia="仿宋" w:cs="仿宋"/>
          <w:sz w:val="32"/>
          <w:szCs w:val="32"/>
          <w:lang w:val="en-US" w:eastAsia="zh-CN"/>
        </w:rPr>
        <w:t>康源公司</w:t>
      </w:r>
      <w:r>
        <w:rPr>
          <w:rFonts w:hint="eastAsia" w:ascii="仿宋" w:hAnsi="仿宋" w:eastAsia="仿宋" w:cs="仿宋"/>
          <w:sz w:val="32"/>
          <w:szCs w:val="32"/>
        </w:rPr>
        <w:t>”)进行预重整。202</w:t>
      </w:r>
      <w:r>
        <w:rPr>
          <w:rFonts w:hint="eastAsia" w:ascii="仿宋" w:hAnsi="仿宋" w:eastAsia="仿宋" w:cs="仿宋"/>
          <w:sz w:val="32"/>
          <w:szCs w:val="32"/>
          <w:lang w:val="en-US" w:eastAsia="zh-CN"/>
        </w:rPr>
        <w:t>4</w:t>
      </w:r>
      <w:r>
        <w:rPr>
          <w:rFonts w:hint="eastAsia" w:ascii="仿宋" w:hAnsi="仿宋" w:eastAsia="仿宋" w:cs="仿宋"/>
          <w:sz w:val="32"/>
          <w:szCs w:val="32"/>
        </w:rPr>
        <w:t>年1</w:t>
      </w:r>
      <w:r>
        <w:rPr>
          <w:rFonts w:hint="eastAsia" w:ascii="仿宋" w:hAnsi="仿宋" w:eastAsia="仿宋" w:cs="仿宋"/>
          <w:sz w:val="32"/>
          <w:szCs w:val="32"/>
          <w:lang w:val="en-US" w:eastAsia="zh-CN"/>
        </w:rPr>
        <w:t>0</w:t>
      </w:r>
      <w:r>
        <w:rPr>
          <w:rFonts w:hint="eastAsia" w:ascii="仿宋" w:hAnsi="仿宋" w:eastAsia="仿宋" w:cs="仿宋"/>
          <w:sz w:val="32"/>
          <w:szCs w:val="32"/>
        </w:rPr>
        <w:t>月</w:t>
      </w:r>
      <w:r>
        <w:rPr>
          <w:rFonts w:hint="eastAsia" w:ascii="仿宋" w:hAnsi="仿宋" w:eastAsia="仿宋" w:cs="仿宋"/>
          <w:sz w:val="32"/>
          <w:szCs w:val="32"/>
          <w:lang w:val="en-US" w:eastAsia="zh-CN"/>
        </w:rPr>
        <w:t>15</w:t>
      </w:r>
      <w:r>
        <w:rPr>
          <w:rFonts w:hint="eastAsia" w:ascii="仿宋" w:hAnsi="仿宋" w:eastAsia="仿宋" w:cs="仿宋"/>
          <w:sz w:val="32"/>
          <w:szCs w:val="32"/>
        </w:rPr>
        <w:t>日，景德镇中院指定</w:t>
      </w:r>
      <w:r>
        <w:rPr>
          <w:rFonts w:hint="eastAsia" w:ascii="仿宋" w:hAnsi="仿宋" w:eastAsia="仿宋" w:cs="仿宋"/>
          <w:sz w:val="32"/>
          <w:szCs w:val="32"/>
          <w:lang w:eastAsia="zh-CN"/>
        </w:rPr>
        <w:t>江西晨天律师事务所</w:t>
      </w:r>
      <w:r>
        <w:rPr>
          <w:rFonts w:hint="eastAsia" w:ascii="仿宋" w:hAnsi="仿宋" w:eastAsia="仿宋" w:cs="仿宋"/>
          <w:sz w:val="32"/>
          <w:szCs w:val="32"/>
        </w:rPr>
        <w:t>担任预重整临时管理人。</w:t>
      </w:r>
    </w:p>
    <w:p w14:paraId="733D9EF6">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为顺利推进</w:t>
      </w:r>
      <w:r>
        <w:rPr>
          <w:rFonts w:hint="eastAsia" w:ascii="仿宋" w:hAnsi="仿宋" w:eastAsia="仿宋" w:cs="仿宋"/>
          <w:sz w:val="32"/>
          <w:szCs w:val="32"/>
          <w:lang w:eastAsia="zh-CN"/>
        </w:rPr>
        <w:t>康源公司</w:t>
      </w:r>
      <w:r>
        <w:rPr>
          <w:rFonts w:hint="eastAsia" w:ascii="仿宋" w:hAnsi="仿宋" w:eastAsia="仿宋" w:cs="仿宋"/>
          <w:sz w:val="32"/>
          <w:szCs w:val="32"/>
        </w:rPr>
        <w:t>预重整和重整工作，化解公司债务危机，保障公司持续经营能力、</w:t>
      </w:r>
      <w:r>
        <w:rPr>
          <w:rFonts w:hint="eastAsia" w:ascii="仿宋" w:hAnsi="仿宋" w:eastAsia="仿宋" w:cs="仿宋"/>
          <w:sz w:val="32"/>
          <w:szCs w:val="32"/>
          <w:lang w:val="en-US" w:eastAsia="zh-CN"/>
        </w:rPr>
        <w:t>维护全体</w:t>
      </w:r>
      <w:r>
        <w:rPr>
          <w:rFonts w:hint="eastAsia" w:ascii="仿宋" w:hAnsi="仿宋" w:eastAsia="仿宋" w:cs="仿宋"/>
          <w:sz w:val="32"/>
          <w:szCs w:val="32"/>
        </w:rPr>
        <w:t>债权人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债务人及</w:t>
      </w:r>
      <w:r>
        <w:rPr>
          <w:rFonts w:hint="eastAsia" w:ascii="仿宋" w:hAnsi="仿宋" w:eastAsia="仿宋" w:cs="仿宋"/>
          <w:sz w:val="32"/>
          <w:szCs w:val="32"/>
        </w:rPr>
        <w:t>其他相关利益主体</w:t>
      </w:r>
      <w:r>
        <w:rPr>
          <w:rFonts w:hint="eastAsia" w:ascii="仿宋" w:hAnsi="仿宋" w:eastAsia="仿宋" w:cs="仿宋"/>
          <w:sz w:val="32"/>
          <w:szCs w:val="32"/>
          <w:lang w:val="en-US" w:eastAsia="zh-CN"/>
        </w:rPr>
        <w:t>的</w:t>
      </w:r>
      <w:r>
        <w:rPr>
          <w:rFonts w:hint="eastAsia" w:ascii="仿宋" w:hAnsi="仿宋" w:eastAsia="仿宋" w:cs="仿宋"/>
          <w:sz w:val="32"/>
          <w:szCs w:val="32"/>
        </w:rPr>
        <w:t>合法利益，临时管理人参照《中华人民共和国企业破产法》、《江西省高级人民法院关于审理企业破产预重整案件工作指引》（赣高法〔2022]63号）及其他相关法律规定，</w:t>
      </w:r>
      <w:r>
        <w:rPr>
          <w:rFonts w:hint="eastAsia" w:ascii="仿宋" w:hAnsi="仿宋" w:eastAsia="仿宋" w:cs="仿宋"/>
          <w:sz w:val="32"/>
          <w:szCs w:val="32"/>
          <w:lang w:val="en-US" w:eastAsia="zh-CN"/>
        </w:rPr>
        <w:t>向社会</w:t>
      </w:r>
      <w:r>
        <w:rPr>
          <w:rFonts w:hint="eastAsia" w:ascii="仿宋" w:hAnsi="仿宋" w:eastAsia="仿宋" w:cs="仿宋"/>
          <w:sz w:val="32"/>
          <w:szCs w:val="32"/>
        </w:rPr>
        <w:t>公开招募和遴选重整投资人（以下简称“本次招募和遴选”）。现就本次招募和遴选相关事项公告如下：</w:t>
      </w:r>
    </w:p>
    <w:p w14:paraId="44A83C3E">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before="70" w:line="219" w:lineRule="auto"/>
        <w:ind w:left="735" w:leftChars="0"/>
        <w:jc w:val="both"/>
        <w:textAlignment w:val="baseline"/>
        <w:rPr>
          <w:b/>
          <w:bCs/>
          <w:sz w:val="31"/>
          <w:szCs w:val="31"/>
        </w:rPr>
      </w:pPr>
      <w:r>
        <w:rPr>
          <w:rFonts w:hint="eastAsia" w:ascii="仿宋" w:hAnsi="仿宋" w:eastAsia="仿宋" w:cs="仿宋"/>
          <w:b/>
          <w:bCs/>
          <w:snapToGrid w:val="0"/>
          <w:color w:val="000000"/>
          <w:kern w:val="0"/>
          <w:sz w:val="31"/>
          <w:szCs w:val="31"/>
          <w:lang w:val="en-US" w:eastAsia="en-US" w:bidi="ar-SA"/>
        </w:rPr>
        <w:t>一、</w:t>
      </w:r>
      <w:r>
        <w:rPr>
          <w:b/>
          <w:bCs/>
          <w:sz w:val="31"/>
          <w:szCs w:val="31"/>
        </w:rPr>
        <w:t>目标公司</w:t>
      </w:r>
      <w:r>
        <w:rPr>
          <w:rFonts w:hint="eastAsia"/>
          <w:b/>
          <w:bCs/>
          <w:sz w:val="31"/>
          <w:szCs w:val="31"/>
          <w:lang w:val="en-US" w:eastAsia="zh-CN"/>
        </w:rPr>
        <w:t>概况</w:t>
      </w:r>
    </w:p>
    <w:p w14:paraId="7D1C955C">
      <w:pPr>
        <w:pStyle w:val="2"/>
        <w:keepNext w:val="0"/>
        <w:keepLines w:val="0"/>
        <w:pageBreakBefore w:val="0"/>
        <w:widowControl/>
        <w:kinsoku w:val="0"/>
        <w:wordWrap/>
        <w:overflowPunct/>
        <w:topLinePunct w:val="0"/>
        <w:autoSpaceDE w:val="0"/>
        <w:autoSpaceDN w:val="0"/>
        <w:bidi w:val="0"/>
        <w:adjustRightInd w:val="0"/>
        <w:snapToGrid w:val="0"/>
        <w:spacing w:before="221" w:line="223" w:lineRule="auto"/>
        <w:ind w:left="592"/>
        <w:jc w:val="both"/>
        <w:textAlignment w:val="baseline"/>
      </w:pPr>
      <w:r>
        <w:rPr>
          <w:spacing w:val="-2"/>
        </w:rPr>
        <w:t>（一）公司基本情况</w:t>
      </w:r>
    </w:p>
    <w:p w14:paraId="1C20AF2B">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before="70" w:line="219" w:lineRule="auto"/>
        <w:jc w:val="both"/>
        <w:textAlignment w:val="baseline"/>
        <w:rPr>
          <w:b/>
          <w:bCs/>
          <w:sz w:val="31"/>
          <w:szCs w:val="31"/>
        </w:rPr>
      </w:pPr>
    </w:p>
    <w:tbl>
      <w:tblPr>
        <w:tblStyle w:val="6"/>
        <w:tblW w:w="829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81"/>
        <w:gridCol w:w="1576"/>
        <w:gridCol w:w="1401"/>
        <w:gridCol w:w="2741"/>
      </w:tblGrid>
      <w:tr w14:paraId="64A48C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7" w:hRule="atLeast"/>
        </w:trPr>
        <w:tc>
          <w:tcPr>
            <w:tcW w:w="2581" w:type="dxa"/>
            <w:vAlign w:val="center"/>
          </w:tcPr>
          <w:p w14:paraId="1E41880A">
            <w:pPr>
              <w:pStyle w:val="5"/>
              <w:keepNext w:val="0"/>
              <w:keepLines w:val="0"/>
              <w:pageBreakBefore w:val="0"/>
              <w:widowControl/>
              <w:kinsoku w:val="0"/>
              <w:wordWrap/>
              <w:overflowPunct/>
              <w:topLinePunct w:val="0"/>
              <w:autoSpaceDE w:val="0"/>
              <w:autoSpaceDN w:val="0"/>
              <w:bidi w:val="0"/>
              <w:adjustRightInd w:val="0"/>
              <w:snapToGrid w:val="0"/>
              <w:spacing w:before="123" w:line="221" w:lineRule="auto"/>
              <w:ind w:left="735"/>
              <w:jc w:val="center"/>
              <w:textAlignment w:val="baseline"/>
              <w:rPr>
                <w:rFonts w:hint="eastAsia" w:ascii="仿宋" w:hAnsi="仿宋" w:eastAsia="仿宋" w:cs="仿宋"/>
                <w:sz w:val="24"/>
                <w:szCs w:val="24"/>
              </w:rPr>
            </w:pPr>
            <w:r>
              <w:rPr>
                <w:rFonts w:hint="eastAsia" w:ascii="仿宋" w:hAnsi="仿宋" w:eastAsia="仿宋" w:cs="仿宋"/>
                <w:spacing w:val="4"/>
                <w:sz w:val="24"/>
                <w:szCs w:val="24"/>
              </w:rPr>
              <w:t>企业名称</w:t>
            </w:r>
          </w:p>
        </w:tc>
        <w:tc>
          <w:tcPr>
            <w:tcW w:w="5718" w:type="dxa"/>
            <w:gridSpan w:val="3"/>
            <w:vAlign w:val="center"/>
          </w:tcPr>
          <w:p w14:paraId="53B6163A">
            <w:pPr>
              <w:pStyle w:val="5"/>
              <w:keepNext w:val="0"/>
              <w:keepLines w:val="0"/>
              <w:pageBreakBefore w:val="0"/>
              <w:widowControl/>
              <w:kinsoku w:val="0"/>
              <w:wordWrap/>
              <w:overflowPunct/>
              <w:topLinePunct w:val="0"/>
              <w:autoSpaceDE w:val="0"/>
              <w:autoSpaceDN w:val="0"/>
              <w:bidi w:val="0"/>
              <w:adjustRightInd w:val="0"/>
              <w:snapToGrid w:val="0"/>
              <w:spacing w:before="118" w:line="219" w:lineRule="auto"/>
              <w:jc w:val="center"/>
              <w:textAlignment w:val="baseline"/>
              <w:rPr>
                <w:rFonts w:hint="eastAsia" w:ascii="仿宋" w:hAnsi="仿宋" w:eastAsia="仿宋" w:cs="仿宋"/>
                <w:sz w:val="24"/>
                <w:szCs w:val="24"/>
              </w:rPr>
            </w:pPr>
            <w:r>
              <w:rPr>
                <w:rFonts w:hint="eastAsia" w:ascii="仿宋" w:hAnsi="仿宋" w:eastAsia="仿宋" w:cs="仿宋"/>
                <w:spacing w:val="3"/>
                <w:sz w:val="24"/>
                <w:szCs w:val="24"/>
              </w:rPr>
              <w:t>景德镇康源农业发展有限公司</w:t>
            </w:r>
          </w:p>
        </w:tc>
      </w:tr>
      <w:tr w14:paraId="183264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6" w:hRule="atLeast"/>
        </w:trPr>
        <w:tc>
          <w:tcPr>
            <w:tcW w:w="2581" w:type="dxa"/>
            <w:vAlign w:val="center"/>
          </w:tcPr>
          <w:p w14:paraId="1BE0E5EE">
            <w:pPr>
              <w:pStyle w:val="5"/>
              <w:keepNext w:val="0"/>
              <w:keepLines w:val="0"/>
              <w:pageBreakBefore w:val="0"/>
              <w:widowControl/>
              <w:kinsoku w:val="0"/>
              <w:wordWrap/>
              <w:overflowPunct/>
              <w:topLinePunct w:val="0"/>
              <w:autoSpaceDE w:val="0"/>
              <w:autoSpaceDN w:val="0"/>
              <w:bidi w:val="0"/>
              <w:adjustRightInd w:val="0"/>
              <w:snapToGrid w:val="0"/>
              <w:spacing w:before="113" w:line="219" w:lineRule="auto"/>
              <w:ind w:left="74"/>
              <w:jc w:val="center"/>
              <w:textAlignment w:val="baseline"/>
              <w:rPr>
                <w:rFonts w:hint="eastAsia" w:ascii="仿宋" w:hAnsi="仿宋" w:eastAsia="仿宋" w:cs="仿宋"/>
                <w:sz w:val="24"/>
                <w:szCs w:val="24"/>
              </w:rPr>
            </w:pPr>
            <w:r>
              <w:rPr>
                <w:rFonts w:hint="eastAsia" w:ascii="仿宋" w:hAnsi="仿宋" w:eastAsia="仿宋" w:cs="仿宋"/>
                <w:spacing w:val="2"/>
                <w:sz w:val="24"/>
                <w:szCs w:val="24"/>
              </w:rPr>
              <w:t>统一社会信用代码</w:t>
            </w:r>
          </w:p>
        </w:tc>
        <w:tc>
          <w:tcPr>
            <w:tcW w:w="5718" w:type="dxa"/>
            <w:gridSpan w:val="3"/>
            <w:vAlign w:val="center"/>
          </w:tcPr>
          <w:p w14:paraId="04E59B5A">
            <w:pPr>
              <w:pStyle w:val="5"/>
              <w:keepNext w:val="0"/>
              <w:keepLines w:val="0"/>
              <w:pageBreakBefore w:val="0"/>
              <w:widowControl/>
              <w:kinsoku w:val="0"/>
              <w:wordWrap/>
              <w:overflowPunct/>
              <w:topLinePunct w:val="0"/>
              <w:autoSpaceDE w:val="0"/>
              <w:autoSpaceDN w:val="0"/>
              <w:bidi w:val="0"/>
              <w:adjustRightInd w:val="0"/>
              <w:snapToGrid w:val="0"/>
              <w:spacing w:before="198" w:line="184" w:lineRule="auto"/>
              <w:jc w:val="center"/>
              <w:textAlignment w:val="baseline"/>
              <w:rPr>
                <w:rFonts w:hint="eastAsia" w:ascii="仿宋" w:hAnsi="仿宋" w:eastAsia="仿宋" w:cs="仿宋"/>
                <w:sz w:val="24"/>
                <w:szCs w:val="24"/>
              </w:rPr>
            </w:pPr>
            <w:r>
              <w:rPr>
                <w:rFonts w:hint="eastAsia" w:ascii="仿宋" w:hAnsi="仿宋" w:eastAsia="仿宋" w:cs="仿宋"/>
                <w:spacing w:val="-1"/>
                <w:sz w:val="24"/>
                <w:szCs w:val="24"/>
              </w:rPr>
              <w:t>91360222680901987T</w:t>
            </w:r>
          </w:p>
        </w:tc>
      </w:tr>
      <w:tr w14:paraId="6D2DA2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4" w:hRule="atLeast"/>
        </w:trPr>
        <w:tc>
          <w:tcPr>
            <w:tcW w:w="2581" w:type="dxa"/>
            <w:vAlign w:val="center"/>
          </w:tcPr>
          <w:p w14:paraId="1BDC00CE">
            <w:pPr>
              <w:pStyle w:val="5"/>
              <w:keepNext w:val="0"/>
              <w:keepLines w:val="0"/>
              <w:pageBreakBefore w:val="0"/>
              <w:widowControl/>
              <w:kinsoku w:val="0"/>
              <w:wordWrap/>
              <w:overflowPunct/>
              <w:topLinePunct w:val="0"/>
              <w:autoSpaceDE w:val="0"/>
              <w:autoSpaceDN w:val="0"/>
              <w:bidi w:val="0"/>
              <w:adjustRightInd w:val="0"/>
              <w:snapToGrid w:val="0"/>
              <w:spacing w:before="106" w:line="219" w:lineRule="auto"/>
              <w:ind w:left="575"/>
              <w:jc w:val="center"/>
              <w:textAlignment w:val="baseline"/>
              <w:rPr>
                <w:rFonts w:hint="eastAsia" w:ascii="仿宋" w:hAnsi="仿宋" w:eastAsia="仿宋" w:cs="仿宋"/>
                <w:sz w:val="24"/>
                <w:szCs w:val="24"/>
              </w:rPr>
            </w:pPr>
            <w:r>
              <w:rPr>
                <w:rFonts w:hint="eastAsia" w:ascii="仿宋" w:hAnsi="仿宋" w:eastAsia="仿宋" w:cs="仿宋"/>
                <w:spacing w:val="2"/>
                <w:sz w:val="24"/>
                <w:szCs w:val="24"/>
              </w:rPr>
              <w:t>法定代表人</w:t>
            </w:r>
          </w:p>
        </w:tc>
        <w:tc>
          <w:tcPr>
            <w:tcW w:w="1576" w:type="dxa"/>
            <w:vAlign w:val="center"/>
          </w:tcPr>
          <w:p w14:paraId="6C3BCF8B">
            <w:pPr>
              <w:pStyle w:val="5"/>
              <w:keepNext w:val="0"/>
              <w:keepLines w:val="0"/>
              <w:pageBreakBefore w:val="0"/>
              <w:widowControl/>
              <w:kinsoku w:val="0"/>
              <w:wordWrap/>
              <w:overflowPunct/>
              <w:topLinePunct w:val="0"/>
              <w:autoSpaceDE w:val="0"/>
              <w:autoSpaceDN w:val="0"/>
              <w:bidi w:val="0"/>
              <w:adjustRightInd w:val="0"/>
              <w:snapToGrid w:val="0"/>
              <w:spacing w:before="106" w:line="219" w:lineRule="auto"/>
              <w:jc w:val="center"/>
              <w:textAlignment w:val="baseline"/>
              <w:rPr>
                <w:rFonts w:hint="eastAsia" w:ascii="仿宋" w:hAnsi="仿宋" w:eastAsia="仿宋" w:cs="仿宋"/>
                <w:sz w:val="24"/>
                <w:szCs w:val="24"/>
                <w:lang w:val="en-US" w:eastAsia="zh-CN"/>
              </w:rPr>
            </w:pPr>
            <w:r>
              <w:rPr>
                <w:rFonts w:hint="eastAsia" w:ascii="仿宋" w:hAnsi="仿宋" w:eastAsia="仿宋" w:cs="仿宋"/>
                <w:spacing w:val="5"/>
                <w:sz w:val="24"/>
                <w:szCs w:val="24"/>
              </w:rPr>
              <w:t>张</w:t>
            </w:r>
            <w:r>
              <w:rPr>
                <w:rFonts w:hint="eastAsia" w:ascii="仿宋" w:hAnsi="仿宋" w:eastAsia="仿宋" w:cs="仿宋"/>
                <w:spacing w:val="5"/>
                <w:sz w:val="24"/>
                <w:szCs w:val="24"/>
                <w:lang w:val="en-US" w:eastAsia="zh-CN"/>
              </w:rPr>
              <w:t>仁华</w:t>
            </w:r>
          </w:p>
        </w:tc>
        <w:tc>
          <w:tcPr>
            <w:tcW w:w="1401" w:type="dxa"/>
            <w:vAlign w:val="center"/>
          </w:tcPr>
          <w:p w14:paraId="2B4E6CB3">
            <w:pPr>
              <w:pStyle w:val="5"/>
              <w:keepNext w:val="0"/>
              <w:keepLines w:val="0"/>
              <w:pageBreakBefore w:val="0"/>
              <w:widowControl/>
              <w:kinsoku w:val="0"/>
              <w:wordWrap/>
              <w:overflowPunct/>
              <w:topLinePunct w:val="0"/>
              <w:autoSpaceDE w:val="0"/>
              <w:autoSpaceDN w:val="0"/>
              <w:bidi w:val="0"/>
              <w:adjustRightInd w:val="0"/>
              <w:snapToGrid w:val="0"/>
              <w:spacing w:before="104" w:line="219" w:lineRule="auto"/>
              <w:ind w:left="105"/>
              <w:jc w:val="center"/>
              <w:textAlignment w:val="baseline"/>
              <w:rPr>
                <w:rFonts w:hint="eastAsia" w:ascii="仿宋" w:hAnsi="仿宋" w:eastAsia="仿宋" w:cs="仿宋"/>
                <w:sz w:val="24"/>
                <w:szCs w:val="24"/>
              </w:rPr>
            </w:pPr>
            <w:r>
              <w:rPr>
                <w:rFonts w:hint="eastAsia" w:ascii="仿宋" w:hAnsi="仿宋" w:eastAsia="仿宋" w:cs="仿宋"/>
                <w:spacing w:val="3"/>
                <w:sz w:val="24"/>
                <w:szCs w:val="24"/>
              </w:rPr>
              <w:t>注册资本</w:t>
            </w:r>
          </w:p>
        </w:tc>
        <w:tc>
          <w:tcPr>
            <w:tcW w:w="2741" w:type="dxa"/>
            <w:vAlign w:val="center"/>
          </w:tcPr>
          <w:p w14:paraId="69B3B4D4">
            <w:pPr>
              <w:pStyle w:val="5"/>
              <w:keepNext w:val="0"/>
              <w:keepLines w:val="0"/>
              <w:pageBreakBefore w:val="0"/>
              <w:widowControl/>
              <w:kinsoku w:val="0"/>
              <w:wordWrap/>
              <w:overflowPunct/>
              <w:topLinePunct w:val="0"/>
              <w:autoSpaceDE w:val="0"/>
              <w:autoSpaceDN w:val="0"/>
              <w:bidi w:val="0"/>
              <w:adjustRightInd w:val="0"/>
              <w:snapToGrid w:val="0"/>
              <w:spacing w:before="104" w:line="219" w:lineRule="auto"/>
              <w:jc w:val="center"/>
              <w:textAlignment w:val="baseline"/>
              <w:rPr>
                <w:rFonts w:hint="eastAsia" w:ascii="仿宋" w:hAnsi="仿宋" w:eastAsia="仿宋" w:cs="仿宋"/>
                <w:sz w:val="24"/>
                <w:szCs w:val="24"/>
              </w:rPr>
            </w:pPr>
            <w:r>
              <w:rPr>
                <w:rFonts w:hint="eastAsia" w:ascii="仿宋" w:hAnsi="仿宋" w:eastAsia="仿宋" w:cs="仿宋"/>
                <w:spacing w:val="5"/>
                <w:sz w:val="24"/>
                <w:szCs w:val="24"/>
                <w:lang w:val="en-US" w:eastAsia="zh-CN"/>
              </w:rPr>
              <w:t>11000</w:t>
            </w:r>
            <w:r>
              <w:rPr>
                <w:rFonts w:hint="eastAsia" w:ascii="仿宋" w:hAnsi="仿宋" w:eastAsia="仿宋" w:cs="仿宋"/>
                <w:spacing w:val="5"/>
                <w:sz w:val="24"/>
                <w:szCs w:val="24"/>
              </w:rPr>
              <w:t>万人民币</w:t>
            </w:r>
          </w:p>
        </w:tc>
      </w:tr>
      <w:tr w14:paraId="3C5B22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2" w:hRule="atLeast"/>
        </w:trPr>
        <w:tc>
          <w:tcPr>
            <w:tcW w:w="2581" w:type="dxa"/>
            <w:vAlign w:val="center"/>
          </w:tcPr>
          <w:p w14:paraId="3A6A69E9">
            <w:pPr>
              <w:pStyle w:val="5"/>
              <w:keepNext w:val="0"/>
              <w:keepLines w:val="0"/>
              <w:pageBreakBefore w:val="0"/>
              <w:widowControl/>
              <w:kinsoku w:val="0"/>
              <w:wordWrap/>
              <w:overflowPunct/>
              <w:topLinePunct w:val="0"/>
              <w:autoSpaceDE w:val="0"/>
              <w:autoSpaceDN w:val="0"/>
              <w:bidi w:val="0"/>
              <w:adjustRightInd w:val="0"/>
              <w:snapToGrid w:val="0"/>
              <w:spacing w:before="118" w:line="220" w:lineRule="auto"/>
              <w:ind w:left="735"/>
              <w:jc w:val="center"/>
              <w:textAlignment w:val="baseline"/>
              <w:rPr>
                <w:rFonts w:hint="eastAsia" w:ascii="仿宋" w:hAnsi="仿宋" w:eastAsia="仿宋" w:cs="仿宋"/>
                <w:sz w:val="24"/>
                <w:szCs w:val="24"/>
              </w:rPr>
            </w:pPr>
            <w:r>
              <w:rPr>
                <w:rFonts w:hint="eastAsia" w:ascii="仿宋" w:hAnsi="仿宋" w:eastAsia="仿宋" w:cs="仿宋"/>
                <w:spacing w:val="5"/>
                <w:sz w:val="24"/>
                <w:szCs w:val="24"/>
              </w:rPr>
              <w:t>成立日期</w:t>
            </w:r>
          </w:p>
        </w:tc>
        <w:tc>
          <w:tcPr>
            <w:tcW w:w="5718" w:type="dxa"/>
            <w:gridSpan w:val="3"/>
            <w:vAlign w:val="center"/>
          </w:tcPr>
          <w:p w14:paraId="52D48741">
            <w:pPr>
              <w:pStyle w:val="5"/>
              <w:keepNext w:val="0"/>
              <w:keepLines w:val="0"/>
              <w:pageBreakBefore w:val="0"/>
              <w:widowControl/>
              <w:kinsoku w:val="0"/>
              <w:wordWrap/>
              <w:overflowPunct/>
              <w:topLinePunct w:val="0"/>
              <w:autoSpaceDE w:val="0"/>
              <w:autoSpaceDN w:val="0"/>
              <w:bidi w:val="0"/>
              <w:adjustRightInd w:val="0"/>
              <w:snapToGrid w:val="0"/>
              <w:spacing w:before="117" w:line="219" w:lineRule="auto"/>
              <w:jc w:val="center"/>
              <w:textAlignment w:val="baseline"/>
              <w:rPr>
                <w:rFonts w:hint="eastAsia" w:ascii="仿宋" w:hAnsi="仿宋" w:eastAsia="仿宋" w:cs="仿宋"/>
                <w:sz w:val="24"/>
                <w:szCs w:val="24"/>
              </w:rPr>
            </w:pPr>
            <w:r>
              <w:rPr>
                <w:rFonts w:hint="eastAsia" w:ascii="仿宋" w:hAnsi="仿宋" w:eastAsia="仿宋" w:cs="仿宋"/>
                <w:spacing w:val="5"/>
                <w:sz w:val="24"/>
                <w:szCs w:val="24"/>
              </w:rPr>
              <w:t>200</w:t>
            </w:r>
            <w:r>
              <w:rPr>
                <w:rFonts w:hint="eastAsia" w:ascii="仿宋" w:hAnsi="仿宋" w:eastAsia="仿宋" w:cs="仿宋"/>
                <w:spacing w:val="5"/>
                <w:sz w:val="24"/>
                <w:szCs w:val="24"/>
                <w:lang w:val="en-US" w:eastAsia="zh-CN"/>
              </w:rPr>
              <w:t>8</w:t>
            </w:r>
            <w:r>
              <w:rPr>
                <w:rFonts w:hint="eastAsia" w:ascii="仿宋" w:hAnsi="仿宋" w:eastAsia="仿宋" w:cs="仿宋"/>
                <w:spacing w:val="5"/>
                <w:sz w:val="24"/>
                <w:szCs w:val="24"/>
              </w:rPr>
              <w:t>年</w:t>
            </w:r>
            <w:r>
              <w:rPr>
                <w:rFonts w:hint="eastAsia" w:ascii="仿宋" w:hAnsi="仿宋" w:eastAsia="仿宋" w:cs="仿宋"/>
                <w:spacing w:val="5"/>
                <w:sz w:val="24"/>
                <w:szCs w:val="24"/>
                <w:lang w:val="en-US" w:eastAsia="zh-CN"/>
              </w:rPr>
              <w:t>10</w:t>
            </w:r>
            <w:r>
              <w:rPr>
                <w:rFonts w:hint="eastAsia" w:ascii="仿宋" w:hAnsi="仿宋" w:eastAsia="仿宋" w:cs="仿宋"/>
                <w:spacing w:val="5"/>
                <w:sz w:val="24"/>
                <w:szCs w:val="24"/>
              </w:rPr>
              <w:t>月0</w:t>
            </w:r>
            <w:r>
              <w:rPr>
                <w:rFonts w:hint="eastAsia" w:ascii="仿宋" w:hAnsi="仿宋" w:eastAsia="仿宋" w:cs="仿宋"/>
                <w:spacing w:val="5"/>
                <w:sz w:val="24"/>
                <w:szCs w:val="24"/>
                <w:lang w:val="en-US" w:eastAsia="zh-CN"/>
              </w:rPr>
              <w:t>8</w:t>
            </w:r>
            <w:r>
              <w:rPr>
                <w:rFonts w:hint="eastAsia" w:ascii="仿宋" w:hAnsi="仿宋" w:eastAsia="仿宋" w:cs="仿宋"/>
                <w:spacing w:val="5"/>
                <w:sz w:val="24"/>
                <w:szCs w:val="24"/>
              </w:rPr>
              <w:t>日</w:t>
            </w:r>
          </w:p>
        </w:tc>
      </w:tr>
      <w:tr w14:paraId="102462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8" w:hRule="atLeast"/>
        </w:trPr>
        <w:tc>
          <w:tcPr>
            <w:tcW w:w="2581" w:type="dxa"/>
            <w:vAlign w:val="center"/>
          </w:tcPr>
          <w:p w14:paraId="15E98A16">
            <w:pPr>
              <w:pStyle w:val="5"/>
              <w:keepNext w:val="0"/>
              <w:keepLines w:val="0"/>
              <w:pageBreakBefore w:val="0"/>
              <w:widowControl/>
              <w:kinsoku w:val="0"/>
              <w:wordWrap/>
              <w:overflowPunct/>
              <w:topLinePunct w:val="0"/>
              <w:autoSpaceDE w:val="0"/>
              <w:autoSpaceDN w:val="0"/>
              <w:bidi w:val="0"/>
              <w:adjustRightInd w:val="0"/>
              <w:snapToGrid w:val="0"/>
              <w:spacing w:before="120" w:line="221" w:lineRule="auto"/>
              <w:ind w:left="735"/>
              <w:jc w:val="center"/>
              <w:textAlignment w:val="baseline"/>
              <w:rPr>
                <w:rFonts w:hint="eastAsia" w:ascii="仿宋" w:hAnsi="仿宋" w:eastAsia="仿宋" w:cs="仿宋"/>
                <w:sz w:val="24"/>
                <w:szCs w:val="24"/>
              </w:rPr>
            </w:pPr>
            <w:r>
              <w:rPr>
                <w:rFonts w:hint="eastAsia" w:ascii="仿宋" w:hAnsi="仿宋" w:eastAsia="仿宋" w:cs="仿宋"/>
                <w:spacing w:val="3"/>
                <w:sz w:val="24"/>
                <w:szCs w:val="24"/>
              </w:rPr>
              <w:t>注册地址</w:t>
            </w:r>
          </w:p>
        </w:tc>
        <w:tc>
          <w:tcPr>
            <w:tcW w:w="5718" w:type="dxa"/>
            <w:gridSpan w:val="3"/>
            <w:vAlign w:val="center"/>
          </w:tcPr>
          <w:p w14:paraId="30225618">
            <w:pPr>
              <w:pStyle w:val="5"/>
              <w:keepNext w:val="0"/>
              <w:keepLines w:val="0"/>
              <w:pageBreakBefore w:val="0"/>
              <w:widowControl/>
              <w:kinsoku w:val="0"/>
              <w:wordWrap/>
              <w:overflowPunct/>
              <w:topLinePunct w:val="0"/>
              <w:autoSpaceDE w:val="0"/>
              <w:autoSpaceDN w:val="0"/>
              <w:bidi w:val="0"/>
              <w:adjustRightInd w:val="0"/>
              <w:snapToGrid w:val="0"/>
              <w:spacing w:before="118" w:line="219"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江西省景德镇市浮梁县三龙镇芦田村</w:t>
            </w:r>
          </w:p>
        </w:tc>
      </w:tr>
      <w:tr w14:paraId="32C0CA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2" w:hRule="atLeast"/>
        </w:trPr>
        <w:tc>
          <w:tcPr>
            <w:tcW w:w="2581" w:type="dxa"/>
            <w:vAlign w:val="center"/>
          </w:tcPr>
          <w:p w14:paraId="0EF32C94">
            <w:pPr>
              <w:pStyle w:val="5"/>
              <w:keepNext w:val="0"/>
              <w:keepLines w:val="0"/>
              <w:pageBreakBefore w:val="0"/>
              <w:widowControl/>
              <w:kinsoku w:val="0"/>
              <w:wordWrap/>
              <w:overflowPunct/>
              <w:topLinePunct w:val="0"/>
              <w:autoSpaceDE w:val="0"/>
              <w:autoSpaceDN w:val="0"/>
              <w:bidi w:val="0"/>
              <w:adjustRightInd w:val="0"/>
              <w:snapToGrid w:val="0"/>
              <w:spacing w:before="121" w:line="221" w:lineRule="auto"/>
              <w:ind w:left="404"/>
              <w:jc w:val="center"/>
              <w:textAlignment w:val="baseline"/>
              <w:rPr>
                <w:rFonts w:hint="eastAsia" w:ascii="仿宋" w:hAnsi="仿宋" w:eastAsia="仿宋" w:cs="仿宋"/>
                <w:sz w:val="24"/>
                <w:szCs w:val="24"/>
              </w:rPr>
            </w:pPr>
            <w:r>
              <w:rPr>
                <w:rFonts w:hint="eastAsia" w:ascii="仿宋" w:hAnsi="仿宋" w:eastAsia="仿宋" w:cs="仿宋"/>
                <w:spacing w:val="2"/>
                <w:sz w:val="24"/>
                <w:szCs w:val="24"/>
              </w:rPr>
              <w:t>公司组织形式</w:t>
            </w:r>
          </w:p>
        </w:tc>
        <w:tc>
          <w:tcPr>
            <w:tcW w:w="5718" w:type="dxa"/>
            <w:gridSpan w:val="3"/>
            <w:vAlign w:val="center"/>
          </w:tcPr>
          <w:p w14:paraId="4264CF76">
            <w:pPr>
              <w:pStyle w:val="5"/>
              <w:keepNext w:val="0"/>
              <w:keepLines w:val="0"/>
              <w:pageBreakBefore w:val="0"/>
              <w:widowControl/>
              <w:kinsoku w:val="0"/>
              <w:wordWrap/>
              <w:overflowPunct/>
              <w:topLinePunct w:val="0"/>
              <w:autoSpaceDE w:val="0"/>
              <w:autoSpaceDN w:val="0"/>
              <w:bidi w:val="0"/>
              <w:adjustRightInd w:val="0"/>
              <w:snapToGrid w:val="0"/>
              <w:spacing w:before="119" w:line="219" w:lineRule="auto"/>
              <w:jc w:val="center"/>
              <w:textAlignment w:val="baseline"/>
              <w:rPr>
                <w:rFonts w:hint="eastAsia" w:ascii="仿宋" w:hAnsi="仿宋" w:eastAsia="仿宋" w:cs="仿宋"/>
                <w:sz w:val="24"/>
                <w:szCs w:val="24"/>
              </w:rPr>
            </w:pPr>
            <w:r>
              <w:rPr>
                <w:rFonts w:hint="eastAsia" w:ascii="仿宋" w:hAnsi="仿宋" w:eastAsia="仿宋" w:cs="仿宋"/>
                <w:spacing w:val="4"/>
                <w:sz w:val="24"/>
                <w:szCs w:val="24"/>
              </w:rPr>
              <w:t>有限责任公司(自然人投资或控股)</w:t>
            </w:r>
          </w:p>
        </w:tc>
      </w:tr>
      <w:tr w14:paraId="7E9F2A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6" w:hRule="atLeast"/>
        </w:trPr>
        <w:tc>
          <w:tcPr>
            <w:tcW w:w="2581" w:type="dxa"/>
            <w:vAlign w:val="center"/>
          </w:tcPr>
          <w:p w14:paraId="3E434FD6">
            <w:pPr>
              <w:pStyle w:val="5"/>
              <w:keepNext w:val="0"/>
              <w:keepLines w:val="0"/>
              <w:pageBreakBefore w:val="0"/>
              <w:widowControl/>
              <w:kinsoku w:val="0"/>
              <w:wordWrap/>
              <w:overflowPunct/>
              <w:topLinePunct w:val="0"/>
              <w:autoSpaceDE w:val="0"/>
              <w:autoSpaceDN w:val="0"/>
              <w:bidi w:val="0"/>
              <w:adjustRightInd w:val="0"/>
              <w:snapToGrid w:val="0"/>
              <w:spacing w:before="108" w:line="220" w:lineRule="auto"/>
              <w:jc w:val="center"/>
              <w:textAlignment w:val="baseline"/>
              <w:rPr>
                <w:rFonts w:hint="eastAsia" w:ascii="仿宋" w:hAnsi="仿宋" w:eastAsia="仿宋" w:cs="仿宋"/>
                <w:sz w:val="24"/>
                <w:szCs w:val="24"/>
              </w:rPr>
            </w:pPr>
            <w:r>
              <w:rPr>
                <w:rFonts w:hint="eastAsia" w:ascii="仿宋" w:hAnsi="仿宋" w:eastAsia="仿宋" w:cs="仿宋"/>
                <w:spacing w:val="7"/>
                <w:sz w:val="24"/>
                <w:szCs w:val="24"/>
              </w:rPr>
              <w:t>经营范围</w:t>
            </w:r>
          </w:p>
        </w:tc>
        <w:tc>
          <w:tcPr>
            <w:tcW w:w="5718" w:type="dxa"/>
            <w:gridSpan w:val="3"/>
            <w:vAlign w:val="center"/>
          </w:tcPr>
          <w:p w14:paraId="7F440B93">
            <w:pPr>
              <w:pStyle w:val="5"/>
              <w:keepNext w:val="0"/>
              <w:keepLines w:val="0"/>
              <w:pageBreakBefore w:val="0"/>
              <w:widowControl/>
              <w:kinsoku w:val="0"/>
              <w:wordWrap/>
              <w:overflowPunct/>
              <w:topLinePunct w:val="0"/>
              <w:autoSpaceDE w:val="0"/>
              <w:autoSpaceDN w:val="0"/>
              <w:bidi w:val="0"/>
              <w:adjustRightInd w:val="0"/>
              <w:snapToGrid w:val="0"/>
              <w:spacing w:before="29" w:line="211" w:lineRule="auto"/>
              <w:ind w:left="122"/>
              <w:jc w:val="center"/>
              <w:textAlignment w:val="baseline"/>
              <w:rPr>
                <w:rFonts w:hint="eastAsia" w:ascii="仿宋" w:hAnsi="仿宋" w:eastAsia="仿宋" w:cs="仿宋"/>
                <w:sz w:val="24"/>
                <w:szCs w:val="24"/>
              </w:rPr>
            </w:pPr>
            <w:r>
              <w:rPr>
                <w:rFonts w:hint="eastAsia" w:ascii="仿宋" w:hAnsi="仿宋" w:eastAsia="仿宋" w:cs="仿宋"/>
                <w:sz w:val="24"/>
                <w:szCs w:val="24"/>
              </w:rPr>
              <w:t>牲畜、水产养殖、销售；蔬菜、园艺作物种植、销售、生猪屠宰加工</w:t>
            </w:r>
          </w:p>
        </w:tc>
      </w:tr>
    </w:tbl>
    <w:p w14:paraId="030F3DB3">
      <w:pPr>
        <w:keepNext w:val="0"/>
        <w:keepLines w:val="0"/>
        <w:pageBreakBefore w:val="0"/>
        <w:widowControl/>
        <w:suppressLineNumbers w:val="0"/>
        <w:kinsoku w:val="0"/>
        <w:wordWrap/>
        <w:overflowPunct/>
        <w:topLinePunct w:val="0"/>
        <w:autoSpaceDE w:val="0"/>
        <w:autoSpaceDN w:val="0"/>
        <w:bidi w:val="0"/>
        <w:adjustRightInd w:val="0"/>
        <w:snapToGrid w:val="0"/>
        <w:jc w:val="both"/>
        <w:textAlignment w:val="baseline"/>
        <w:rPr>
          <w:rFonts w:ascii="仿宋" w:hAnsi="仿宋" w:eastAsia="仿宋" w:cs="仿宋"/>
          <w:snapToGrid w:val="0"/>
          <w:color w:val="000000"/>
          <w:kern w:val="0"/>
          <w:sz w:val="28"/>
          <w:szCs w:val="28"/>
          <w:lang w:val="en-US" w:eastAsia="zh-CN" w:bidi="ar"/>
        </w:rPr>
      </w:pPr>
    </w:p>
    <w:p w14:paraId="33ED0F6D">
      <w:pPr>
        <w:keepNext w:val="0"/>
        <w:keepLines w:val="0"/>
        <w:pageBreakBefore w:val="0"/>
        <w:widowControl/>
        <w:kinsoku w:val="0"/>
        <w:wordWrap/>
        <w:overflowPunct/>
        <w:topLinePunct w:val="0"/>
        <w:autoSpaceDE w:val="0"/>
        <w:autoSpaceDN w:val="0"/>
        <w:bidi w:val="0"/>
        <w:adjustRightInd w:val="0"/>
        <w:snapToGrid w:val="0"/>
        <w:spacing w:line="360" w:lineRule="auto"/>
        <w:ind w:firstLine="320" w:firstLineChars="100"/>
        <w:jc w:val="both"/>
        <w:textAlignment w:val="baseline"/>
        <w:rPr>
          <w:rFonts w:hint="eastAsia" w:ascii="仿宋" w:hAnsi="仿宋" w:eastAsia="仿宋" w:cs="仿宋"/>
          <w:sz w:val="32"/>
          <w:szCs w:val="32"/>
        </w:rPr>
      </w:pPr>
      <w:r>
        <w:rPr>
          <w:rFonts w:hint="eastAsia" w:ascii="仿宋" w:hAnsi="仿宋" w:eastAsia="仿宋" w:cs="仿宋"/>
          <w:sz w:val="32"/>
          <w:szCs w:val="32"/>
        </w:rPr>
        <w:t>（二）公司资产概况</w:t>
      </w:r>
    </w:p>
    <w:p w14:paraId="3CBCECDE">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康源公司</w:t>
      </w:r>
      <w:r>
        <w:rPr>
          <w:rFonts w:hint="eastAsia" w:ascii="仿宋" w:hAnsi="仿宋" w:eastAsia="仿宋" w:cs="仿宋"/>
          <w:color w:val="auto"/>
          <w:sz w:val="32"/>
          <w:szCs w:val="32"/>
          <w:lang w:val="en-US" w:eastAsia="zh-CN"/>
        </w:rPr>
        <w:t>为赣东北最大生猪养殖企业之一，系江西省农业厅重点关注企业，</w:t>
      </w:r>
      <w:r>
        <w:rPr>
          <w:rFonts w:hint="eastAsia" w:ascii="仿宋" w:hAnsi="仿宋" w:eastAsia="仿宋" w:cs="仿宋"/>
          <w:color w:val="auto"/>
          <w:sz w:val="32"/>
          <w:szCs w:val="32"/>
        </w:rPr>
        <w:t>名下核心资产系位于江西省景德镇市浮梁县三龙镇芦田村的工业</w:t>
      </w:r>
      <w:r>
        <w:rPr>
          <w:rFonts w:hint="eastAsia" w:ascii="仿宋" w:hAnsi="仿宋" w:eastAsia="仿宋" w:cs="仿宋"/>
          <w:color w:val="auto"/>
          <w:sz w:val="32"/>
          <w:szCs w:val="32"/>
          <w:lang w:val="en-US" w:eastAsia="zh-CN"/>
        </w:rPr>
        <w:t>用地与办公楼、生猪厂房、</w:t>
      </w:r>
      <w:r>
        <w:rPr>
          <w:rFonts w:hint="eastAsia" w:ascii="仿宋" w:hAnsi="仿宋" w:eastAsia="仿宋" w:cs="仿宋"/>
          <w:color w:val="auto"/>
          <w:sz w:val="32"/>
          <w:szCs w:val="32"/>
        </w:rPr>
        <w:t>配套设备</w:t>
      </w:r>
      <w:r>
        <w:rPr>
          <w:rFonts w:hint="eastAsia" w:ascii="仿宋" w:hAnsi="仿宋" w:eastAsia="仿宋" w:cs="仿宋"/>
          <w:color w:val="auto"/>
          <w:sz w:val="32"/>
          <w:szCs w:val="32"/>
          <w:lang w:val="en-US" w:eastAsia="zh-CN"/>
        </w:rPr>
        <w:t>以及存栏生猪</w:t>
      </w:r>
      <w:r>
        <w:rPr>
          <w:rFonts w:hint="eastAsia" w:ascii="仿宋" w:hAnsi="仿宋" w:eastAsia="仿宋" w:cs="仿宋"/>
          <w:color w:val="auto"/>
          <w:sz w:val="32"/>
          <w:szCs w:val="32"/>
        </w:rPr>
        <w:t>。其拥有国有</w:t>
      </w:r>
      <w:r>
        <w:rPr>
          <w:rFonts w:hint="eastAsia" w:ascii="仿宋" w:hAnsi="仿宋" w:eastAsia="仿宋" w:cs="仿宋"/>
          <w:color w:val="auto"/>
          <w:sz w:val="32"/>
          <w:szCs w:val="32"/>
          <w:lang w:val="en-US" w:eastAsia="zh-CN"/>
        </w:rPr>
        <w:t>工业</w:t>
      </w:r>
      <w:r>
        <w:rPr>
          <w:rFonts w:hint="eastAsia" w:ascii="仿宋" w:hAnsi="仿宋" w:eastAsia="仿宋" w:cs="仿宋"/>
          <w:color w:val="auto"/>
          <w:sz w:val="32"/>
          <w:szCs w:val="32"/>
        </w:rPr>
        <w:t>用地使用权</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处</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证号浮国用(2009)第56号，面积62832.90平方米，准用年限50年；</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证号浮国用(2009)第5</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号，面积17960.90平方米，准用年限50年；</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证号浮国用(2009)第5</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号，面积258293.60平方米，准用年限50年；</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证号浮国用(2010)第56号，面积22040.00平方米，准用年限50年；</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证号浮国用(2010)第375号，面积25150.00平方米，准用年限50年；</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证号浮国用(2010)第376号，面积67513.00平方米，准用年限50年；</w:t>
      </w:r>
      <w:r>
        <w:rPr>
          <w:rFonts w:hint="eastAsia" w:ascii="仿宋" w:hAnsi="仿宋" w:eastAsia="仿宋" w:cs="仿宋"/>
          <w:color w:val="auto"/>
          <w:sz w:val="32"/>
          <w:szCs w:val="32"/>
          <w:lang w:val="en-US" w:eastAsia="zh-CN"/>
        </w:rPr>
        <w:t>7.证号</w:t>
      </w:r>
      <w:r>
        <w:rPr>
          <w:rFonts w:hint="eastAsia" w:ascii="仿宋" w:hAnsi="仿宋" w:eastAsia="仿宋" w:cs="仿宋"/>
          <w:color w:val="auto"/>
          <w:sz w:val="32"/>
          <w:szCs w:val="32"/>
        </w:rPr>
        <w:t>浮国用(2010)第377号，面积60329.80平方米，准用年限50年</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厂房等房屋建(构)筑物（含地面硬化）的建筑面积</w:t>
      </w:r>
      <w:r>
        <w:rPr>
          <w:rFonts w:hint="eastAsia" w:ascii="仿宋" w:hAnsi="仿宋" w:eastAsia="仿宋" w:cs="仿宋"/>
          <w:color w:val="auto"/>
          <w:sz w:val="32"/>
          <w:szCs w:val="32"/>
          <w:lang w:val="en-US" w:eastAsia="zh-CN"/>
        </w:rPr>
        <w:t>68374.99</w:t>
      </w:r>
      <w:r>
        <w:rPr>
          <w:rFonts w:hint="eastAsia" w:ascii="仿宋" w:hAnsi="仿宋" w:eastAsia="仿宋" w:cs="仿宋"/>
          <w:color w:val="auto"/>
          <w:sz w:val="32"/>
          <w:szCs w:val="32"/>
        </w:rPr>
        <w:t>平方米，由办公楼、宿舍、食堂、</w:t>
      </w:r>
      <w:r>
        <w:rPr>
          <w:rFonts w:hint="eastAsia" w:ascii="仿宋" w:hAnsi="仿宋" w:eastAsia="仿宋" w:cs="仿宋"/>
          <w:color w:val="auto"/>
          <w:sz w:val="32"/>
          <w:szCs w:val="32"/>
          <w:lang w:val="en-US" w:eastAsia="zh-CN"/>
        </w:rPr>
        <w:t>仓库</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养殖厂房</w:t>
      </w:r>
      <w:r>
        <w:rPr>
          <w:rFonts w:hint="eastAsia" w:ascii="仿宋" w:hAnsi="仿宋" w:eastAsia="仿宋" w:cs="仿宋"/>
          <w:color w:val="auto"/>
          <w:sz w:val="32"/>
          <w:szCs w:val="32"/>
        </w:rPr>
        <w:t>及相关地面硬化等组成；</w:t>
      </w:r>
      <w:r>
        <w:rPr>
          <w:rFonts w:hint="eastAsia" w:ascii="仿宋" w:hAnsi="仿宋" w:eastAsia="仿宋" w:cs="仿宋"/>
          <w:color w:val="auto"/>
          <w:sz w:val="32"/>
          <w:szCs w:val="32"/>
          <w:lang w:val="en-US" w:eastAsia="zh-CN"/>
        </w:rPr>
        <w:t>存栏生猪一万余头。</w:t>
      </w:r>
    </w:p>
    <w:p w14:paraId="49ABC365">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default" w:ascii="仿宋" w:hAnsi="仿宋" w:eastAsia="仿宋" w:cs="仿宋"/>
          <w:color w:val="E54C5E" w:themeColor="accent6"/>
          <w:sz w:val="32"/>
          <w:szCs w:val="32"/>
          <w:lang w:val="en-US" w:eastAsia="zh-CN"/>
          <w14:textFill>
            <w14:solidFill>
              <w14:schemeClr w14:val="accent6"/>
            </w14:solidFill>
          </w14:textFill>
        </w:rPr>
      </w:pPr>
    </w:p>
    <w:p w14:paraId="5F9D2A44">
      <w:pPr>
        <w:keepNext w:val="0"/>
        <w:keepLines w:val="0"/>
        <w:pageBreakBefore w:val="0"/>
        <w:widowControl/>
        <w:kinsoku w:val="0"/>
        <w:wordWrap/>
        <w:overflowPunct/>
        <w:topLinePunct w:val="0"/>
        <w:autoSpaceDE w:val="0"/>
        <w:autoSpaceDN w:val="0"/>
        <w:bidi w:val="0"/>
        <w:adjustRightInd w:val="0"/>
        <w:snapToGrid w:val="0"/>
        <w:spacing w:line="360" w:lineRule="auto"/>
        <w:ind w:firstLine="320" w:firstLineChars="100"/>
        <w:jc w:val="both"/>
        <w:textAlignment w:val="baseline"/>
        <w:rPr>
          <w:rFonts w:hint="eastAsia" w:ascii="仿宋" w:hAnsi="仿宋" w:eastAsia="仿宋" w:cs="仿宋"/>
          <w:sz w:val="32"/>
          <w:szCs w:val="32"/>
        </w:rPr>
      </w:pPr>
      <w:r>
        <w:rPr>
          <w:rFonts w:hint="eastAsia" w:ascii="仿宋" w:hAnsi="仿宋" w:eastAsia="仿宋" w:cs="仿宋"/>
          <w:sz w:val="32"/>
          <w:szCs w:val="32"/>
        </w:rPr>
        <w:t>（三）公司负债概况</w:t>
      </w:r>
    </w:p>
    <w:p w14:paraId="15C5A73E">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经审计初步确认，截至2024年</w:t>
      </w:r>
      <w:r>
        <w:rPr>
          <w:rFonts w:hint="eastAsia" w:ascii="仿宋" w:hAnsi="仿宋" w:eastAsia="仿宋" w:cs="仿宋"/>
          <w:sz w:val="32"/>
          <w:szCs w:val="32"/>
          <w:lang w:val="en-US" w:eastAsia="zh-CN"/>
        </w:rPr>
        <w:t>9</w:t>
      </w:r>
      <w:r>
        <w:rPr>
          <w:rFonts w:hint="eastAsia" w:ascii="仿宋" w:hAnsi="仿宋" w:eastAsia="仿宋" w:cs="仿宋"/>
          <w:sz w:val="32"/>
          <w:szCs w:val="32"/>
        </w:rPr>
        <w:t>月</w:t>
      </w:r>
      <w:r>
        <w:rPr>
          <w:rFonts w:hint="eastAsia" w:ascii="仿宋" w:hAnsi="仿宋" w:eastAsia="仿宋" w:cs="仿宋"/>
          <w:sz w:val="32"/>
          <w:szCs w:val="32"/>
          <w:lang w:val="en-US" w:eastAsia="zh-CN"/>
        </w:rPr>
        <w:t>30</w:t>
      </w:r>
      <w:r>
        <w:rPr>
          <w:rFonts w:hint="eastAsia" w:ascii="仿宋" w:hAnsi="仿宋" w:eastAsia="仿宋" w:cs="仿宋"/>
          <w:sz w:val="32"/>
          <w:szCs w:val="32"/>
        </w:rPr>
        <w:t>日，</w:t>
      </w:r>
      <w:r>
        <w:rPr>
          <w:rFonts w:hint="eastAsia" w:ascii="仿宋" w:hAnsi="仿宋" w:eastAsia="仿宋" w:cs="仿宋"/>
          <w:sz w:val="32"/>
          <w:szCs w:val="32"/>
          <w:lang w:eastAsia="zh-CN"/>
        </w:rPr>
        <w:t>康源公司</w:t>
      </w:r>
      <w:r>
        <w:rPr>
          <w:rFonts w:hint="eastAsia" w:ascii="仿宋" w:hAnsi="仿宋" w:eastAsia="仿宋" w:cs="仿宋"/>
          <w:sz w:val="32"/>
          <w:szCs w:val="32"/>
        </w:rPr>
        <w:t>的负债总额</w:t>
      </w:r>
      <w:r>
        <w:rPr>
          <w:rFonts w:hint="eastAsia" w:ascii="仿宋" w:hAnsi="仿宋" w:eastAsia="仿宋" w:cs="仿宋"/>
          <w:sz w:val="32"/>
          <w:szCs w:val="32"/>
          <w:lang w:val="en-US" w:eastAsia="zh-CN"/>
        </w:rPr>
        <w:t>约为</w:t>
      </w:r>
      <w:r>
        <w:rPr>
          <w:rFonts w:hint="eastAsia" w:ascii="仿宋" w:hAnsi="仿宋" w:eastAsia="仿宋" w:cs="仿宋"/>
          <w:color w:val="auto"/>
          <w:sz w:val="32"/>
          <w:szCs w:val="32"/>
          <w:lang w:val="en-US" w:eastAsia="zh-CN"/>
        </w:rPr>
        <w:t>15000</w:t>
      </w:r>
      <w:r>
        <w:rPr>
          <w:rFonts w:hint="eastAsia" w:ascii="仿宋" w:hAnsi="仿宋" w:eastAsia="仿宋" w:cs="仿宋"/>
          <w:color w:val="auto"/>
          <w:sz w:val="32"/>
          <w:szCs w:val="32"/>
        </w:rPr>
        <w:t>万</w:t>
      </w:r>
      <w:r>
        <w:rPr>
          <w:rFonts w:hint="eastAsia" w:ascii="仿宋" w:hAnsi="仿宋" w:eastAsia="仿宋" w:cs="仿宋"/>
          <w:sz w:val="32"/>
          <w:szCs w:val="32"/>
        </w:rPr>
        <w:t>元。 目前临时管理人正在依法接收债权申报，有序开展审查工作。</w:t>
      </w:r>
      <w:r>
        <w:rPr>
          <w:rFonts w:hint="eastAsia" w:ascii="仿宋" w:hAnsi="仿宋" w:eastAsia="仿宋" w:cs="仿宋"/>
          <w:sz w:val="32"/>
          <w:szCs w:val="32"/>
          <w:lang w:eastAsia="zh-CN"/>
        </w:rPr>
        <w:t>康源公司</w:t>
      </w:r>
      <w:r>
        <w:rPr>
          <w:rFonts w:hint="eastAsia" w:ascii="仿宋" w:hAnsi="仿宋" w:eastAsia="仿宋" w:cs="仿宋"/>
          <w:sz w:val="32"/>
          <w:szCs w:val="32"/>
        </w:rPr>
        <w:t>的负债情况最终以</w:t>
      </w:r>
      <w:r>
        <w:rPr>
          <w:rFonts w:hint="eastAsia" w:ascii="仿宋" w:hAnsi="仿宋" w:eastAsia="仿宋" w:cs="仿宋"/>
          <w:sz w:val="32"/>
          <w:szCs w:val="32"/>
          <w:lang w:val="en-US" w:eastAsia="zh-CN"/>
        </w:rPr>
        <w:t>临时</w:t>
      </w:r>
      <w:r>
        <w:rPr>
          <w:rFonts w:hint="eastAsia" w:ascii="仿宋" w:hAnsi="仿宋" w:eastAsia="仿宋" w:cs="仿宋"/>
          <w:sz w:val="32"/>
          <w:szCs w:val="32"/>
        </w:rPr>
        <w:t>管理人审查、债权人会议核查且由人民法院裁定确认的债权金额为准。</w:t>
      </w:r>
    </w:p>
    <w:p w14:paraId="6B0BED44">
      <w:pPr>
        <w:keepNext w:val="0"/>
        <w:keepLines w:val="0"/>
        <w:pageBreakBefore w:val="0"/>
        <w:widowControl/>
        <w:kinsoku w:val="0"/>
        <w:wordWrap/>
        <w:overflowPunct/>
        <w:topLinePunct w:val="0"/>
        <w:autoSpaceDE w:val="0"/>
        <w:autoSpaceDN w:val="0"/>
        <w:bidi w:val="0"/>
        <w:adjustRightInd w:val="0"/>
        <w:snapToGrid w:val="0"/>
        <w:spacing w:line="360" w:lineRule="auto"/>
        <w:ind w:firstLine="643" w:firstLineChars="200"/>
        <w:jc w:val="both"/>
        <w:textAlignment w:val="baseline"/>
        <w:rPr>
          <w:rFonts w:hint="eastAsia" w:ascii="仿宋" w:hAnsi="仿宋" w:eastAsia="仿宋" w:cs="仿宋"/>
          <w:b/>
          <w:bCs/>
          <w:sz w:val="32"/>
          <w:szCs w:val="32"/>
        </w:rPr>
      </w:pPr>
      <w:r>
        <w:rPr>
          <w:rFonts w:hint="eastAsia" w:ascii="仿宋" w:hAnsi="仿宋" w:eastAsia="仿宋" w:cs="仿宋"/>
          <w:b/>
          <w:bCs/>
          <w:sz w:val="32"/>
          <w:szCs w:val="32"/>
        </w:rPr>
        <w:t>二、招募目的与重整投资方式</w:t>
      </w:r>
    </w:p>
    <w:p w14:paraId="437C7977">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（一）招募目的</w:t>
      </w:r>
    </w:p>
    <w:p w14:paraId="009000BA">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本次招募和遴选的目的在于为</w:t>
      </w:r>
      <w:r>
        <w:rPr>
          <w:rFonts w:hint="eastAsia" w:ascii="仿宋" w:hAnsi="仿宋" w:eastAsia="仿宋" w:cs="仿宋"/>
          <w:sz w:val="32"/>
          <w:szCs w:val="32"/>
          <w:lang w:eastAsia="zh-CN"/>
        </w:rPr>
        <w:t>康源公司</w:t>
      </w:r>
      <w:r>
        <w:rPr>
          <w:rFonts w:hint="eastAsia" w:ascii="仿宋" w:hAnsi="仿宋" w:eastAsia="仿宋" w:cs="仿宋"/>
          <w:sz w:val="32"/>
          <w:szCs w:val="32"/>
        </w:rPr>
        <w:t>引入重整投资人，推动</w:t>
      </w:r>
      <w:r>
        <w:rPr>
          <w:rFonts w:hint="eastAsia" w:ascii="仿宋" w:hAnsi="仿宋" w:eastAsia="仿宋" w:cs="仿宋"/>
          <w:sz w:val="32"/>
          <w:szCs w:val="32"/>
          <w:lang w:eastAsia="zh-CN"/>
        </w:rPr>
        <w:t>康源公司</w:t>
      </w:r>
      <w:r>
        <w:rPr>
          <w:rFonts w:hint="eastAsia" w:ascii="仿宋" w:hAnsi="仿宋" w:eastAsia="仿宋" w:cs="仿宋"/>
          <w:sz w:val="32"/>
          <w:szCs w:val="32"/>
        </w:rPr>
        <w:t>的预重整和重整工作，由重整投资人提供资金、</w:t>
      </w:r>
      <w:r>
        <w:rPr>
          <w:rFonts w:hint="eastAsia" w:ascii="仿宋" w:hAnsi="仿宋" w:eastAsia="仿宋" w:cs="仿宋"/>
          <w:sz w:val="32"/>
          <w:szCs w:val="32"/>
          <w:lang w:val="en-US" w:eastAsia="zh-CN"/>
        </w:rPr>
        <w:t>渠道</w:t>
      </w:r>
      <w:r>
        <w:rPr>
          <w:rFonts w:hint="eastAsia" w:ascii="仿宋" w:hAnsi="仿宋" w:eastAsia="仿宋" w:cs="仿宋"/>
          <w:sz w:val="32"/>
          <w:szCs w:val="32"/>
        </w:rPr>
        <w:t>、产业</w:t>
      </w:r>
      <w:r>
        <w:rPr>
          <w:rFonts w:hint="eastAsia" w:ascii="仿宋" w:hAnsi="仿宋" w:eastAsia="仿宋" w:cs="仿宋"/>
          <w:sz w:val="32"/>
          <w:szCs w:val="32"/>
          <w:lang w:val="en-US" w:eastAsia="zh-CN"/>
        </w:rPr>
        <w:t>上下游整合</w:t>
      </w:r>
      <w:r>
        <w:rPr>
          <w:rFonts w:hint="eastAsia" w:ascii="仿宋" w:hAnsi="仿宋" w:eastAsia="仿宋" w:cs="仿宋"/>
          <w:sz w:val="32"/>
          <w:szCs w:val="32"/>
        </w:rPr>
        <w:t>等方面的支持，有效整合产业资源实现资源优化配置，优化</w:t>
      </w:r>
      <w:r>
        <w:rPr>
          <w:rFonts w:hint="eastAsia" w:ascii="仿宋" w:hAnsi="仿宋" w:eastAsia="仿宋" w:cs="仿宋"/>
          <w:sz w:val="32"/>
          <w:szCs w:val="32"/>
          <w:lang w:eastAsia="zh-CN"/>
        </w:rPr>
        <w:t>康源公司</w:t>
      </w:r>
      <w:r>
        <w:rPr>
          <w:rFonts w:hint="eastAsia" w:ascii="仿宋" w:hAnsi="仿宋" w:eastAsia="仿宋" w:cs="仿宋"/>
          <w:sz w:val="32"/>
          <w:szCs w:val="32"/>
        </w:rPr>
        <w:t>资产负债结构，维护债权人、职工及其他相关利益主体的合法权益，最终帮助</w:t>
      </w:r>
      <w:r>
        <w:rPr>
          <w:rFonts w:hint="eastAsia" w:ascii="仿宋" w:hAnsi="仿宋" w:eastAsia="仿宋" w:cs="仿宋"/>
          <w:sz w:val="32"/>
          <w:szCs w:val="32"/>
          <w:lang w:eastAsia="zh-CN"/>
        </w:rPr>
        <w:t>康源公司</w:t>
      </w:r>
      <w:r>
        <w:rPr>
          <w:rFonts w:hint="eastAsia" w:ascii="仿宋" w:hAnsi="仿宋" w:eastAsia="仿宋" w:cs="仿宋"/>
          <w:sz w:val="32"/>
          <w:szCs w:val="32"/>
        </w:rPr>
        <w:t>成为资产质量优良、公司治理结构完善、具备可持续经营能力和盈利能力的企业。</w:t>
      </w:r>
    </w:p>
    <w:p w14:paraId="7265874B">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（二）重整投资方式</w:t>
      </w:r>
    </w:p>
    <w:p w14:paraId="0C842145">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default" w:ascii="仿宋" w:hAnsi="仿宋" w:eastAsia="仿宋" w:cs="仿宋"/>
          <w:sz w:val="32"/>
          <w:szCs w:val="32"/>
          <w:lang w:val="en-US" w:eastAsia="zh-CN"/>
        </w:rPr>
      </w:pPr>
      <w:r>
        <w:rPr>
          <w:rFonts w:hint="eastAsia" w:ascii="仿宋" w:hAnsi="仿宋" w:eastAsia="仿宋" w:cs="仿宋"/>
          <w:sz w:val="32"/>
          <w:szCs w:val="32"/>
        </w:rPr>
        <w:t>为实现对</w:t>
      </w:r>
      <w:r>
        <w:rPr>
          <w:rFonts w:hint="eastAsia" w:ascii="仿宋" w:hAnsi="仿宋" w:eastAsia="仿宋" w:cs="仿宋"/>
          <w:sz w:val="32"/>
          <w:szCs w:val="32"/>
          <w:lang w:eastAsia="zh-CN"/>
        </w:rPr>
        <w:t>康源公司</w:t>
      </w:r>
      <w:r>
        <w:rPr>
          <w:rFonts w:hint="eastAsia" w:ascii="仿宋" w:hAnsi="仿宋" w:eastAsia="仿宋" w:cs="仿宋"/>
          <w:sz w:val="32"/>
          <w:szCs w:val="32"/>
        </w:rPr>
        <w:t>发展的支持，经债权人数且债权份额均占三分之二以上的债权人（含潜在债权人）以及</w:t>
      </w:r>
      <w:r>
        <w:rPr>
          <w:rFonts w:hint="eastAsia" w:ascii="仿宋" w:hAnsi="仿宋" w:eastAsia="仿宋" w:cs="仿宋"/>
          <w:sz w:val="32"/>
          <w:szCs w:val="32"/>
          <w:lang w:eastAsia="zh-CN"/>
        </w:rPr>
        <w:t>康源公司</w:t>
      </w:r>
      <w:r>
        <w:rPr>
          <w:rFonts w:hint="eastAsia" w:ascii="仿宋" w:hAnsi="仿宋" w:eastAsia="仿宋" w:cs="仿宋"/>
          <w:sz w:val="32"/>
          <w:szCs w:val="32"/>
        </w:rPr>
        <w:t>同意，重整投资人可采取整体资产或股权收购的投资方式，或者可以根据</w:t>
      </w:r>
      <w:r>
        <w:rPr>
          <w:rFonts w:hint="eastAsia" w:ascii="仿宋" w:hAnsi="仿宋" w:eastAsia="仿宋" w:cs="仿宋"/>
          <w:sz w:val="32"/>
          <w:szCs w:val="32"/>
          <w:lang w:val="en-US" w:eastAsia="zh-CN"/>
        </w:rPr>
        <w:t>对康源公司企业前景的展望，通过债转股的方式进行投资。</w:t>
      </w:r>
    </w:p>
    <w:p w14:paraId="47A85BDA">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欢迎具有投资意愿的投资人咨询报名。</w:t>
      </w:r>
    </w:p>
    <w:p w14:paraId="275763C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735" w:leftChars="0" w:firstLine="0" w:firstLineChars="0"/>
        <w:jc w:val="both"/>
        <w:textAlignment w:val="baseline"/>
        <w:rPr>
          <w:rFonts w:hint="eastAsia" w:ascii="仿宋" w:hAnsi="仿宋" w:eastAsia="仿宋" w:cs="仿宋"/>
          <w:b/>
          <w:bCs/>
          <w:sz w:val="32"/>
          <w:szCs w:val="32"/>
        </w:rPr>
      </w:pPr>
      <w:r>
        <w:rPr>
          <w:rFonts w:hint="eastAsia" w:ascii="仿宋" w:hAnsi="仿宋" w:eastAsia="仿宋" w:cs="仿宋"/>
          <w:b/>
          <w:bCs/>
          <w:snapToGrid w:val="0"/>
          <w:color w:val="000000"/>
          <w:kern w:val="0"/>
          <w:sz w:val="32"/>
          <w:szCs w:val="32"/>
          <w:lang w:val="en-US" w:eastAsia="zh-CN" w:bidi="ar-SA"/>
        </w:rPr>
        <w:t>三</w:t>
      </w:r>
      <w:r>
        <w:rPr>
          <w:rFonts w:hint="eastAsia" w:ascii="仿宋" w:hAnsi="仿宋" w:eastAsia="仿宋" w:cs="仿宋"/>
          <w:b/>
          <w:bCs/>
          <w:snapToGrid w:val="0"/>
          <w:color w:val="000000"/>
          <w:kern w:val="0"/>
          <w:sz w:val="32"/>
          <w:szCs w:val="32"/>
          <w:lang w:val="en-US" w:eastAsia="en-US" w:bidi="ar-SA"/>
        </w:rPr>
        <w:t>、</w:t>
      </w:r>
      <w:r>
        <w:rPr>
          <w:rFonts w:hint="eastAsia" w:ascii="仿宋" w:hAnsi="仿宋" w:eastAsia="仿宋" w:cs="仿宋"/>
          <w:b/>
          <w:bCs/>
          <w:sz w:val="32"/>
          <w:szCs w:val="32"/>
        </w:rPr>
        <w:t>招募须知与条件</w:t>
      </w:r>
    </w:p>
    <w:p w14:paraId="0FC1909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735" w:leftChars="0"/>
        <w:jc w:val="both"/>
        <w:textAlignment w:val="baseline"/>
        <w:rPr>
          <w:rFonts w:hint="eastAsia" w:ascii="仿宋" w:hAnsi="仿宋" w:eastAsia="仿宋" w:cs="仿宋"/>
          <w:b w:val="0"/>
          <w:bCs w:val="0"/>
          <w:sz w:val="32"/>
          <w:szCs w:val="32"/>
        </w:rPr>
      </w:pPr>
      <w:r>
        <w:rPr>
          <w:rFonts w:hint="eastAsia" w:ascii="仿宋" w:hAnsi="仿宋" w:eastAsia="仿宋" w:cs="仿宋"/>
          <w:b w:val="0"/>
          <w:bCs w:val="0"/>
          <w:sz w:val="32"/>
          <w:szCs w:val="32"/>
        </w:rPr>
        <w:t>(一)意向重整投资人须知</w:t>
      </w:r>
    </w:p>
    <w:p w14:paraId="5418CB52">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0" w:leftChars="0" w:firstLine="640" w:firstLineChars="200"/>
        <w:jc w:val="both"/>
        <w:textAlignment w:val="baseline"/>
        <w:rPr>
          <w:rFonts w:hint="eastAsia" w:ascii="仿宋" w:hAnsi="仿宋" w:eastAsia="仿宋" w:cs="仿宋"/>
          <w:b w:val="0"/>
          <w:bCs w:val="0"/>
          <w:sz w:val="32"/>
          <w:szCs w:val="32"/>
        </w:rPr>
      </w:pPr>
      <w:r>
        <w:rPr>
          <w:rFonts w:hint="eastAsia" w:ascii="仿宋" w:hAnsi="仿宋" w:eastAsia="仿宋" w:cs="仿宋"/>
          <w:b w:val="0"/>
          <w:bCs w:val="0"/>
          <w:sz w:val="32"/>
          <w:szCs w:val="32"/>
        </w:rPr>
        <w:t>1.为公平、公正地引入重整投资人，本次招募重整投资人以公开的方式进行，接受各方监督。为使重整投资人了解</w:t>
      </w:r>
      <w:r>
        <w:rPr>
          <w:rFonts w:hint="eastAsia" w:ascii="仿宋" w:hAnsi="仿宋" w:eastAsia="仿宋" w:cs="仿宋"/>
          <w:b w:val="0"/>
          <w:bCs w:val="0"/>
          <w:sz w:val="32"/>
          <w:szCs w:val="32"/>
          <w:lang w:eastAsia="zh-CN"/>
        </w:rPr>
        <w:t>康源公司</w:t>
      </w:r>
      <w:r>
        <w:rPr>
          <w:rFonts w:hint="eastAsia" w:ascii="仿宋" w:hAnsi="仿宋" w:eastAsia="仿宋" w:cs="仿宋"/>
          <w:b w:val="0"/>
          <w:bCs w:val="0"/>
          <w:sz w:val="32"/>
          <w:szCs w:val="32"/>
        </w:rPr>
        <w:t>的实际情况，明确招募的原则、条件、规则、流程等，临时管理人特制作本招募公告。本招募公告之内容对全体意向投资人平等适用，具有相同效力。</w:t>
      </w:r>
    </w:p>
    <w:p w14:paraId="67CB8A6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0" w:leftChars="0" w:firstLine="640" w:firstLineChars="200"/>
        <w:jc w:val="both"/>
        <w:textAlignment w:val="baseline"/>
        <w:rPr>
          <w:rFonts w:hint="eastAsia" w:ascii="仿宋" w:hAnsi="仿宋" w:eastAsia="仿宋" w:cs="仿宋"/>
          <w:b w:val="0"/>
          <w:bCs w:val="0"/>
          <w:sz w:val="32"/>
          <w:szCs w:val="32"/>
        </w:rPr>
      </w:pPr>
      <w:r>
        <w:rPr>
          <w:rFonts w:hint="eastAsia" w:ascii="仿宋" w:hAnsi="仿宋" w:eastAsia="仿宋" w:cs="仿宋"/>
          <w:b w:val="0"/>
          <w:bCs w:val="0"/>
          <w:sz w:val="32"/>
          <w:szCs w:val="32"/>
        </w:rPr>
        <w:t>2.意向投资人充分理解：景德镇中院对</w:t>
      </w:r>
      <w:r>
        <w:rPr>
          <w:rFonts w:hint="eastAsia" w:ascii="仿宋" w:hAnsi="仿宋" w:eastAsia="仿宋" w:cs="仿宋"/>
          <w:b w:val="0"/>
          <w:bCs w:val="0"/>
          <w:sz w:val="32"/>
          <w:szCs w:val="32"/>
          <w:lang w:eastAsia="zh-CN"/>
        </w:rPr>
        <w:t>康源公司</w:t>
      </w:r>
      <w:r>
        <w:rPr>
          <w:rFonts w:hint="eastAsia" w:ascii="仿宋" w:hAnsi="仿宋" w:eastAsia="仿宋" w:cs="仿宋"/>
          <w:b w:val="0"/>
          <w:bCs w:val="0"/>
          <w:sz w:val="32"/>
          <w:szCs w:val="32"/>
        </w:rPr>
        <w:t>启动预重整，不代表该院最终受理债权人对</w:t>
      </w:r>
      <w:r>
        <w:rPr>
          <w:rFonts w:hint="eastAsia" w:ascii="仿宋" w:hAnsi="仿宋" w:eastAsia="仿宋" w:cs="仿宋"/>
          <w:b w:val="0"/>
          <w:bCs w:val="0"/>
          <w:sz w:val="32"/>
          <w:szCs w:val="32"/>
          <w:lang w:eastAsia="zh-CN"/>
        </w:rPr>
        <w:t>康源公司</w:t>
      </w:r>
      <w:r>
        <w:rPr>
          <w:rFonts w:hint="eastAsia" w:ascii="仿宋" w:hAnsi="仿宋" w:eastAsia="仿宋" w:cs="仿宋"/>
          <w:b w:val="0"/>
          <w:bCs w:val="0"/>
          <w:sz w:val="32"/>
          <w:szCs w:val="32"/>
        </w:rPr>
        <w:t>重整申请，亦不代表</w:t>
      </w:r>
      <w:r>
        <w:rPr>
          <w:rFonts w:hint="eastAsia" w:ascii="仿宋" w:hAnsi="仿宋" w:eastAsia="仿宋" w:cs="仿宋"/>
          <w:b w:val="0"/>
          <w:bCs w:val="0"/>
          <w:sz w:val="32"/>
          <w:szCs w:val="32"/>
          <w:lang w:eastAsia="zh-CN"/>
        </w:rPr>
        <w:t>康源公司</w:t>
      </w:r>
      <w:r>
        <w:rPr>
          <w:rFonts w:hint="eastAsia" w:ascii="仿宋" w:hAnsi="仿宋" w:eastAsia="仿宋" w:cs="仿宋"/>
          <w:b w:val="0"/>
          <w:bCs w:val="0"/>
          <w:sz w:val="32"/>
          <w:szCs w:val="32"/>
        </w:rPr>
        <w:t>已经正式进入重整程序。</w:t>
      </w:r>
    </w:p>
    <w:p w14:paraId="2C1998FC">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0" w:leftChars="0" w:firstLine="640" w:firstLineChars="200"/>
        <w:jc w:val="both"/>
        <w:textAlignment w:val="baseline"/>
        <w:rPr>
          <w:rFonts w:hint="eastAsia" w:ascii="仿宋" w:hAnsi="仿宋" w:eastAsia="仿宋" w:cs="仿宋"/>
          <w:b w:val="0"/>
          <w:bCs w:val="0"/>
          <w:sz w:val="32"/>
          <w:szCs w:val="32"/>
        </w:rPr>
      </w:pPr>
      <w:r>
        <w:rPr>
          <w:rFonts w:hint="eastAsia" w:ascii="仿宋" w:hAnsi="仿宋" w:eastAsia="仿宋" w:cs="仿宋"/>
          <w:b w:val="0"/>
          <w:bCs w:val="0"/>
          <w:sz w:val="32"/>
          <w:szCs w:val="32"/>
        </w:rPr>
        <w:t>3.意向投资人同意：在预重整阶段所作出的承诺、签订的协议或递交的投资方案等，在</w:t>
      </w:r>
      <w:r>
        <w:rPr>
          <w:rFonts w:hint="eastAsia" w:ascii="仿宋" w:hAnsi="仿宋" w:eastAsia="仿宋" w:cs="仿宋"/>
          <w:b w:val="0"/>
          <w:bCs w:val="0"/>
          <w:sz w:val="32"/>
          <w:szCs w:val="32"/>
          <w:lang w:eastAsia="zh-CN"/>
        </w:rPr>
        <w:t>康源公司</w:t>
      </w:r>
      <w:r>
        <w:rPr>
          <w:rFonts w:hint="eastAsia" w:ascii="仿宋" w:hAnsi="仿宋" w:eastAsia="仿宋" w:cs="仿宋"/>
          <w:b w:val="0"/>
          <w:bCs w:val="0"/>
          <w:sz w:val="32"/>
          <w:szCs w:val="32"/>
        </w:rPr>
        <w:t>进入重整程序后仍然有效。临时管理人在预重整阶段开展的债权申报审查、审计、评估、债权人会议等程序中形成的债权审查意见、审计评估报告、会议决议的法律效力及于后续重整程序，当</w:t>
      </w:r>
      <w:r>
        <w:rPr>
          <w:rFonts w:hint="eastAsia" w:ascii="仿宋" w:hAnsi="仿宋" w:eastAsia="仿宋" w:cs="仿宋"/>
          <w:b w:val="0"/>
          <w:bCs w:val="0"/>
          <w:sz w:val="32"/>
          <w:szCs w:val="32"/>
          <w:lang w:eastAsia="zh-CN"/>
        </w:rPr>
        <w:t>康源公司</w:t>
      </w:r>
      <w:r>
        <w:rPr>
          <w:rFonts w:hint="eastAsia" w:ascii="仿宋" w:hAnsi="仿宋" w:eastAsia="仿宋" w:cs="仿宋"/>
          <w:b w:val="0"/>
          <w:bCs w:val="0"/>
          <w:sz w:val="32"/>
          <w:szCs w:val="32"/>
        </w:rPr>
        <w:t>进入重整程序后，上述意见、报告及决议等仍然有效。</w:t>
      </w:r>
    </w:p>
    <w:p w14:paraId="052402CA">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0" w:leftChars="0" w:firstLine="640" w:firstLineChars="200"/>
        <w:jc w:val="both"/>
        <w:textAlignment w:val="baseline"/>
        <w:rPr>
          <w:rFonts w:hint="eastAsia" w:ascii="仿宋" w:hAnsi="仿宋" w:eastAsia="仿宋" w:cs="仿宋"/>
          <w:b w:val="0"/>
          <w:bCs w:val="0"/>
          <w:sz w:val="32"/>
          <w:szCs w:val="32"/>
        </w:rPr>
      </w:pPr>
      <w:r>
        <w:rPr>
          <w:rFonts w:hint="eastAsia" w:ascii="仿宋" w:hAnsi="仿宋" w:eastAsia="仿宋" w:cs="仿宋"/>
          <w:b w:val="0"/>
          <w:bCs w:val="0"/>
          <w:sz w:val="32"/>
          <w:szCs w:val="32"/>
        </w:rPr>
        <w:t>4.临时管理人有权根据预重整的实际情况对本招募公告具体内容(包括相关时间要求及标准等)进行调整，并通过补充公告形式发布。</w:t>
      </w:r>
    </w:p>
    <w:p w14:paraId="42A694B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0" w:leftChars="0" w:firstLine="640" w:firstLineChars="200"/>
        <w:jc w:val="both"/>
        <w:textAlignment w:val="baseline"/>
        <w:rPr>
          <w:rFonts w:hint="eastAsia" w:ascii="仿宋" w:hAnsi="仿宋" w:eastAsia="仿宋" w:cs="仿宋"/>
          <w:b w:val="0"/>
          <w:bCs w:val="0"/>
          <w:sz w:val="32"/>
          <w:szCs w:val="32"/>
        </w:rPr>
      </w:pPr>
      <w:r>
        <w:rPr>
          <w:rFonts w:hint="eastAsia" w:ascii="仿宋" w:hAnsi="仿宋" w:eastAsia="仿宋" w:cs="仿宋"/>
          <w:b w:val="0"/>
          <w:bCs w:val="0"/>
          <w:sz w:val="32"/>
          <w:szCs w:val="32"/>
        </w:rPr>
        <w:t>5.本公告所述信息并不替代意向投资人尽职调查，意向投资人如需开展尽职调查或更进一步了解</w:t>
      </w:r>
      <w:r>
        <w:rPr>
          <w:rFonts w:hint="eastAsia" w:ascii="仿宋" w:hAnsi="仿宋" w:eastAsia="仿宋" w:cs="仿宋"/>
          <w:b w:val="0"/>
          <w:bCs w:val="0"/>
          <w:sz w:val="32"/>
          <w:szCs w:val="32"/>
          <w:lang w:eastAsia="zh-CN"/>
        </w:rPr>
        <w:t>康源公司</w:t>
      </w:r>
      <w:r>
        <w:rPr>
          <w:rFonts w:hint="eastAsia" w:ascii="仿宋" w:hAnsi="仿宋" w:eastAsia="仿宋" w:cs="仿宋"/>
          <w:b w:val="0"/>
          <w:bCs w:val="0"/>
          <w:sz w:val="32"/>
          <w:szCs w:val="32"/>
        </w:rPr>
        <w:t>的有关情况，需向临时管理人提交报名申请并签署《保密协议</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w:t>
      </w:r>
    </w:p>
    <w:p w14:paraId="4855FA6E">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.本次招募和遴选不适用《中华人民共和国招标投标法》，最终解释权归临时管理人所有。</w:t>
      </w:r>
    </w:p>
    <w:p w14:paraId="635D3520">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.临时管理人有权根据预重整工作需要决定继续、中止或终止预重整投资人招募。</w:t>
      </w:r>
    </w:p>
    <w:p w14:paraId="5E111DB6">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lang w:val="en-US" w:eastAsia="zh-CN"/>
        </w:rPr>
        <w:t>8</w:t>
      </w:r>
      <w:r>
        <w:rPr>
          <w:rFonts w:hint="eastAsia" w:ascii="仿宋" w:hAnsi="仿宋" w:eastAsia="仿宋" w:cs="仿宋"/>
          <w:sz w:val="32"/>
          <w:szCs w:val="32"/>
        </w:rPr>
        <w:t>.本次招募意向投资人可以单独报名或以联合体形式报名。</w:t>
      </w:r>
    </w:p>
    <w:p w14:paraId="7EA3952D">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lang w:val="en-US" w:eastAsia="zh-CN"/>
        </w:rPr>
        <w:t>9</w:t>
      </w:r>
      <w:r>
        <w:rPr>
          <w:rFonts w:hint="eastAsia" w:ascii="仿宋" w:hAnsi="仿宋" w:eastAsia="仿宋" w:cs="仿宋"/>
          <w:sz w:val="32"/>
          <w:szCs w:val="32"/>
        </w:rPr>
        <w:t>.本公告所述信息并不当然替代意向投资人尽职调查。</w:t>
      </w:r>
    </w:p>
    <w:p w14:paraId="3D65C333">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（二）意向投资人的条件</w:t>
      </w:r>
    </w:p>
    <w:p w14:paraId="7F0D4B1C">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意向投资人应符合以下条件：</w:t>
      </w:r>
    </w:p>
    <w:p w14:paraId="652B376C">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1.应是依照中华人民共和国法律设立并有效存续的企业法人或非法人组织，或是具备完全民事行为能力和民事权利能力的自然人，具有较高的社会责任感和良好的商业信誉；未被列入失信被执行人名单，未被列入经营异常名录。</w:t>
      </w:r>
    </w:p>
    <w:p w14:paraId="27E0CB30">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2.应具备与本次重整投资相适应的资产规模和投资能力，具备充足、合法的自有资金，能够出具相应的资信证明或其他履约能力证明；未负有数额较大的到期未清偿债务。</w:t>
      </w:r>
    </w:p>
    <w:p w14:paraId="5F831189">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3.本次招募和遴选不限制意向投资人的行业分类，但意向产业投资人或其实际控制人拥有与</w:t>
      </w:r>
      <w:r>
        <w:rPr>
          <w:rFonts w:hint="eastAsia" w:ascii="仿宋" w:hAnsi="仿宋" w:eastAsia="仿宋" w:cs="仿宋"/>
          <w:sz w:val="32"/>
          <w:szCs w:val="32"/>
          <w:lang w:eastAsia="zh-CN"/>
        </w:rPr>
        <w:t>康源公司</w:t>
      </w:r>
      <w:r>
        <w:rPr>
          <w:rFonts w:hint="eastAsia" w:ascii="仿宋" w:hAnsi="仿宋" w:eastAsia="仿宋" w:cs="仿宋"/>
          <w:sz w:val="32"/>
          <w:szCs w:val="32"/>
        </w:rPr>
        <w:t>的主营业务或未来规划业务相匹配</w:t>
      </w:r>
      <w:r>
        <w:rPr>
          <w:rFonts w:hint="eastAsia" w:ascii="仿宋" w:hAnsi="仿宋" w:eastAsia="仿宋" w:cs="仿宋"/>
          <w:sz w:val="32"/>
          <w:szCs w:val="32"/>
          <w:lang w:val="en-US" w:eastAsia="zh-CN"/>
        </w:rPr>
        <w:t>或与康源公司属于同一产业链上下游可提供相应</w:t>
      </w:r>
      <w:r>
        <w:rPr>
          <w:rFonts w:hint="eastAsia" w:ascii="仿宋" w:hAnsi="仿宋" w:eastAsia="仿宋" w:cs="仿宋"/>
          <w:sz w:val="32"/>
          <w:szCs w:val="32"/>
        </w:rPr>
        <w:t>支持的，在同等条件下将被优先考虑。</w:t>
      </w:r>
    </w:p>
    <w:p w14:paraId="25854B6E">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.为保障重整后公司可尽快实现营业</w:t>
      </w:r>
      <w:r>
        <w:rPr>
          <w:rFonts w:hint="eastAsia" w:ascii="仿宋" w:hAnsi="仿宋" w:eastAsia="仿宋" w:cs="仿宋"/>
          <w:sz w:val="32"/>
          <w:szCs w:val="32"/>
          <w:lang w:val="en-US" w:eastAsia="zh-CN"/>
        </w:rPr>
        <w:t>增长和规模扩大</w:t>
      </w:r>
      <w:r>
        <w:rPr>
          <w:rFonts w:hint="eastAsia" w:ascii="仿宋" w:hAnsi="仿宋" w:eastAsia="仿宋" w:cs="仿宋"/>
          <w:sz w:val="32"/>
          <w:szCs w:val="32"/>
        </w:rPr>
        <w:t>，意向投资人若能够</w:t>
      </w:r>
      <w:r>
        <w:rPr>
          <w:rFonts w:hint="eastAsia" w:ascii="仿宋" w:hAnsi="仿宋" w:eastAsia="仿宋" w:cs="仿宋"/>
          <w:sz w:val="32"/>
          <w:szCs w:val="32"/>
          <w:lang w:val="en-US" w:eastAsia="zh-CN"/>
        </w:rPr>
        <w:t>整合行业上下游资源或者提供其他运营渠道的</w:t>
      </w:r>
      <w:r>
        <w:rPr>
          <w:rFonts w:hint="eastAsia" w:ascii="仿宋" w:hAnsi="仿宋" w:eastAsia="仿宋" w:cs="仿宋"/>
          <w:sz w:val="32"/>
          <w:szCs w:val="32"/>
        </w:rPr>
        <w:t>，在同等条件下将被优先考虑。</w:t>
      </w:r>
    </w:p>
    <w:p w14:paraId="2F833AE0">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.两个或两个以上意向投资人可组成联合体参与投资，联合体应明确牵头投资人，并说明每个成员所充当的角色、分工及职责等情况。联合体成员均应符合上述全部条件。</w:t>
      </w:r>
    </w:p>
    <w:p w14:paraId="7F279D4C">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牵头投资人应承诺对联合体其他成员的投资义务承担连带/兜底责任。牵头投资人一经确定后，未经临时管理人许可不能更换，牵头投资人未通过资格审查或未经临时管理人许可退出本次招募和遴选的，视为联合体未通过资格审查或退出本次招募和遴选。各联合体成员需要在重整投资方案中承诺，发生联合体成员退出 的情况时，其他联合体成员将按照投资份额的相对比例或内部协商一致的比例承接退出成员的投资份额。</w:t>
      </w:r>
    </w:p>
    <w:p w14:paraId="35E530F5">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临时管理人根据预重整和重整工作需要认为应符合的其他条件。</w:t>
      </w:r>
    </w:p>
    <w:p w14:paraId="0254C7B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（二）初步筛选</w:t>
      </w:r>
    </w:p>
    <w:p w14:paraId="5864FAEF">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临时管理人将对意向投资人提交的报名材料进行形式审查。审查通过的，即为通过初步筛选；提交的报名材料存在缺失、遗漏的，临时管理人将通知补正，意向投资人应于临时管理人指定的期限之前完成补正。</w:t>
      </w:r>
    </w:p>
    <w:p w14:paraId="0310AB4D">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（三）尽职调查</w:t>
      </w:r>
    </w:p>
    <w:p w14:paraId="00190BD3">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待意向投资人通过初步筛选且向管理人申请尽职调查后，意向投资人可以自行或委托中介机构对</w:t>
      </w:r>
      <w:r>
        <w:rPr>
          <w:rFonts w:hint="eastAsia" w:ascii="仿宋" w:hAnsi="仿宋" w:eastAsia="仿宋" w:cs="仿宋"/>
          <w:sz w:val="32"/>
          <w:szCs w:val="32"/>
          <w:lang w:eastAsia="zh-CN"/>
        </w:rPr>
        <w:t>康源公司</w:t>
      </w:r>
      <w:r>
        <w:rPr>
          <w:rFonts w:hint="eastAsia" w:ascii="仿宋" w:hAnsi="仿宋" w:eastAsia="仿宋" w:cs="仿宋"/>
          <w:sz w:val="32"/>
          <w:szCs w:val="32"/>
        </w:rPr>
        <w:t>开展尽职调查工作（若需）。债务人将向意向投资人开放尽职调查资料，并按报名顺序安排意向投资人进行现场访谈（若需）。各意向投资人的尽职调查工作时间自报名截止后7日内完成。意向投资人应在规定的期限前完成全部尽职调查工作，临时管理人有权增加或减少尽职调查工作的时限。实地考察访谈工作需提前与临时管理人联系。意向投资人发生的包括但不限于报名活动、尽职调查活动等的所有相关费用，由其自行承担。</w:t>
      </w:r>
    </w:p>
    <w:p w14:paraId="74D5DAF2">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lang w:val="en-US" w:eastAsia="zh-CN"/>
        </w:rPr>
        <w:t>(四）</w:t>
      </w:r>
      <w:r>
        <w:rPr>
          <w:rFonts w:hint="eastAsia" w:ascii="仿宋" w:hAnsi="仿宋" w:eastAsia="仿宋" w:cs="仿宋"/>
          <w:sz w:val="32"/>
          <w:szCs w:val="32"/>
        </w:rPr>
        <w:t>方案提交</w:t>
      </w:r>
    </w:p>
    <w:p w14:paraId="6A76B5B6">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重整投资文件的密封与标志</w:t>
      </w:r>
    </w:p>
    <w:p w14:paraId="7ADC6E8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default" w:ascii="仿宋" w:hAnsi="仿宋" w:eastAsia="仿宋" w:cs="仿宋"/>
          <w:sz w:val="32"/>
          <w:szCs w:val="32"/>
          <w:lang w:val="en-US"/>
        </w:rPr>
      </w:pPr>
      <w:r>
        <w:rPr>
          <w:rFonts w:hint="eastAsia" w:ascii="仿宋" w:hAnsi="仿宋" w:eastAsia="仿宋" w:cs="仿宋"/>
          <w:sz w:val="32"/>
          <w:szCs w:val="32"/>
          <w:lang w:val="en-US" w:eastAsia="zh-CN"/>
        </w:rPr>
        <w:t>(1)意向投资人应当向临时管理人提交具有可操作性的《重整投资方案》；</w:t>
      </w:r>
    </w:p>
    <w:p w14:paraId="256D1CF3">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lang w:val="en-US" w:eastAsia="zh-CN"/>
        </w:rPr>
      </w:pPr>
      <w:r>
        <w:rPr>
          <w:rFonts w:hint="eastAsia" w:ascii="仿宋" w:hAnsi="仿宋" w:eastAsia="仿宋" w:cs="仿宋"/>
          <w:sz w:val="32"/>
          <w:szCs w:val="32"/>
        </w:rPr>
        <w:t>(2)重整投资文件应装订成册，封面加盖意向投资人公章并由法定代表人(负责人)或受托人签名</w:t>
      </w:r>
      <w:r>
        <w:rPr>
          <w:rFonts w:hint="eastAsia" w:ascii="仿宋" w:hAnsi="仿宋" w:eastAsia="仿宋" w:cs="仿宋"/>
          <w:sz w:val="32"/>
          <w:szCs w:val="32"/>
          <w:lang w:val="en-US" w:eastAsia="zh-CN"/>
        </w:rPr>
        <w:t>；</w:t>
      </w:r>
    </w:p>
    <w:p w14:paraId="773C98A6">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lang w:val="en-US" w:eastAsia="zh-CN"/>
        </w:rPr>
      </w:pPr>
      <w:r>
        <w:rPr>
          <w:rFonts w:hint="eastAsia" w:ascii="仿宋" w:hAnsi="仿宋" w:eastAsia="仿宋" w:cs="仿宋"/>
          <w:sz w:val="32"/>
          <w:szCs w:val="32"/>
        </w:rPr>
        <w:t>(3)意向投资人应将重整投资文件一式九份装袋密封</w:t>
      </w:r>
      <w:r>
        <w:rPr>
          <w:rFonts w:hint="eastAsia" w:ascii="仿宋" w:hAnsi="仿宋" w:eastAsia="仿宋" w:cs="仿宋"/>
          <w:sz w:val="32"/>
          <w:szCs w:val="32"/>
          <w:lang w:val="en-US" w:eastAsia="zh-CN"/>
        </w:rPr>
        <w:t>；</w:t>
      </w:r>
    </w:p>
    <w:p w14:paraId="549A9723">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(4)意向投资人提交重整投资文件时，需提供与投资文件内容一致的电子文档。电子文档应刻录到光盘上或存入U盘，与重整投资文件一并密封。</w:t>
      </w:r>
    </w:p>
    <w:p w14:paraId="7F32C1D3">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2.提交的时间与地点</w:t>
      </w:r>
    </w:p>
    <w:p w14:paraId="7E4C4CF9">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lang w:val="en-US" w:eastAsia="zh-CN"/>
        </w:rPr>
      </w:pPr>
      <w:r>
        <w:rPr>
          <w:rFonts w:hint="eastAsia" w:ascii="仿宋" w:hAnsi="仿宋" w:eastAsia="仿宋" w:cs="仿宋"/>
          <w:sz w:val="32"/>
          <w:szCs w:val="32"/>
        </w:rPr>
        <w:t>(1)意向投资人应</w:t>
      </w:r>
      <w:r>
        <w:rPr>
          <w:rFonts w:hint="eastAsia" w:ascii="仿宋" w:hAnsi="仿宋" w:eastAsia="仿宋" w:cs="仿宋"/>
          <w:color w:val="auto"/>
          <w:sz w:val="32"/>
          <w:szCs w:val="32"/>
        </w:rPr>
        <w:t>于202</w:t>
      </w:r>
      <w:r>
        <w:rPr>
          <w:rFonts w:hint="eastAsia" w:ascii="仿宋" w:hAnsi="仿宋" w:eastAsia="仿宋" w:cs="仿宋"/>
          <w:color w:val="auto"/>
          <w:sz w:val="32"/>
          <w:szCs w:val="32"/>
          <w:lang w:eastAsia="zh-CN"/>
        </w:rPr>
        <w:t>5</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月1</w:t>
      </w:r>
      <w:r>
        <w:rPr>
          <w:rFonts w:hint="eastAsia" w:ascii="仿宋" w:hAnsi="仿宋" w:eastAsia="仿宋" w:cs="仿宋"/>
          <w:color w:val="auto"/>
          <w:sz w:val="32"/>
          <w:szCs w:val="32"/>
          <w:lang w:eastAsia="zh-CN"/>
        </w:rPr>
        <w:t>8</w:t>
      </w:r>
      <w:r>
        <w:rPr>
          <w:rFonts w:hint="eastAsia" w:ascii="仿宋" w:hAnsi="仿宋" w:eastAsia="仿宋" w:cs="仿宋"/>
          <w:color w:val="auto"/>
          <w:sz w:val="32"/>
          <w:szCs w:val="32"/>
        </w:rPr>
        <w:t>日17:00前</w:t>
      </w:r>
      <w:r>
        <w:rPr>
          <w:rFonts w:hint="eastAsia" w:ascii="仿宋" w:hAnsi="仿宋" w:eastAsia="仿宋" w:cs="仿宋"/>
          <w:sz w:val="32"/>
          <w:szCs w:val="32"/>
        </w:rPr>
        <w:t>向临时管理人提交重整投资文件。期限届满后，临时管理人有权视情况决定是否延长提交期限。</w:t>
      </w:r>
    </w:p>
    <w:p w14:paraId="2EF2D0EC">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(2)重整投资文件应递交至下列地点，并由临时管理人出具接收凭证。</w:t>
      </w:r>
    </w:p>
    <w:p w14:paraId="2006CBE7">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接收</w:t>
      </w:r>
      <w:r>
        <w:rPr>
          <w:rFonts w:hint="eastAsia" w:ascii="仿宋" w:hAnsi="仿宋" w:eastAsia="仿宋" w:cs="仿宋"/>
          <w:sz w:val="32"/>
          <w:szCs w:val="32"/>
        </w:rPr>
        <w:t>地址：</w:t>
      </w:r>
      <w:r>
        <w:rPr>
          <w:rFonts w:hint="eastAsia" w:ascii="仿宋" w:hAnsi="仿宋" w:eastAsia="仿宋" w:cs="仿宋"/>
          <w:sz w:val="32"/>
          <w:szCs w:val="32"/>
          <w:lang w:val="en-US" w:eastAsia="zh-CN"/>
        </w:rPr>
        <w:t>江西省景德镇市昌江区龙井路华润燃气6楼江西晨天律师事务所金融办公室。</w:t>
      </w:r>
    </w:p>
    <w:p w14:paraId="1386C7D3">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default" w:ascii="仿宋" w:hAnsi="仿宋" w:eastAsia="仿宋" w:cs="仿宋"/>
          <w:sz w:val="32"/>
          <w:szCs w:val="32"/>
          <w:lang w:val="en-US" w:eastAsia="zh-CN"/>
        </w:rPr>
      </w:pPr>
      <w:r>
        <w:rPr>
          <w:rFonts w:hint="eastAsia" w:ascii="仿宋" w:hAnsi="仿宋" w:eastAsia="仿宋" w:cs="仿宋"/>
          <w:sz w:val="32"/>
          <w:szCs w:val="32"/>
        </w:rPr>
        <w:t>收</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件</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人：</w:t>
      </w:r>
      <w:r>
        <w:rPr>
          <w:rFonts w:hint="eastAsia" w:ascii="仿宋" w:hAnsi="仿宋" w:eastAsia="仿宋" w:cs="仿宋"/>
          <w:sz w:val="32"/>
          <w:szCs w:val="32"/>
          <w:lang w:val="en-US" w:eastAsia="zh-CN"/>
        </w:rPr>
        <w:t>郑明慧律师</w:t>
      </w:r>
    </w:p>
    <w:p w14:paraId="1CD60DBC">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联系</w:t>
      </w:r>
      <w:r>
        <w:rPr>
          <w:rFonts w:hint="eastAsia" w:ascii="仿宋" w:hAnsi="仿宋" w:eastAsia="仿宋" w:cs="仿宋"/>
          <w:sz w:val="32"/>
          <w:szCs w:val="32"/>
        </w:rPr>
        <w:t>电话：</w:t>
      </w:r>
      <w:r>
        <w:rPr>
          <w:rFonts w:hint="eastAsia" w:ascii="仿宋" w:hAnsi="仿宋" w:eastAsia="仿宋" w:cs="仿宋"/>
          <w:sz w:val="32"/>
          <w:szCs w:val="32"/>
          <w:lang w:val="en-US" w:eastAsia="zh-CN"/>
        </w:rPr>
        <w:t>13030518303</w:t>
      </w:r>
    </w:p>
    <w:p w14:paraId="5EFB9FC9">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default" w:ascii="仿宋" w:hAnsi="仿宋" w:eastAsia="仿宋" w:cs="仿宋"/>
          <w:sz w:val="32"/>
          <w:szCs w:val="32"/>
          <w:lang w:val="en-US" w:eastAsia="zh-CN"/>
        </w:rPr>
      </w:pPr>
      <w:r>
        <w:rPr>
          <w:rFonts w:hint="eastAsia" w:ascii="仿宋" w:hAnsi="仿宋" w:eastAsia="仿宋" w:cs="仿宋"/>
          <w:sz w:val="32"/>
          <w:szCs w:val="32"/>
        </w:rPr>
        <w:t>(五)遴选</w:t>
      </w:r>
      <w:r>
        <w:rPr>
          <w:rFonts w:hint="eastAsia" w:ascii="仿宋" w:hAnsi="仿宋" w:eastAsia="仿宋" w:cs="仿宋"/>
          <w:sz w:val="32"/>
          <w:szCs w:val="32"/>
          <w:lang w:val="en-US" w:eastAsia="zh-CN"/>
        </w:rPr>
        <w:t>谈判</w:t>
      </w:r>
    </w:p>
    <w:p w14:paraId="46352CA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lang w:val="en-US" w:eastAsia="zh-CN"/>
        </w:rPr>
      </w:pPr>
      <w:r>
        <w:rPr>
          <w:rFonts w:hint="eastAsia" w:ascii="仿宋" w:hAnsi="仿宋" w:eastAsia="仿宋" w:cs="仿宋"/>
          <w:sz w:val="32"/>
          <w:szCs w:val="32"/>
        </w:rPr>
        <w:t>《重整投资方案》提交期限届满后，临时管理人将根据实际报名情况，</w:t>
      </w:r>
      <w:r>
        <w:rPr>
          <w:rFonts w:hint="eastAsia" w:ascii="仿宋" w:hAnsi="仿宋" w:eastAsia="仿宋" w:cs="仿宋"/>
          <w:sz w:val="32"/>
          <w:szCs w:val="32"/>
          <w:lang w:val="en-US" w:eastAsia="zh-CN"/>
        </w:rPr>
        <w:t>在景德镇中院的指导和监督下组织</w:t>
      </w:r>
      <w:r>
        <w:rPr>
          <w:rFonts w:hint="eastAsia" w:ascii="仿宋" w:hAnsi="仿宋" w:eastAsia="仿宋" w:cs="仿宋"/>
          <w:sz w:val="32"/>
          <w:szCs w:val="32"/>
        </w:rPr>
        <w:t>遴选</w:t>
      </w:r>
      <w:r>
        <w:rPr>
          <w:rFonts w:hint="eastAsia" w:ascii="仿宋" w:hAnsi="仿宋" w:eastAsia="仿宋" w:cs="仿宋"/>
          <w:sz w:val="32"/>
          <w:szCs w:val="32"/>
          <w:lang w:val="en-US" w:eastAsia="zh-CN"/>
        </w:rPr>
        <w:t>工作。如意向投资人超过一家的，临时管理人将在收到投资方案后5日内组建</w:t>
      </w:r>
      <w:r>
        <w:rPr>
          <w:rFonts w:hint="eastAsia" w:ascii="仿宋" w:hAnsi="仿宋" w:eastAsia="仿宋" w:cs="仿宋"/>
          <w:sz w:val="32"/>
          <w:szCs w:val="32"/>
        </w:rPr>
        <w:t>遴选</w:t>
      </w:r>
      <w:r>
        <w:rPr>
          <w:rFonts w:hint="eastAsia" w:ascii="仿宋" w:hAnsi="仿宋" w:eastAsia="仿宋" w:cs="仿宋"/>
          <w:sz w:val="32"/>
          <w:szCs w:val="32"/>
          <w:lang w:val="en-US" w:eastAsia="zh-CN"/>
        </w:rPr>
        <w:t>委员会，</w:t>
      </w:r>
      <w:r>
        <w:rPr>
          <w:rFonts w:hint="eastAsia" w:ascii="仿宋" w:hAnsi="仿宋" w:eastAsia="仿宋" w:cs="仿宋"/>
          <w:sz w:val="32"/>
          <w:szCs w:val="32"/>
        </w:rPr>
        <w:t>通过商业谈判或竞争性遴选等方式确定最终的重整投资人。</w:t>
      </w:r>
      <w:r>
        <w:rPr>
          <w:rFonts w:hint="eastAsia" w:ascii="仿宋" w:hAnsi="仿宋" w:eastAsia="仿宋" w:cs="仿宋"/>
          <w:sz w:val="32"/>
          <w:szCs w:val="32"/>
          <w:lang w:val="en-US" w:eastAsia="zh-CN"/>
        </w:rPr>
        <w:t>具体的</w:t>
      </w:r>
      <w:r>
        <w:rPr>
          <w:rFonts w:hint="eastAsia" w:ascii="仿宋" w:hAnsi="仿宋" w:eastAsia="仿宋" w:cs="仿宋"/>
          <w:sz w:val="32"/>
          <w:szCs w:val="32"/>
        </w:rPr>
        <w:t>遴选</w:t>
      </w:r>
      <w:r>
        <w:rPr>
          <w:rFonts w:hint="eastAsia" w:ascii="仿宋" w:hAnsi="仿宋" w:eastAsia="仿宋" w:cs="仿宋"/>
          <w:sz w:val="32"/>
          <w:szCs w:val="32"/>
          <w:lang w:val="en-US" w:eastAsia="zh-CN"/>
        </w:rPr>
        <w:t>安排，由临时管理人另行通知。</w:t>
      </w:r>
    </w:p>
    <w:p w14:paraId="749E571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临时管理人有权在意向投资人报名后至确定为投资人前对意向投资人反向尽职调查，意向投资人应予配合。</w:t>
      </w:r>
    </w:p>
    <w:p w14:paraId="3CEDDF22">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(六)签署协议</w:t>
      </w:r>
    </w:p>
    <w:p w14:paraId="5F3D9195">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left"/>
        <w:textAlignment w:val="baseline"/>
        <w:rPr>
          <w:rFonts w:hint="eastAsia" w:ascii="仿宋" w:hAnsi="仿宋" w:eastAsia="仿宋" w:cs="仿宋"/>
          <w:sz w:val="32"/>
          <w:szCs w:val="32"/>
        </w:rPr>
      </w:pPr>
      <w:r>
        <w:rPr>
          <w:rFonts w:hint="eastAsia" w:ascii="仿宋" w:hAnsi="仿宋" w:eastAsia="仿宋" w:cs="仿宋"/>
          <w:sz w:val="32"/>
          <w:szCs w:val="32"/>
        </w:rPr>
        <w:t>最终经过公开招募和遴选确定重整投资人后</w:t>
      </w:r>
      <w:r>
        <w:rPr>
          <w:rFonts w:hint="eastAsia" w:ascii="仿宋" w:hAnsi="仿宋" w:eastAsia="仿宋" w:cs="仿宋"/>
          <w:sz w:val="32"/>
          <w:szCs w:val="32"/>
          <w:lang w:val="en-US" w:eastAsia="zh-CN"/>
        </w:rPr>
        <w:t>，由临时管理人向重整投资人发出《确认函》，确认其重整投资人的身份</w:t>
      </w:r>
      <w:r>
        <w:rPr>
          <w:rFonts w:hint="eastAsia" w:ascii="仿宋" w:hAnsi="仿宋" w:eastAsia="仿宋" w:cs="仿宋"/>
          <w:sz w:val="32"/>
          <w:szCs w:val="32"/>
        </w:rPr>
        <w:t>。重整投资人可参与公司重整预案的讨论和准备，临时管理人在向债权人会议提交重整预案之前，应征询重整投资人意见，经债权人表决通过的重整预案的相关内容将继续适用于</w:t>
      </w:r>
      <w:r>
        <w:rPr>
          <w:rFonts w:hint="eastAsia" w:ascii="仿宋" w:hAnsi="仿宋" w:eastAsia="仿宋" w:cs="仿宋"/>
          <w:sz w:val="32"/>
          <w:szCs w:val="32"/>
          <w:lang w:eastAsia="zh-CN"/>
        </w:rPr>
        <w:t>康源公司</w:t>
      </w:r>
      <w:r>
        <w:rPr>
          <w:rFonts w:hint="eastAsia" w:ascii="仿宋" w:hAnsi="仿宋" w:eastAsia="仿宋" w:cs="仿宋"/>
          <w:sz w:val="32"/>
          <w:szCs w:val="32"/>
        </w:rPr>
        <w:t>的正式破产重整程序。</w:t>
      </w:r>
    </w:p>
    <w:p w14:paraId="15A575E7">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经过公开招募和遴选确定候任重整投资人后，在与临时管理人协商一致的前提下，重整投资人应及时与临时管理人签署《重整投资协议》,并积极配合预重整及重整(若有)工作的进行。若候任重整投资人不愿意签署《重整投资协议》或不配合相关工作进行的，临时管理人有权取消其候任重整投资人的资格，并重新公开招募和遴选重整投资人。</w:t>
      </w:r>
    </w:p>
    <w:p w14:paraId="12AE6E2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七、保证金</w:t>
      </w:r>
    </w:p>
    <w:p w14:paraId="35921D1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(一)保证金的金额及缴纳方式</w:t>
      </w:r>
    </w:p>
    <w:p w14:paraId="074A01E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1.尽调保证金</w:t>
      </w:r>
    </w:p>
    <w:p w14:paraId="3D0B180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拟做尽职调查的意向投资人应在收到书面入围(即通过初步筛选)通知之日起5个工作日内，向临时管理人指定账户支付保证金人民币</w:t>
      </w:r>
      <w:r>
        <w:rPr>
          <w:rFonts w:hint="eastAsia" w:ascii="仿宋" w:hAnsi="仿宋" w:eastAsia="仿宋" w:cs="仿宋"/>
          <w:sz w:val="32"/>
          <w:szCs w:val="32"/>
          <w:lang w:eastAsia="zh-CN"/>
        </w:rPr>
        <w:t>10万元</w:t>
      </w:r>
      <w:r>
        <w:rPr>
          <w:rFonts w:hint="eastAsia" w:ascii="仿宋" w:hAnsi="仿宋" w:eastAsia="仿宋" w:cs="仿宋"/>
          <w:sz w:val="32"/>
          <w:szCs w:val="32"/>
        </w:rPr>
        <w:t>。</w:t>
      </w:r>
    </w:p>
    <w:p w14:paraId="6B6E9DDC">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2.投资保证金</w:t>
      </w:r>
    </w:p>
    <w:p w14:paraId="5864C5B7">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意向投资人应在向临时管理人正式提交重整投资文件前缴纳投资保证金人民币</w:t>
      </w:r>
      <w:r>
        <w:rPr>
          <w:rFonts w:hint="eastAsia" w:ascii="仿宋" w:hAnsi="仿宋" w:eastAsia="仿宋" w:cs="仿宋"/>
          <w:sz w:val="32"/>
          <w:szCs w:val="32"/>
          <w:lang w:eastAsia="zh-CN"/>
        </w:rPr>
        <w:t>100万元</w:t>
      </w:r>
      <w:r>
        <w:rPr>
          <w:rFonts w:hint="eastAsia" w:ascii="仿宋" w:hAnsi="仿宋" w:eastAsia="仿宋" w:cs="仿宋"/>
          <w:sz w:val="32"/>
          <w:szCs w:val="32"/>
        </w:rPr>
        <w:t>元。规定时间内未缴纳投资保证金的，意向投资人丧失参与本项目投资人遴选资格。</w:t>
      </w:r>
    </w:p>
    <w:p w14:paraId="6A6ED50C">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3.履约保证金</w:t>
      </w:r>
    </w:p>
    <w:p w14:paraId="01DDFCF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重整投资人应在与管理人、债务人签订重整投资前缴纳履约保证金人民币</w:t>
      </w:r>
      <w:r>
        <w:rPr>
          <w:rFonts w:hint="eastAsia" w:ascii="仿宋" w:hAnsi="仿宋" w:eastAsia="仿宋" w:cs="仿宋"/>
          <w:sz w:val="32"/>
          <w:szCs w:val="32"/>
          <w:lang w:eastAsia="zh-CN"/>
        </w:rPr>
        <w:t>500</w:t>
      </w:r>
      <w:r>
        <w:rPr>
          <w:rFonts w:hint="eastAsia" w:ascii="仿宋" w:hAnsi="仿宋" w:eastAsia="仿宋" w:cs="仿宋"/>
          <w:sz w:val="32"/>
          <w:szCs w:val="32"/>
        </w:rPr>
        <w:t>万元。履约保证金的退还等事项在重整投资协议中约定。</w:t>
      </w:r>
    </w:p>
    <w:p w14:paraId="4DC3EF1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(二)保证金的使用与退还</w:t>
      </w:r>
    </w:p>
    <w:p w14:paraId="6E90437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1.没有参加遴选或者遴选落选的意向投资人的尽调保证金，临时管理人将在遴选结束后10个工作日内无息退还。</w:t>
      </w:r>
    </w:p>
    <w:p w14:paraId="31625F29">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2.意向投资人向临时管理人正式提交投资文件时尽调保证金将无息转化为投资保证金的一部分。</w:t>
      </w:r>
    </w:p>
    <w:p w14:paraId="172C6A05">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3.没有参加遴选或者遴选落选的意向投资人的投资保证金，临时管理人将在遴选结束后10个工作日内无息退还。</w:t>
      </w:r>
    </w:p>
    <w:p w14:paraId="11AB800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4.意向投资人被选定为重整投资人后拒不签订《重整投资协议》,或签订协议后不履行义务的，或在重整计划报法院批准前投资人单方面退出的，投资保证金不予退还。</w:t>
      </w:r>
    </w:p>
    <w:p w14:paraId="3AD7DAC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5.本案未进入重整程序或重整计划草案未获法院批准，临时管理人将于该等事项确定后的10个工作日内无息退还保证金。临时管理人无义务向其说明理由或对其参与本次招募的支出进行补偿。</w:t>
      </w:r>
    </w:p>
    <w:p w14:paraId="2B566A1D">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6.重整计划草案经人民法院裁定批准后，投资人所缴纳的投资保证金将转为履约保证金的一部分。</w:t>
      </w:r>
    </w:p>
    <w:p w14:paraId="6F5945C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八、其他事项</w:t>
      </w:r>
    </w:p>
    <w:p w14:paraId="6BDF28DD">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lang w:val="en-US" w:eastAsia="zh-CN"/>
        </w:rPr>
      </w:pPr>
      <w:r>
        <w:rPr>
          <w:rFonts w:hint="eastAsia" w:ascii="仿宋" w:hAnsi="仿宋" w:eastAsia="仿宋" w:cs="仿宋"/>
          <w:sz w:val="32"/>
          <w:szCs w:val="32"/>
        </w:rPr>
        <w:t>本公告由临时管理人编制，解释权归属于临时管理人。临时管理人有权根据重整进展和需要，变更招募事项的有关内容及时间安排，参与招募的意向重整投资人需无条件接受可能的变化，并根据临时管理人的安排配合相关招募进程。如有变化，以临时管理人的通知为准。结合后续确定的投资人遴选方式，临时管理人可以视情况与意向重整投资人直接谈判，并视情况中止(乃至</w:t>
      </w:r>
      <w:r>
        <w:rPr>
          <w:rFonts w:hint="eastAsia" w:ascii="仿宋" w:hAnsi="仿宋" w:eastAsia="仿宋" w:cs="仿宋"/>
          <w:sz w:val="32"/>
          <w:szCs w:val="32"/>
          <w:lang w:val="en-US" w:eastAsia="zh-CN"/>
        </w:rPr>
        <w:t>终止）遴选程序。招募及遴选过程中，若景德镇中院裁定受理债权人对康源公司的重整申请并指定管理人的，本公告中临时管理人的权利及义务均由管理人继续行使及履行。</w:t>
      </w:r>
    </w:p>
    <w:p w14:paraId="2FDB261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热忱欢迎社会各界报名参与本重整投资项目。</w:t>
      </w:r>
    </w:p>
    <w:p w14:paraId="7512145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特此公告。</w:t>
      </w:r>
    </w:p>
    <w:p w14:paraId="6FAF3CE2">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sz w:val="32"/>
          <w:szCs w:val="32"/>
          <w:lang w:val="en-US" w:eastAsia="zh-CN"/>
        </w:rPr>
      </w:pPr>
    </w:p>
    <w:p w14:paraId="7D954B77">
      <w:pPr>
        <w:keepNext w:val="0"/>
        <w:keepLines w:val="0"/>
        <w:pageBreakBefore w:val="0"/>
        <w:widowControl/>
        <w:kinsoku w:val="0"/>
        <w:wordWrap/>
        <w:overflowPunct/>
        <w:topLinePunct w:val="0"/>
        <w:autoSpaceDE w:val="0"/>
        <w:autoSpaceDN w:val="0"/>
        <w:bidi w:val="0"/>
        <w:adjustRightInd w:val="0"/>
        <w:snapToGrid w:val="0"/>
        <w:ind w:firstLine="640" w:firstLineChars="200"/>
        <w:jc w:val="right"/>
        <w:textAlignment w:val="baseline"/>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景德镇康源农业发展有限公司临时管理人</w:t>
      </w:r>
    </w:p>
    <w:p w14:paraId="0B771EB5">
      <w:pPr>
        <w:keepNext w:val="0"/>
        <w:keepLines w:val="0"/>
        <w:pageBreakBefore w:val="0"/>
        <w:widowControl/>
        <w:kinsoku w:val="0"/>
        <w:wordWrap w:val="0"/>
        <w:overflowPunct/>
        <w:topLinePunct w:val="0"/>
        <w:autoSpaceDE w:val="0"/>
        <w:autoSpaceDN w:val="0"/>
        <w:bidi w:val="0"/>
        <w:adjustRightInd w:val="0"/>
        <w:snapToGrid w:val="0"/>
        <w:ind w:firstLine="640" w:firstLineChars="200"/>
        <w:jc w:val="right"/>
        <w:textAlignment w:val="baseline"/>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江西晨天律师事务所(</w:t>
      </w:r>
      <w:r>
        <w:rPr>
          <w:rFonts w:hint="eastAsia" w:ascii="仿宋" w:hAnsi="仿宋" w:eastAsia="仿宋" w:cs="仿宋"/>
          <w:sz w:val="32"/>
          <w:szCs w:val="32"/>
          <w:lang w:val="en-US" w:eastAsia="zh-CN"/>
        </w:rPr>
        <w:t>公</w:t>
      </w:r>
      <w:r>
        <w:rPr>
          <w:rFonts w:hint="default" w:ascii="仿宋" w:hAnsi="仿宋" w:eastAsia="仿宋" w:cs="仿宋"/>
          <w:sz w:val="32"/>
          <w:szCs w:val="32"/>
          <w:lang w:val="en-US" w:eastAsia="zh-CN"/>
        </w:rPr>
        <w:t>章)</w:t>
      </w:r>
      <w:r>
        <w:rPr>
          <w:rFonts w:hint="eastAsia" w:ascii="仿宋" w:hAnsi="仿宋" w:eastAsia="仿宋" w:cs="仿宋"/>
          <w:sz w:val="32"/>
          <w:szCs w:val="32"/>
          <w:lang w:val="en-US" w:eastAsia="zh-CN"/>
        </w:rPr>
        <w:t xml:space="preserve">   </w:t>
      </w:r>
    </w:p>
    <w:p w14:paraId="211F1BD4">
      <w:pPr>
        <w:keepNext w:val="0"/>
        <w:keepLines w:val="0"/>
        <w:pageBreakBefore w:val="0"/>
        <w:widowControl/>
        <w:kinsoku w:val="0"/>
        <w:wordWrap w:val="0"/>
        <w:overflowPunct/>
        <w:topLinePunct w:val="0"/>
        <w:autoSpaceDE w:val="0"/>
        <w:autoSpaceDN w:val="0"/>
        <w:bidi w:val="0"/>
        <w:adjustRightInd w:val="0"/>
        <w:snapToGrid w:val="0"/>
        <w:ind w:firstLine="640" w:firstLineChars="200"/>
        <w:jc w:val="right"/>
        <w:textAlignment w:val="baseline"/>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二〇二四年十</w:t>
      </w:r>
      <w:r>
        <w:rPr>
          <w:rFonts w:hint="eastAsia" w:ascii="仿宋" w:hAnsi="仿宋" w:eastAsia="仿宋" w:cs="仿宋"/>
          <w:sz w:val="32"/>
          <w:szCs w:val="32"/>
          <w:lang w:val="en-US" w:eastAsia="zh-CN"/>
        </w:rPr>
        <w:t>一</w:t>
      </w:r>
      <w:r>
        <w:rPr>
          <w:rFonts w:hint="default" w:ascii="仿宋" w:hAnsi="仿宋" w:eastAsia="仿宋" w:cs="仿宋"/>
          <w:sz w:val="32"/>
          <w:szCs w:val="32"/>
          <w:lang w:val="en-US" w:eastAsia="zh-CN"/>
        </w:rPr>
        <w:t>月十</w:t>
      </w:r>
      <w:r>
        <w:rPr>
          <w:rFonts w:hint="eastAsia" w:ascii="仿宋" w:hAnsi="仿宋" w:eastAsia="仿宋" w:cs="仿宋"/>
          <w:sz w:val="32"/>
          <w:szCs w:val="32"/>
          <w:lang w:val="en-US" w:eastAsia="zh-CN"/>
        </w:rPr>
        <w:t>五</w:t>
      </w:r>
      <w:r>
        <w:rPr>
          <w:rFonts w:hint="default" w:ascii="仿宋" w:hAnsi="仿宋" w:eastAsia="仿宋" w:cs="仿宋"/>
          <w:sz w:val="32"/>
          <w:szCs w:val="32"/>
          <w:lang w:val="en-US" w:eastAsia="zh-CN"/>
        </w:rPr>
        <w:t>日</w:t>
      </w:r>
      <w:r>
        <w:rPr>
          <w:rFonts w:hint="eastAsia" w:ascii="仿宋" w:hAnsi="仿宋" w:eastAsia="仿宋" w:cs="仿宋"/>
          <w:sz w:val="32"/>
          <w:szCs w:val="32"/>
          <w:lang w:val="en-US" w:eastAsia="zh-CN"/>
        </w:rPr>
        <w:t xml:space="preserve">  </w:t>
      </w:r>
    </w:p>
    <w:p w14:paraId="72E8CFF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640" w:firstLineChars="200"/>
        <w:jc w:val="right"/>
        <w:textAlignment w:val="baseline"/>
        <w:rPr>
          <w:rFonts w:hint="default" w:ascii="仿宋" w:hAnsi="仿宋" w:eastAsia="仿宋" w:cs="仿宋"/>
          <w:sz w:val="32"/>
          <w:szCs w:val="32"/>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E64D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8"/>
      <w:szCs w:val="28"/>
      <w:lang w:val="en-US" w:eastAsia="en-US" w:bidi="ar-SA"/>
    </w:rPr>
  </w:style>
  <w:style w:type="paragraph" w:customStyle="1" w:styleId="5">
    <w:name w:val="Table Text"/>
    <w:basedOn w:val="1"/>
    <w:semiHidden/>
    <w:qFormat/>
    <w:uiPriority w:val="0"/>
    <w:rPr>
      <w:rFonts w:ascii="宋体" w:hAnsi="宋体" w:eastAsia="宋体" w:cs="宋体"/>
      <w:sz w:val="33"/>
      <w:szCs w:val="33"/>
      <w:lang w:val="en-US" w:eastAsia="en-US" w:bidi="ar-SA"/>
    </w:rPr>
  </w:style>
  <w:style w:type="table" w:customStyle="1" w:styleId="6">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4629</Words>
  <Characters>4859</Characters>
  <Lines>0</Lines>
  <Paragraphs>0</Paragraphs>
  <TotalTime>1</TotalTime>
  <ScaleCrop>false</ScaleCrop>
  <LinksUpToDate>false</LinksUpToDate>
  <CharactersWithSpaces>4886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2024-11-05T11:14:00Z</dcterms:created>
  <dc:creator>郑明慧</dc:creator>
  <cp:lastModifiedBy>郑明慧</cp:lastModifiedBy>
  <dcterms:modified xsi:type="dcterms:W3CDTF">2024-11-15T02:20:28Z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F121C7D1442B48399684F3E7AB4D30F7_13</vt:lpwstr>
  </property>
</Properties>
</file>