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CD2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sz w:val="30"/>
          <w:szCs w:val="30"/>
        </w:rPr>
      </w:pPr>
      <w:r>
        <w:rPr>
          <w:rFonts w:hint="eastAsia" w:ascii="黑体" w:hAnsi="黑体" w:eastAsia="黑体"/>
          <w:sz w:val="30"/>
          <w:szCs w:val="30"/>
        </w:rPr>
        <w:t>债权人会议议事规则</w:t>
      </w:r>
    </w:p>
    <w:p w14:paraId="29AC7B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sz w:val="30"/>
          <w:szCs w:val="30"/>
        </w:rPr>
      </w:pPr>
    </w:p>
    <w:p w14:paraId="687B5A0C">
      <w:pPr>
        <w:keepNext w:val="0"/>
        <w:keepLines w:val="0"/>
        <w:pageBreakBefore w:val="0"/>
        <w:widowControl w:val="0"/>
        <w:kinsoku/>
        <w:wordWrap/>
        <w:overflowPunct/>
        <w:topLinePunct w:val="0"/>
        <w:autoSpaceDE/>
        <w:autoSpaceDN/>
        <w:bidi w:val="0"/>
        <w:adjustRightInd/>
        <w:snapToGrid/>
        <w:spacing w:before="240"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为保障债权人会议依法独立、规范、有效地行使职权，根据《中华人民共和国企业破产法》（以下简称《企业破产法》）及最高人民法院相关司法解释的规定，结合债务人的实际情况，制定本规则。</w:t>
      </w:r>
    </w:p>
    <w:p w14:paraId="4950D8AC">
      <w:pPr>
        <w:keepNext w:val="0"/>
        <w:keepLines w:val="0"/>
        <w:pageBreakBefore w:val="0"/>
        <w:widowControl w:val="0"/>
        <w:kinsoku/>
        <w:wordWrap/>
        <w:overflowPunct/>
        <w:topLinePunct w:val="0"/>
        <w:autoSpaceDE/>
        <w:autoSpaceDN/>
        <w:bidi w:val="0"/>
        <w:adjustRightInd/>
        <w:snapToGrid/>
        <w:spacing w:before="240" w:after="240" w:line="400" w:lineRule="exact"/>
        <w:ind w:firstLine="640"/>
        <w:textAlignment w:val="auto"/>
        <w:rPr>
          <w:rFonts w:hint="eastAsia" w:ascii="仿宋" w:hAnsi="仿宋" w:eastAsia="仿宋" w:cs="仿宋"/>
          <w:sz w:val="28"/>
          <w:szCs w:val="28"/>
        </w:rPr>
      </w:pPr>
      <w:r>
        <w:rPr>
          <w:rFonts w:hint="eastAsia" w:ascii="黑体" w:hAnsi="黑体" w:eastAsia="黑体" w:cs="黑体"/>
          <w:bCs/>
          <w:color w:val="000000"/>
          <w:sz w:val="28"/>
          <w:szCs w:val="28"/>
        </w:rPr>
        <w:t>一、一般规定</w:t>
      </w:r>
    </w:p>
    <w:p w14:paraId="2C1AEF7D">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第一条 债权人会议应根据《企业破产法》及最高人民法院相关司法解释的规定，在</w:t>
      </w:r>
      <w:bookmarkStart w:id="0" w:name="_GoBack"/>
      <w:bookmarkEnd w:id="0"/>
      <w:r>
        <w:rPr>
          <w:rFonts w:hint="eastAsia" w:ascii="仿宋" w:hAnsi="仿宋" w:eastAsia="仿宋" w:cs="仿宋"/>
          <w:color w:val="000000"/>
          <w:sz w:val="28"/>
          <w:szCs w:val="28"/>
          <w:lang w:eastAsia="zh-CN"/>
        </w:rPr>
        <w:t>人民法院</w:t>
      </w:r>
      <w:r>
        <w:rPr>
          <w:rFonts w:hint="eastAsia" w:ascii="仿宋" w:hAnsi="仿宋" w:eastAsia="仿宋" w:cs="仿宋"/>
          <w:color w:val="000000"/>
          <w:sz w:val="28"/>
          <w:szCs w:val="28"/>
        </w:rPr>
        <w:t>的指导和监督下，认真履行职责，维护全体债权人的合法权益。</w:t>
      </w:r>
    </w:p>
    <w:p w14:paraId="44D8637C">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第二条 债权人会议是全体债权人议事和决策的主要形式和临时机构。</w:t>
      </w:r>
    </w:p>
    <w:p w14:paraId="04E55FF2">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第三条 依法申报债权的债权人为债权人会议的成员，有权参加债权人会议，享有表决权。</w:t>
      </w:r>
    </w:p>
    <w:p w14:paraId="6F1B00DA">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债权尚未确定的债权人，除人民法院能够为其行使表决权而临时确定债权额的，不得行使表决权。</w:t>
      </w:r>
    </w:p>
    <w:p w14:paraId="41BAF006">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对债务人的特定财产享有担保权的债权人，未放弃优先受偿权利的，对本规则第七条第七项、第十项规定的事项不享有表决权。</w:t>
      </w:r>
    </w:p>
    <w:p w14:paraId="7A63B50C">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第四条 管理人及其聘请的中介机构应当列席债权人会议，向债权人会议报告职务执行情况，并回答询问。</w:t>
      </w:r>
    </w:p>
    <w:p w14:paraId="3580B78A">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第五条 债权人可以委托代理人出席债权人会议，行使表决权。代理人出席债权人会议的，应当向人民法院或者债权人会议主席提交债权人的授权委托材料。</w:t>
      </w:r>
    </w:p>
    <w:p w14:paraId="54341C8C">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第六条 债权人会议设主席一名，由人民法院从有表决权的债权人中指定。</w:t>
      </w:r>
    </w:p>
    <w:p w14:paraId="2DAF8927">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第七条 债权人会议具体行使以下职权:</w:t>
      </w:r>
    </w:p>
    <w:p w14:paraId="6C53AF77">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（一）核查债权；</w:t>
      </w:r>
    </w:p>
    <w:p w14:paraId="5E388C9F">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（二）申请人民法院更换管理人，审查管理人的费用和报酬；</w:t>
      </w:r>
    </w:p>
    <w:p w14:paraId="7193A412">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（三）监督管理人；</w:t>
      </w:r>
    </w:p>
    <w:p w14:paraId="18E7E116">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（四）选任和更换债权人委员会成员；</w:t>
      </w:r>
    </w:p>
    <w:p w14:paraId="1B3BCE59">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（五）决定继续或者停止公司的营业；</w:t>
      </w:r>
    </w:p>
    <w:p w14:paraId="144E899B">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（六）通过重整计划；</w:t>
      </w:r>
    </w:p>
    <w:p w14:paraId="1D3DFD4F">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（七）通过和解协议；</w:t>
      </w:r>
    </w:p>
    <w:p w14:paraId="1FA64D59">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（八）通过财产的管理方案；</w:t>
      </w:r>
    </w:p>
    <w:p w14:paraId="7477A088">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（九）通过破产财产的变价方案；</w:t>
      </w:r>
    </w:p>
    <w:p w14:paraId="61E6D74D">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（十）通过破产财产的分配方案；</w:t>
      </w:r>
    </w:p>
    <w:p w14:paraId="0552284B">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（十一）人民法院认为应当由债权人会议行使的其他职权。</w:t>
      </w:r>
    </w:p>
    <w:p w14:paraId="7C660BAA">
      <w:pPr>
        <w:keepNext w:val="0"/>
        <w:keepLines w:val="0"/>
        <w:pageBreakBefore w:val="0"/>
        <w:widowControl w:val="0"/>
        <w:kinsoku/>
        <w:wordWrap/>
        <w:overflowPunct/>
        <w:topLinePunct w:val="0"/>
        <w:autoSpaceDE/>
        <w:autoSpaceDN/>
        <w:bidi w:val="0"/>
        <w:adjustRightInd/>
        <w:snapToGrid/>
        <w:spacing w:before="240" w:after="240" w:line="400" w:lineRule="exact"/>
        <w:ind w:firstLine="640"/>
        <w:textAlignment w:val="auto"/>
        <w:rPr>
          <w:rFonts w:ascii="黑体" w:hAnsi="黑体" w:eastAsia="黑体" w:cs="黑体"/>
          <w:bCs/>
          <w:color w:val="000000"/>
          <w:sz w:val="28"/>
          <w:szCs w:val="28"/>
        </w:rPr>
      </w:pPr>
      <w:r>
        <w:rPr>
          <w:rFonts w:hint="eastAsia" w:ascii="黑体" w:hAnsi="黑体" w:eastAsia="黑体" w:cs="黑体"/>
          <w:bCs/>
          <w:color w:val="000000"/>
          <w:sz w:val="28"/>
          <w:szCs w:val="28"/>
        </w:rPr>
        <w:t>二、债权人会议的召开和表决</w:t>
      </w:r>
    </w:p>
    <w:p w14:paraId="53004556">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第八条 第一次债权人会议由人民法院召集。以后的债权人会议，在人民法院认为必要时，或者管理人、债权人委员会、占债权总额四分之一以上的债权人向债权人会议主席提议时召开。</w:t>
      </w:r>
    </w:p>
    <w:p w14:paraId="676AA707">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rPr>
        <w:t>第九条 第一次债权人会议可以采用现场方式或网络在线视频方式召开。第一次债权人会议以后的债权人会议可以采用非在线视频通讯群组等其他非现场方式召开。债权人会议以非现场方式召开的，管理人会核实参会人员身份，记录并保存会议过程。</w:t>
      </w:r>
    </w:p>
    <w:p w14:paraId="35A473C5">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第十条 召开债权人会议时，首先由人民法院或者债权人会议主席宣布会议议题，而后根据会议议程主持议事。人民法院或者债权人会议主席有权决定每一议题的议事时间、是否停止讨论、是否转入下一议题等。人民法院或者债权人会议主席控制会议进程，节约时间，提高议事效率和决策的科学性。</w:t>
      </w:r>
    </w:p>
    <w:p w14:paraId="7A1D3C40">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第十一条 除非人民法院或者债权人会议主席同意，否则债权人会议不讨论未列入本次会议议题的事项。</w:t>
      </w:r>
    </w:p>
    <w:p w14:paraId="1A3D6224">
      <w:pPr>
        <w:keepNext w:val="0"/>
        <w:keepLines w:val="0"/>
        <w:pageBreakBefore w:val="0"/>
        <w:widowControl w:val="0"/>
        <w:kinsoku/>
        <w:wordWrap/>
        <w:overflowPunct/>
        <w:topLinePunct w:val="0"/>
        <w:autoSpaceDE/>
        <w:autoSpaceDN/>
        <w:bidi w:val="0"/>
        <w:adjustRightInd/>
        <w:snapToGrid/>
        <w:spacing w:line="400" w:lineRule="exact"/>
        <w:ind w:firstLine="640"/>
        <w:jc w:val="left"/>
        <w:textAlignment w:val="auto"/>
        <w:rPr>
          <w:rFonts w:ascii="仿宋" w:hAnsi="仿宋" w:eastAsia="仿宋" w:cs="仿宋"/>
          <w:sz w:val="28"/>
          <w:szCs w:val="28"/>
        </w:rPr>
      </w:pPr>
      <w:r>
        <w:rPr>
          <w:rFonts w:hint="eastAsia" w:ascii="仿宋" w:hAnsi="仿宋" w:eastAsia="仿宋" w:cs="仿宋"/>
          <w:color w:val="000000"/>
          <w:sz w:val="28"/>
          <w:szCs w:val="28"/>
        </w:rPr>
        <w:t>第十二条 与会债权人及其代理人应当在债权人范围内进行讨论议事，不得与列席会议人员进行讨论，除非人民法院或者债权人会议主席决定听取列席人员意见和建议。</w:t>
      </w:r>
    </w:p>
    <w:p w14:paraId="21AE71B2">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第十三条 列席会议人员不得介入债权人会议议事过程，不得影响会议讨论、表决和作出决议。</w:t>
      </w:r>
    </w:p>
    <w:p w14:paraId="1A3634FC">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第十四条 人民法院或者债权人会议主席根据与会债权人情况主持会议进程，不因列席会议人员的意见或其他行为影响而改变会议进程或者会议议题。</w:t>
      </w:r>
    </w:p>
    <w:p w14:paraId="522F6397">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第十五条 会议出现意见相持而无法表决或者表决同意与表决不同意的意见相等时，应由人民法院或者债权人会议主席视会议情况决定继续议事或者暂时休会。</w:t>
      </w:r>
    </w:p>
    <w:p w14:paraId="7A64B975">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第十六条 债权人会议的决议，由出席会议的有表决权的债权人过半数通过，并且其所代表的债权额必须占无财产担保债权总额的半数以上。但《企业破产法》或司法解释另有规定的除外。</w:t>
      </w:r>
    </w:p>
    <w:p w14:paraId="290368BF">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第十七条 债权人会议决议方式为投票表决。召开现场债权人会议的，与会债权人表决后，由工作人员按照《企业破产法》及相关规定对表决票进行统计。不召开现场会议的债权人会议，表决票由管理人寄送至各债权人，各债权人可以通过通信、传真、网络投票等方式进行非现场表决，但各表决票需在管理人规定的投票截止日之前送达至管理人。</w:t>
      </w:r>
    </w:p>
    <w:p w14:paraId="3B8188EF">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 xml:space="preserve">第十八条 </w:t>
      </w:r>
      <w:r>
        <w:rPr>
          <w:rFonts w:hint="eastAsia" w:ascii="仿宋" w:hAnsi="仿宋" w:eastAsia="仿宋" w:cs="仿宋"/>
          <w:color w:val="000000"/>
          <w:sz w:val="28"/>
          <w:szCs w:val="28"/>
          <w:lang w:val="en-US" w:eastAsia="zh-CN"/>
        </w:rPr>
        <w:t>债权人会议各项表决结果等讯息，管理人将于会后七日内在全国企业破产重整案件信息网发布，债权人可进入该网站首页的搜索栏搜索相应的债务人名称，即可获取相应的表决结果及相关的公告信息，各债权人请自行查询、下载，管理人不再另行通知。</w:t>
      </w:r>
      <w:r>
        <w:rPr>
          <w:rFonts w:hint="eastAsia" w:ascii="仿宋" w:hAnsi="仿宋" w:eastAsia="仿宋" w:cs="仿宋"/>
          <w:color w:val="000000"/>
          <w:w w:val="64"/>
          <w:sz w:val="28"/>
          <w:szCs w:val="28"/>
          <w:lang w:val="en-US" w:eastAsia="zh-CN"/>
        </w:rPr>
        <w:t>（</w:t>
      </w:r>
      <w:r>
        <w:rPr>
          <w:rFonts w:hint="eastAsia" w:ascii="仿宋" w:hAnsi="仿宋" w:eastAsia="仿宋" w:cs="仿宋"/>
          <w:color w:val="000000"/>
          <w:w w:val="64"/>
          <w:sz w:val="32"/>
          <w:szCs w:val="32"/>
          <w:lang w:val="en-US" w:eastAsia="zh-CN"/>
        </w:rPr>
        <w:t>全国企业破产重整案件信息网网址为https://pccz.court.gov.cn/pcajxxw/index/xxwsy</w:t>
      </w:r>
      <w:r>
        <w:rPr>
          <w:rFonts w:hint="eastAsia" w:ascii="仿宋" w:hAnsi="仿宋" w:eastAsia="仿宋" w:cs="仿宋"/>
          <w:color w:val="000000"/>
          <w:w w:val="64"/>
          <w:sz w:val="28"/>
          <w:szCs w:val="28"/>
          <w:lang w:val="en-US" w:eastAsia="zh-CN"/>
        </w:rPr>
        <w:t>）</w:t>
      </w:r>
      <w:r>
        <w:rPr>
          <w:rFonts w:hint="eastAsia" w:ascii="仿宋" w:hAnsi="仿宋" w:eastAsia="仿宋" w:cs="仿宋"/>
          <w:color w:val="000000"/>
          <w:sz w:val="28"/>
          <w:szCs w:val="28"/>
          <w:lang w:val="en-US" w:eastAsia="zh-CN"/>
        </w:rPr>
        <w:t xml:space="preserve">      </w:t>
      </w:r>
    </w:p>
    <w:p w14:paraId="05593739">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color w:val="000000"/>
          <w:sz w:val="28"/>
          <w:szCs w:val="28"/>
        </w:rPr>
      </w:pPr>
      <w:r>
        <w:rPr>
          <w:rFonts w:hint="eastAsia" w:ascii="仿宋" w:hAnsi="仿宋" w:eastAsia="仿宋" w:cs="仿宋"/>
          <w:color w:val="000000"/>
          <w:sz w:val="28"/>
          <w:szCs w:val="28"/>
          <w:lang w:val="en-US" w:eastAsia="zh-CN"/>
        </w:rPr>
        <w:t xml:space="preserve">第十九条 </w:t>
      </w:r>
      <w:r>
        <w:rPr>
          <w:rFonts w:hint="eastAsia" w:ascii="仿宋" w:hAnsi="仿宋" w:eastAsia="仿宋" w:cs="仿宋"/>
          <w:color w:val="000000"/>
          <w:sz w:val="28"/>
          <w:szCs w:val="28"/>
        </w:rPr>
        <w:t>债权人会议的所有决议，对于全体债权人均有约束力。</w:t>
      </w:r>
    </w:p>
    <w:p w14:paraId="27A73FB4">
      <w:pPr>
        <w:keepNext w:val="0"/>
        <w:keepLines w:val="0"/>
        <w:pageBreakBefore w:val="0"/>
        <w:widowControl w:val="0"/>
        <w:kinsoku/>
        <w:wordWrap/>
        <w:overflowPunct/>
        <w:topLinePunct w:val="0"/>
        <w:autoSpaceDE/>
        <w:autoSpaceDN/>
        <w:bidi w:val="0"/>
        <w:adjustRightInd/>
        <w:snapToGrid/>
        <w:spacing w:before="240" w:after="240" w:line="400" w:lineRule="exact"/>
        <w:ind w:firstLine="560" w:firstLineChars="200"/>
        <w:textAlignment w:val="auto"/>
        <w:rPr>
          <w:rFonts w:ascii="黑体" w:hAnsi="黑体" w:eastAsia="黑体" w:cs="黑体"/>
          <w:bCs/>
          <w:color w:val="000000"/>
          <w:sz w:val="28"/>
          <w:szCs w:val="28"/>
        </w:rPr>
      </w:pPr>
      <w:r>
        <w:rPr>
          <w:rFonts w:hint="eastAsia" w:ascii="黑体" w:hAnsi="黑体" w:eastAsia="黑体" w:cs="黑体"/>
          <w:bCs/>
          <w:color w:val="000000"/>
          <w:sz w:val="28"/>
          <w:szCs w:val="28"/>
        </w:rPr>
        <w:t>三、附则</w:t>
      </w:r>
    </w:p>
    <w:p w14:paraId="15560029">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第十九条 本规则未尽事宜，依照《企业破产法》及最高人民法院的相关司法解释的规定执行。</w:t>
      </w:r>
    </w:p>
    <w:p w14:paraId="13DFE903">
      <w:pPr>
        <w:keepNext w:val="0"/>
        <w:keepLines w:val="0"/>
        <w:pageBreakBefore w:val="0"/>
        <w:widowControl w:val="0"/>
        <w:kinsoku/>
        <w:wordWrap/>
        <w:overflowPunct/>
        <w:topLinePunct w:val="0"/>
        <w:autoSpaceDE/>
        <w:autoSpaceDN/>
        <w:bidi w:val="0"/>
        <w:adjustRightInd/>
        <w:snapToGrid/>
        <w:spacing w:line="400" w:lineRule="exact"/>
        <w:ind w:firstLine="640"/>
        <w:textAlignment w:val="auto"/>
        <w:rPr>
          <w:rFonts w:ascii="仿宋" w:hAnsi="仿宋" w:eastAsia="仿宋" w:cs="仿宋"/>
          <w:sz w:val="28"/>
          <w:szCs w:val="28"/>
        </w:rPr>
      </w:pPr>
      <w:r>
        <w:rPr>
          <w:rFonts w:hint="eastAsia" w:ascii="仿宋" w:hAnsi="仿宋" w:eastAsia="仿宋" w:cs="仿宋"/>
          <w:color w:val="000000"/>
          <w:sz w:val="28"/>
          <w:szCs w:val="28"/>
        </w:rPr>
        <w:t>第二十条 本规则自债权人会议通过之日起生效。</w:t>
      </w:r>
    </w:p>
    <w:p w14:paraId="137122FB">
      <w:pPr>
        <w:keepNext w:val="0"/>
        <w:keepLines w:val="0"/>
        <w:pageBreakBefore w:val="0"/>
        <w:widowControl w:val="0"/>
        <w:kinsoku/>
        <w:wordWrap/>
        <w:overflowPunct/>
        <w:topLinePunct w:val="0"/>
        <w:autoSpaceDE/>
        <w:autoSpaceDN/>
        <w:bidi w:val="0"/>
        <w:adjustRightInd/>
        <w:snapToGrid/>
        <w:spacing w:line="400" w:lineRule="exact"/>
        <w:ind w:left="547" w:leftChars="228" w:firstLine="140" w:firstLineChars="5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第二十一条 本规则由管理人负责解释并修订。</w:t>
      </w:r>
    </w:p>
    <w:p w14:paraId="320E6E2A">
      <w:pPr>
        <w:keepNext w:val="0"/>
        <w:keepLines w:val="0"/>
        <w:pageBreakBefore w:val="0"/>
        <w:widowControl w:val="0"/>
        <w:kinsoku/>
        <w:wordWrap/>
        <w:overflowPunct/>
        <w:topLinePunct w:val="0"/>
        <w:autoSpaceDE/>
        <w:autoSpaceDN/>
        <w:bidi w:val="0"/>
        <w:adjustRightInd/>
        <w:snapToGrid/>
        <w:spacing w:line="400" w:lineRule="exact"/>
        <w:ind w:left="547" w:leftChars="228" w:firstLine="140" w:firstLineChars="50"/>
        <w:jc w:val="left"/>
        <w:textAlignment w:val="auto"/>
        <w:rPr>
          <w:rFonts w:hint="eastAsia" w:ascii="仿宋" w:hAnsi="仿宋" w:eastAsia="仿宋" w:cs="仿宋"/>
          <w:color w:val="000000"/>
          <w:sz w:val="28"/>
          <w:szCs w:val="28"/>
        </w:rPr>
      </w:pPr>
    </w:p>
    <w:p w14:paraId="67C89219">
      <w:pPr>
        <w:keepNext w:val="0"/>
        <w:keepLines w:val="0"/>
        <w:pageBreakBefore w:val="0"/>
        <w:widowControl w:val="0"/>
        <w:kinsoku/>
        <w:wordWrap/>
        <w:overflowPunct/>
        <w:topLinePunct w:val="0"/>
        <w:autoSpaceDE/>
        <w:autoSpaceDN/>
        <w:bidi w:val="0"/>
        <w:adjustRightInd/>
        <w:snapToGrid/>
        <w:spacing w:after="520" w:line="400" w:lineRule="exact"/>
        <w:ind w:firstLine="142"/>
        <w:jc w:val="left"/>
        <w:textAlignment w:val="auto"/>
        <w:rPr>
          <w:rFonts w:hint="eastAsia"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以上债权人会议议事规则已阅读并知晓同时签字确认无异议。</w:t>
      </w:r>
    </w:p>
    <w:p w14:paraId="51D9872C">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ascii="仿宋" w:hAnsi="仿宋" w:eastAsia="仿宋" w:cs="仿宋"/>
          <w:color w:val="000000"/>
          <w:sz w:val="28"/>
          <w:szCs w:val="28"/>
        </w:rPr>
        <w:t>确认签字（盖章）：</w:t>
      </w:r>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s="仿宋"/>
          <w:color w:val="000000"/>
          <w:sz w:val="28"/>
          <w:szCs w:val="28"/>
        </w:rPr>
        <w:t>年  月  日</w:t>
      </w:r>
    </w:p>
    <w:p w14:paraId="2645D920">
      <w:pPr>
        <w:spacing w:before="240" w:after="240" w:line="480" w:lineRule="exact"/>
        <w:jc w:val="center"/>
        <w:rPr>
          <w:rFonts w:hint="eastAsia" w:ascii="黑体" w:hAnsi="黑体" w:eastAsia="黑体"/>
          <w:sz w:val="30"/>
          <w:szCs w:val="30"/>
        </w:rPr>
      </w:pPr>
    </w:p>
    <w:p w14:paraId="46D09ACA">
      <w:pPr>
        <w:spacing w:before="240" w:after="240" w:line="480" w:lineRule="exact"/>
        <w:jc w:val="center"/>
        <w:rPr>
          <w:rFonts w:hint="eastAsia" w:ascii="黑体" w:hAnsi="黑体" w:eastAsia="黑体"/>
          <w:sz w:val="30"/>
          <w:szCs w:val="30"/>
        </w:rPr>
      </w:pPr>
    </w:p>
    <w:p w14:paraId="464CB9F1">
      <w:pPr>
        <w:spacing w:before="240" w:after="240" w:line="480" w:lineRule="exact"/>
        <w:jc w:val="center"/>
        <w:rPr>
          <w:rFonts w:hint="eastAsia" w:ascii="黑体" w:hAnsi="黑体" w:eastAsia="黑体"/>
          <w:sz w:val="30"/>
          <w:szCs w:val="30"/>
        </w:rPr>
      </w:pPr>
    </w:p>
    <w:p w14:paraId="0C6F855D">
      <w:pPr>
        <w:spacing w:before="240" w:after="240" w:line="480" w:lineRule="exact"/>
        <w:jc w:val="center"/>
        <w:rPr>
          <w:rFonts w:hint="eastAsia" w:ascii="黑体" w:hAnsi="黑体" w:eastAsia="黑体"/>
          <w:sz w:val="30"/>
          <w:szCs w:val="30"/>
        </w:rPr>
      </w:pPr>
    </w:p>
    <w:p w14:paraId="6BE0FB57">
      <w:pPr>
        <w:spacing w:before="240" w:after="240" w:line="480" w:lineRule="exact"/>
        <w:jc w:val="center"/>
        <w:rPr>
          <w:rFonts w:hint="eastAsia" w:ascii="黑体" w:hAnsi="黑体" w:eastAsia="黑体"/>
          <w:sz w:val="30"/>
          <w:szCs w:val="30"/>
        </w:rPr>
      </w:pPr>
    </w:p>
    <w:p w14:paraId="02B2BC06">
      <w:pPr>
        <w:spacing w:before="240" w:after="240" w:line="480" w:lineRule="exact"/>
        <w:jc w:val="center"/>
        <w:rPr>
          <w:rFonts w:hint="eastAsia" w:ascii="黑体" w:hAnsi="黑体" w:eastAsia="黑体"/>
          <w:sz w:val="30"/>
          <w:szCs w:val="30"/>
        </w:rPr>
      </w:pPr>
    </w:p>
    <w:p w14:paraId="4DD78218">
      <w:pPr>
        <w:spacing w:before="240" w:after="240" w:line="480" w:lineRule="exact"/>
        <w:jc w:val="center"/>
        <w:rPr>
          <w:rFonts w:hint="eastAsia" w:ascii="黑体" w:hAnsi="黑体" w:eastAsia="黑体"/>
          <w:sz w:val="30"/>
          <w:szCs w:val="30"/>
        </w:rPr>
      </w:pPr>
    </w:p>
    <w:p w14:paraId="6F21E91F">
      <w:pPr>
        <w:spacing w:before="240" w:after="240" w:line="480" w:lineRule="exact"/>
        <w:jc w:val="center"/>
        <w:rPr>
          <w:rFonts w:ascii="黑体" w:hAnsi="黑体" w:eastAsia="黑体"/>
          <w:sz w:val="30"/>
          <w:szCs w:val="30"/>
        </w:rPr>
      </w:pPr>
      <w:r>
        <w:rPr>
          <w:rFonts w:hint="eastAsia" w:ascii="黑体" w:hAnsi="黑体" w:eastAsia="黑体"/>
          <w:sz w:val="30"/>
          <w:szCs w:val="30"/>
        </w:rPr>
        <w:t>债权人会议表决规则</w:t>
      </w:r>
    </w:p>
    <w:p w14:paraId="5AED05E1">
      <w:pPr>
        <w:spacing w:before="240" w:after="240"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为确保破产程序顺利进行，管理人根据《中华人民共和国企业破产法》的规定，制定债权人会议表决规则如下：</w:t>
      </w:r>
    </w:p>
    <w:p w14:paraId="47E1595D">
      <w:pPr>
        <w:spacing w:before="240" w:after="240" w:line="460" w:lineRule="exact"/>
        <w:ind w:firstLine="560" w:firstLineChars="200"/>
        <w:rPr>
          <w:rFonts w:ascii="黑体" w:hAnsi="黑体" w:eastAsia="黑体" w:cs="黑体"/>
          <w:bCs/>
          <w:color w:val="000000"/>
          <w:sz w:val="28"/>
          <w:szCs w:val="28"/>
        </w:rPr>
      </w:pPr>
      <w:r>
        <w:rPr>
          <w:rFonts w:ascii="黑体" w:hAnsi="黑体" w:eastAsia="黑体" w:cs="黑体"/>
          <w:bCs/>
          <w:color w:val="000000"/>
          <w:sz w:val="28"/>
          <w:szCs w:val="28"/>
        </w:rPr>
        <w:t>1.</w:t>
      </w:r>
      <w:r>
        <w:rPr>
          <w:rFonts w:hint="eastAsia" w:ascii="黑体" w:hAnsi="黑体" w:eastAsia="黑体" w:cs="黑体"/>
          <w:bCs/>
          <w:color w:val="000000"/>
          <w:sz w:val="28"/>
          <w:szCs w:val="28"/>
        </w:rPr>
        <w:t>表决方式</w:t>
      </w:r>
    </w:p>
    <w:p w14:paraId="495CD0B2">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1.1</w:t>
      </w:r>
      <w:r>
        <w:rPr>
          <w:rFonts w:hint="eastAsia" w:ascii="仿宋" w:hAnsi="仿宋" w:eastAsia="仿宋" w:cs="仿宋"/>
          <w:color w:val="000000"/>
          <w:sz w:val="28"/>
          <w:szCs w:val="28"/>
        </w:rPr>
        <w:t>债权人会议现场表决：</w:t>
      </w:r>
    </w:p>
    <w:p w14:paraId="06B66AC9">
      <w:pPr>
        <w:spacing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各债权人或授权代表现场领取表决票，现场投票表决，现场统计表决结果。</w:t>
      </w:r>
    </w:p>
    <w:p w14:paraId="256C81A8">
      <w:pPr>
        <w:spacing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.1.1</w:t>
      </w:r>
      <w:r>
        <w:rPr>
          <w:rFonts w:hint="eastAsia" w:ascii="仿宋" w:hAnsi="仿宋" w:eastAsia="仿宋" w:cs="仿宋"/>
          <w:color w:val="000000"/>
          <w:sz w:val="28"/>
          <w:szCs w:val="28"/>
        </w:rPr>
        <w:t>有表决权的债权人，由其授权代表或本人进行表决，每一表决权人一票。</w:t>
      </w:r>
    </w:p>
    <w:p w14:paraId="4FFEF3CC">
      <w:pPr>
        <w:spacing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.1.2</w:t>
      </w:r>
      <w:r>
        <w:rPr>
          <w:rFonts w:hint="eastAsia" w:ascii="仿宋" w:hAnsi="仿宋" w:eastAsia="仿宋" w:cs="仿宋"/>
          <w:color w:val="000000"/>
          <w:sz w:val="28"/>
          <w:szCs w:val="28"/>
        </w:rPr>
        <w:t>对管理人制作的表决事项、方案等，由全体债权人共同投票表决，依照法律规定决定是否区分组别。</w:t>
      </w:r>
    </w:p>
    <w:p w14:paraId="62A12AFA">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1.2</w:t>
      </w:r>
      <w:r>
        <w:rPr>
          <w:rFonts w:hint="eastAsia" w:ascii="仿宋" w:hAnsi="仿宋" w:eastAsia="仿宋" w:cs="仿宋"/>
          <w:color w:val="000000"/>
          <w:sz w:val="28"/>
          <w:szCs w:val="28"/>
        </w:rPr>
        <w:t>非现场会议表决：管理人可将需债权人会议表决事项以通信或其他信息传递方式付诸表决，具体如下：</w:t>
      </w:r>
    </w:p>
    <w:p w14:paraId="60A6DBA7">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1.2.1</w:t>
      </w:r>
      <w:r>
        <w:rPr>
          <w:rFonts w:hint="eastAsia" w:ascii="仿宋" w:hAnsi="仿宋" w:eastAsia="仿宋" w:cs="仿宋"/>
          <w:color w:val="000000"/>
          <w:sz w:val="28"/>
          <w:szCs w:val="28"/>
        </w:rPr>
        <w:t>管理人可将记载有表决事项的表决票及有关材料以书面、传真短信、电子邮件、即时通信、通讯群组、全国企业破产重整案件信息网破产管理系统等非现场方式送达债权人或其代理人；</w:t>
      </w:r>
    </w:p>
    <w:p w14:paraId="0CEEB7A1">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1.2.2</w:t>
      </w:r>
      <w:r>
        <w:rPr>
          <w:rFonts w:hint="eastAsia" w:ascii="仿宋" w:hAnsi="仿宋" w:eastAsia="仿宋" w:cs="仿宋"/>
          <w:color w:val="000000"/>
          <w:sz w:val="28"/>
          <w:szCs w:val="28"/>
        </w:rPr>
        <w:t>管理人告知表决事项的送达地址及联系方式，以债权人申报债权时提交的送达地址确认书为准，债权人应如实填写联系人手机号码、电子邮箱、QQ、微信、钉钉等信息，如有变动应以书面方式通知管理人；</w:t>
      </w:r>
    </w:p>
    <w:p w14:paraId="20DB7872">
      <w:pPr>
        <w:spacing w:after="240" w:line="460" w:lineRule="exact"/>
        <w:ind w:firstLine="640"/>
        <w:rPr>
          <w:rFonts w:ascii="仿宋" w:hAnsi="仿宋" w:eastAsia="仿宋" w:cs="仿宋"/>
          <w:color w:val="000000"/>
          <w:sz w:val="28"/>
          <w:szCs w:val="28"/>
        </w:rPr>
      </w:pPr>
      <w:r>
        <w:rPr>
          <w:rFonts w:ascii="仿宋" w:hAnsi="仿宋" w:eastAsia="仿宋" w:cs="仿宋"/>
          <w:color w:val="000000"/>
          <w:sz w:val="28"/>
          <w:szCs w:val="28"/>
        </w:rPr>
        <w:t>1.</w:t>
      </w:r>
      <w:r>
        <w:rPr>
          <w:rFonts w:hint="eastAsia" w:ascii="仿宋" w:hAnsi="仿宋" w:eastAsia="仿宋" w:cs="仿宋"/>
          <w:color w:val="000000"/>
          <w:sz w:val="28"/>
          <w:szCs w:val="28"/>
        </w:rPr>
        <w:t>2</w:t>
      </w:r>
      <w:r>
        <w:rPr>
          <w:rFonts w:ascii="仿宋" w:hAnsi="仿宋" w:eastAsia="仿宋" w:cs="仿宋"/>
          <w:color w:val="000000"/>
          <w:sz w:val="28"/>
          <w:szCs w:val="28"/>
        </w:rPr>
        <w:t>.3</w:t>
      </w:r>
      <w:r>
        <w:rPr>
          <w:rFonts w:hint="eastAsia" w:ascii="仿宋" w:hAnsi="仿宋" w:eastAsia="仿宋" w:cs="仿宋"/>
          <w:color w:val="000000"/>
          <w:sz w:val="28"/>
          <w:szCs w:val="28"/>
        </w:rPr>
        <w:t>管理人通过其他送达方式告知表决事项的，债权人可以自行打印表决票，除向管理人现场提交以外，还可以在填写表决票后以邮寄、电子邮箱、通讯软件等送达形式在管理人规定的期限内提交。</w:t>
      </w:r>
    </w:p>
    <w:p w14:paraId="51A8FB7D">
      <w:pPr>
        <w:spacing w:before="240" w:after="240" w:line="460" w:lineRule="exact"/>
        <w:ind w:firstLine="560" w:firstLineChars="200"/>
        <w:rPr>
          <w:rFonts w:ascii="黑体" w:hAnsi="黑体" w:eastAsia="黑体" w:cs="黑体"/>
          <w:bCs/>
          <w:color w:val="000000"/>
          <w:sz w:val="28"/>
          <w:szCs w:val="28"/>
        </w:rPr>
      </w:pPr>
      <w:r>
        <w:rPr>
          <w:rFonts w:hint="eastAsia" w:ascii="黑体" w:hAnsi="黑体" w:eastAsia="黑体" w:cs="黑体"/>
          <w:bCs/>
          <w:color w:val="000000"/>
          <w:sz w:val="28"/>
          <w:szCs w:val="28"/>
        </w:rPr>
        <w:t>2</w:t>
      </w:r>
      <w:r>
        <w:rPr>
          <w:rFonts w:ascii="黑体" w:hAnsi="黑体" w:eastAsia="黑体" w:cs="黑体"/>
          <w:bCs/>
          <w:color w:val="000000"/>
          <w:sz w:val="28"/>
          <w:szCs w:val="28"/>
        </w:rPr>
        <w:t>.</w:t>
      </w:r>
      <w:r>
        <w:rPr>
          <w:rFonts w:hint="eastAsia" w:ascii="黑体" w:hAnsi="黑体" w:eastAsia="黑体" w:cs="黑体"/>
          <w:bCs/>
          <w:color w:val="000000"/>
          <w:sz w:val="28"/>
          <w:szCs w:val="28"/>
        </w:rPr>
        <w:t>表决意见</w:t>
      </w:r>
    </w:p>
    <w:p w14:paraId="09EB82A0">
      <w:pPr>
        <w:spacing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.1</w:t>
      </w:r>
      <w:r>
        <w:rPr>
          <w:rFonts w:hint="eastAsia" w:ascii="仿宋" w:hAnsi="仿宋" w:eastAsia="仿宋" w:cs="仿宋"/>
          <w:color w:val="000000"/>
          <w:sz w:val="28"/>
          <w:szCs w:val="28"/>
        </w:rPr>
        <w:t>表决票设置两种表决意见，“同意”或者“不同意”，若债权人在同一张表决票的表决意见栏中既在“同意”的选项中打</w:t>
      </w:r>
      <w:r>
        <w:rPr>
          <w:rFonts w:hint="eastAsia" w:ascii="仿宋" w:hAnsi="仿宋" w:eastAsia="仿宋" w:cs="仿宋"/>
          <w:color w:val="000000"/>
          <w:sz w:val="28"/>
          <w:szCs w:val="28"/>
          <w:lang w:val="en-US" w:eastAsia="zh-CN"/>
        </w:rPr>
        <w:t>勾</w:t>
      </w:r>
      <w:r>
        <w:rPr>
          <w:rFonts w:hint="eastAsia" w:ascii="仿宋" w:hAnsi="仿宋" w:eastAsia="仿宋" w:cs="仿宋"/>
          <w:color w:val="000000"/>
          <w:sz w:val="28"/>
          <w:szCs w:val="28"/>
        </w:rPr>
        <w:t>又在“不同意”的选项中打</w:t>
      </w:r>
      <w:r>
        <w:rPr>
          <w:rFonts w:hint="eastAsia" w:ascii="仿宋" w:hAnsi="仿宋" w:eastAsia="仿宋" w:cs="仿宋"/>
          <w:color w:val="000000"/>
          <w:sz w:val="28"/>
          <w:szCs w:val="28"/>
          <w:lang w:val="en-US" w:eastAsia="zh-CN"/>
        </w:rPr>
        <w:t>勾</w:t>
      </w:r>
      <w:r>
        <w:rPr>
          <w:rFonts w:hint="eastAsia" w:ascii="仿宋" w:hAnsi="仿宋" w:eastAsia="仿宋" w:cs="仿宋"/>
          <w:color w:val="000000"/>
          <w:sz w:val="28"/>
          <w:szCs w:val="28"/>
        </w:rPr>
        <w:t>，或在表决意见栏中填写其他内容、未填写任何内容的，或交回的表决票为空白者，或拒不交回表决票的，视为“</w:t>
      </w:r>
      <w:r>
        <w:rPr>
          <w:rFonts w:hint="eastAsia" w:ascii="仿宋" w:hAnsi="仿宋" w:eastAsia="仿宋" w:cs="仿宋"/>
          <w:color w:val="000000"/>
          <w:sz w:val="28"/>
          <w:szCs w:val="28"/>
          <w:lang w:val="en-US" w:eastAsia="zh-CN"/>
        </w:rPr>
        <w:t>弃票</w:t>
      </w:r>
      <w:r>
        <w:rPr>
          <w:rFonts w:hint="eastAsia" w:ascii="仿宋" w:hAnsi="仿宋" w:eastAsia="仿宋" w:cs="仿宋"/>
          <w:color w:val="000000"/>
          <w:sz w:val="28"/>
          <w:szCs w:val="28"/>
        </w:rPr>
        <w:t>”。</w:t>
      </w:r>
    </w:p>
    <w:p w14:paraId="4726D4EB">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2.2</w:t>
      </w:r>
      <w:r>
        <w:rPr>
          <w:rFonts w:hint="eastAsia" w:ascii="仿宋" w:hAnsi="仿宋" w:eastAsia="仿宋" w:cs="仿宋"/>
          <w:color w:val="000000"/>
          <w:sz w:val="28"/>
          <w:szCs w:val="28"/>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管理人未同意逾期提交的，</w:t>
      </w:r>
      <w:r>
        <w:rPr>
          <w:rFonts w:hint="eastAsia" w:ascii="仿宋" w:hAnsi="仿宋" w:eastAsia="仿宋" w:cs="仿宋"/>
          <w:b/>
          <w:bCs/>
          <w:color w:val="000000"/>
          <w:sz w:val="28"/>
          <w:szCs w:val="28"/>
        </w:rPr>
        <w:t>视为“同意”</w:t>
      </w:r>
      <w:r>
        <w:rPr>
          <w:rFonts w:hint="eastAsia" w:ascii="仿宋" w:hAnsi="仿宋" w:eastAsia="仿宋" w:cs="仿宋"/>
          <w:color w:val="000000"/>
          <w:sz w:val="28"/>
          <w:szCs w:val="28"/>
        </w:rPr>
        <w:t>。</w:t>
      </w:r>
    </w:p>
    <w:p w14:paraId="5EF46426">
      <w:pPr>
        <w:spacing w:before="240" w:after="240" w:line="460" w:lineRule="exact"/>
        <w:ind w:firstLine="560" w:firstLineChars="200"/>
        <w:rPr>
          <w:rFonts w:ascii="黑体" w:hAnsi="黑体" w:eastAsia="黑体" w:cs="黑体"/>
          <w:bCs/>
          <w:color w:val="000000"/>
          <w:sz w:val="28"/>
          <w:szCs w:val="28"/>
        </w:rPr>
      </w:pPr>
      <w:r>
        <w:rPr>
          <w:rFonts w:hint="eastAsia" w:ascii="黑体" w:hAnsi="黑体" w:eastAsia="黑体" w:cs="黑体"/>
          <w:bCs/>
          <w:color w:val="000000"/>
          <w:sz w:val="28"/>
          <w:szCs w:val="28"/>
        </w:rPr>
        <w:t>3</w:t>
      </w:r>
      <w:r>
        <w:rPr>
          <w:rFonts w:ascii="黑体" w:hAnsi="黑体" w:eastAsia="黑体" w:cs="黑体"/>
          <w:bCs/>
          <w:color w:val="000000"/>
          <w:sz w:val="28"/>
          <w:szCs w:val="28"/>
        </w:rPr>
        <w:t>.</w:t>
      </w:r>
      <w:r>
        <w:rPr>
          <w:rFonts w:hint="eastAsia" w:ascii="黑体" w:hAnsi="黑体" w:eastAsia="黑体" w:cs="黑体"/>
          <w:bCs/>
          <w:color w:val="000000"/>
          <w:sz w:val="28"/>
          <w:szCs w:val="28"/>
        </w:rPr>
        <w:t>表决票的发放、收集和统计</w:t>
      </w:r>
    </w:p>
    <w:p w14:paraId="7F0BC31B">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3.1</w:t>
      </w:r>
      <w:r>
        <w:rPr>
          <w:rFonts w:hint="eastAsia" w:ascii="仿宋" w:hAnsi="仿宋" w:eastAsia="仿宋" w:cs="仿宋"/>
          <w:color w:val="000000"/>
          <w:sz w:val="28"/>
          <w:szCs w:val="28"/>
        </w:rPr>
        <w:t>表决票由管理人工作人员在会议现场发放；</w:t>
      </w:r>
    </w:p>
    <w:p w14:paraId="4EB53593">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3.2</w:t>
      </w:r>
      <w:r>
        <w:rPr>
          <w:rFonts w:hint="eastAsia" w:ascii="仿宋" w:hAnsi="仿宋" w:eastAsia="仿宋" w:cs="仿宋"/>
          <w:color w:val="000000"/>
          <w:sz w:val="28"/>
          <w:szCs w:val="28"/>
        </w:rPr>
        <w:t>债权人填写完毕后，由管理人工作人员现场收集，现场邀请法院书记员、法官助理或债权人进行监票并统计表决结果；</w:t>
      </w:r>
    </w:p>
    <w:p w14:paraId="403965AC">
      <w:pPr>
        <w:spacing w:line="460" w:lineRule="exact"/>
        <w:ind w:firstLine="640"/>
        <w:rPr>
          <w:rFonts w:ascii="仿宋" w:hAnsi="仿宋" w:eastAsia="仿宋" w:cs="仿宋"/>
          <w:color w:val="000000"/>
          <w:sz w:val="28"/>
          <w:szCs w:val="28"/>
        </w:rPr>
      </w:pPr>
      <w:r>
        <w:rPr>
          <w:rFonts w:ascii="仿宋" w:hAnsi="仿宋" w:eastAsia="仿宋" w:cs="仿宋"/>
          <w:color w:val="000000"/>
          <w:sz w:val="28"/>
          <w:szCs w:val="28"/>
        </w:rPr>
        <w:t>3.3</w:t>
      </w:r>
      <w:r>
        <w:rPr>
          <w:rFonts w:hint="eastAsia" w:ascii="仿宋" w:hAnsi="仿宋" w:eastAsia="仿宋" w:cs="仿宋"/>
          <w:color w:val="000000"/>
          <w:sz w:val="28"/>
          <w:szCs w:val="28"/>
        </w:rPr>
        <w:t>非现场表决的，由管理人工作人员以通信或其他信息传递方式告知表决事项，邮寄的送达地址及联系方式以债权人申报债权时提交的地址确认书为准。</w:t>
      </w:r>
    </w:p>
    <w:p w14:paraId="07F6B49E">
      <w:pPr>
        <w:spacing w:before="240" w:after="240" w:line="460" w:lineRule="exact"/>
        <w:ind w:firstLine="560" w:firstLineChars="200"/>
        <w:rPr>
          <w:rFonts w:ascii="黑体" w:hAnsi="黑体" w:eastAsia="黑体" w:cs="黑体"/>
          <w:bCs/>
          <w:color w:val="000000"/>
          <w:sz w:val="28"/>
          <w:szCs w:val="28"/>
        </w:rPr>
      </w:pPr>
      <w:r>
        <w:rPr>
          <w:rFonts w:hint="eastAsia" w:ascii="黑体" w:hAnsi="黑体" w:eastAsia="黑体" w:cs="黑体"/>
          <w:bCs/>
          <w:color w:val="000000"/>
          <w:sz w:val="28"/>
          <w:szCs w:val="28"/>
        </w:rPr>
        <w:t>4</w:t>
      </w:r>
      <w:r>
        <w:rPr>
          <w:rFonts w:ascii="黑体" w:hAnsi="黑体" w:eastAsia="黑体" w:cs="黑体"/>
          <w:bCs/>
          <w:color w:val="000000"/>
          <w:sz w:val="28"/>
          <w:szCs w:val="28"/>
        </w:rPr>
        <w:t>.</w:t>
      </w:r>
      <w:r>
        <w:rPr>
          <w:rFonts w:hint="eastAsia" w:ascii="黑体" w:hAnsi="黑体" w:eastAsia="黑体" w:cs="黑体"/>
          <w:bCs/>
          <w:color w:val="000000"/>
          <w:sz w:val="28"/>
          <w:szCs w:val="28"/>
        </w:rPr>
        <w:t>表决结果的确定</w:t>
      </w:r>
    </w:p>
    <w:p w14:paraId="6326C158">
      <w:pPr>
        <w:spacing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出席会议的有表决权的债权人过半数同意提交债权人会议表决的具体方案，并且其所代表的债权额占无财产担保债权总额的二分之一以上的，即为本次债权人会议表决通过提交债权人会议表决的具体方案。《企业破产法》或司法解释另有规定的除外。</w:t>
      </w:r>
    </w:p>
    <w:p w14:paraId="660ADA0F">
      <w:pPr>
        <w:spacing w:before="240" w:after="240" w:line="460" w:lineRule="exact"/>
        <w:ind w:firstLine="560" w:firstLineChars="200"/>
        <w:rPr>
          <w:rFonts w:ascii="黑体" w:hAnsi="黑体" w:eastAsia="黑体" w:cs="黑体"/>
          <w:bCs/>
          <w:color w:val="000000"/>
          <w:sz w:val="28"/>
          <w:szCs w:val="28"/>
        </w:rPr>
      </w:pPr>
      <w:r>
        <w:rPr>
          <w:rFonts w:hint="eastAsia" w:ascii="黑体" w:hAnsi="黑体" w:eastAsia="黑体" w:cs="黑体"/>
          <w:bCs/>
          <w:color w:val="000000"/>
          <w:sz w:val="28"/>
          <w:szCs w:val="28"/>
        </w:rPr>
        <w:t>5</w:t>
      </w:r>
      <w:r>
        <w:rPr>
          <w:rFonts w:ascii="黑体" w:hAnsi="黑体" w:eastAsia="黑体" w:cs="黑体"/>
          <w:bCs/>
          <w:color w:val="000000"/>
          <w:sz w:val="28"/>
          <w:szCs w:val="28"/>
        </w:rPr>
        <w:t>.</w:t>
      </w:r>
      <w:r>
        <w:rPr>
          <w:rFonts w:hint="eastAsia" w:ascii="黑体" w:hAnsi="黑体" w:eastAsia="黑体" w:cs="黑体"/>
          <w:bCs/>
          <w:color w:val="000000"/>
          <w:sz w:val="28"/>
          <w:szCs w:val="28"/>
        </w:rPr>
        <w:t>表决结果的公布</w:t>
      </w:r>
    </w:p>
    <w:p w14:paraId="602B2AB2">
      <w:pPr>
        <w:spacing w:after="240" w:line="4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管理人在表决期限截止后，对表决结果进行统计确定。管理人将表决结果通过任一通讯方式向债权人公布，视为债权人会议正式作出决议。</w:t>
      </w:r>
    </w:p>
    <w:p w14:paraId="62646AB9">
      <w:pPr>
        <w:spacing w:line="460" w:lineRule="exact"/>
        <w:ind w:firstLine="640"/>
        <w:rPr>
          <w:rFonts w:hint="eastAsia"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以上债权人会议</w:t>
      </w:r>
      <w:r>
        <w:rPr>
          <w:rFonts w:hint="eastAsia" w:ascii="仿宋" w:hAnsi="仿宋" w:eastAsia="仿宋" w:cs="仿宋"/>
          <w:b/>
          <w:bCs/>
          <w:color w:val="000000"/>
          <w:sz w:val="28"/>
          <w:szCs w:val="28"/>
          <w:u w:val="single"/>
          <w:lang w:val="en-US" w:eastAsia="zh-CN"/>
        </w:rPr>
        <w:t>表决</w:t>
      </w:r>
      <w:r>
        <w:rPr>
          <w:rFonts w:hint="eastAsia" w:ascii="仿宋" w:hAnsi="仿宋" w:eastAsia="仿宋" w:cs="仿宋"/>
          <w:b/>
          <w:bCs/>
          <w:color w:val="000000"/>
          <w:sz w:val="28"/>
          <w:szCs w:val="28"/>
          <w:u w:val="single"/>
        </w:rPr>
        <w:t>规则已阅读并知晓同时签字确认无异议。</w:t>
      </w:r>
    </w:p>
    <w:p w14:paraId="4DDDD54E">
      <w:pPr>
        <w:spacing w:line="460" w:lineRule="exact"/>
        <w:ind w:firstLine="640"/>
        <w:rPr>
          <w:rFonts w:hint="eastAsia" w:ascii="仿宋" w:hAnsi="仿宋" w:eastAsia="仿宋" w:cs="仿宋"/>
          <w:b/>
          <w:bCs/>
          <w:color w:val="000000"/>
          <w:sz w:val="28"/>
          <w:szCs w:val="28"/>
          <w:u w:val="single"/>
        </w:rPr>
      </w:pPr>
    </w:p>
    <w:p w14:paraId="5CB08367">
      <w:pPr>
        <w:spacing w:after="240" w:line="480" w:lineRule="exact"/>
        <w:ind w:right="84"/>
        <w:jc w:val="center"/>
      </w:pPr>
      <w:r>
        <w:rPr>
          <w:rFonts w:hint="eastAsia" w:ascii="仿宋" w:hAnsi="仿宋" w:eastAsia="仿宋" w:cs="仿宋"/>
          <w:color w:val="000000"/>
          <w:sz w:val="28"/>
          <w:szCs w:val="28"/>
        </w:rPr>
        <w:t>确认签字（盖章）：</w:t>
      </w:r>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s="仿宋"/>
          <w:color w:val="000000"/>
          <w:sz w:val="28"/>
          <w:szCs w:val="28"/>
        </w:rPr>
        <w:t>年  月  日</w:t>
      </w:r>
    </w:p>
    <w:p w14:paraId="1E34CB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xNWQzNmUxNjg2MTFhNWRlNzJlNmFlYTlhNDQ3Y2EifQ=="/>
  </w:docVars>
  <w:rsids>
    <w:rsidRoot w:val="7EE226EC"/>
    <w:rsid w:val="160D7AA0"/>
    <w:rsid w:val="2430751B"/>
    <w:rsid w:val="2F703CBB"/>
    <w:rsid w:val="3B440B35"/>
    <w:rsid w:val="42FD3F43"/>
    <w:rsid w:val="7EE22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2934</Words>
  <Characters>3018</Characters>
  <Lines>0</Lines>
  <Paragraphs>0</Paragraphs>
  <TotalTime>3</TotalTime>
  <ScaleCrop>false</ScaleCrop>
  <LinksUpToDate>false</LinksUpToDate>
  <CharactersWithSpaces>3106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2024-07-10T10:03:00Z</dcterms:created>
  <dc:creator>WPS_1720052853</dc:creator>
  <cp:lastModifiedBy>张典城</cp:lastModifiedBy>
  <dcterms:modified xsi:type="dcterms:W3CDTF">2024-11-07T04:00:50Z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1671FB2153EF43E8A8D86D36A3D6E2BF_11</vt:lpwstr>
  </property>
</Properties>
</file>