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309F1">
      <w:pPr>
        <w:spacing w:line="620" w:lineRule="exact"/>
        <w:jc w:val="center"/>
        <w:rPr>
          <w:rFonts w:hint="eastAsia" w:ascii="黑体" w:hAnsi="黑体" w:eastAsia="黑体"/>
          <w:sz w:val="44"/>
          <w:szCs w:val="44"/>
          <w:lang w:val="en-US" w:eastAsia="zh-CN"/>
        </w:rPr>
      </w:pPr>
      <w:r>
        <w:rPr>
          <w:rFonts w:hint="eastAsia" w:ascii="黑体" w:hAnsi="黑体" w:eastAsia="黑体"/>
          <w:sz w:val="44"/>
          <w:szCs w:val="44"/>
        </w:rPr>
        <w:t>关于</w:t>
      </w:r>
      <w:r>
        <w:rPr>
          <w:rFonts w:hint="eastAsia" w:ascii="黑体" w:hAnsi="黑体" w:eastAsia="黑体"/>
          <w:sz w:val="44"/>
          <w:szCs w:val="44"/>
          <w:lang w:val="en-US" w:eastAsia="zh-CN"/>
        </w:rPr>
        <w:t>拒不配合管理人开展调查工作</w:t>
      </w:r>
      <w:r>
        <w:rPr>
          <w:rFonts w:hint="eastAsia" w:ascii="黑体" w:hAnsi="黑体" w:eastAsia="黑体"/>
          <w:sz w:val="44"/>
          <w:szCs w:val="44"/>
        </w:rPr>
        <w:t>的</w:t>
      </w:r>
      <w:r>
        <w:rPr>
          <w:rFonts w:hint="eastAsia" w:ascii="黑体" w:hAnsi="黑体" w:eastAsia="黑体"/>
          <w:sz w:val="44"/>
          <w:szCs w:val="44"/>
          <w:lang w:val="en-US" w:eastAsia="zh-CN"/>
        </w:rPr>
        <w:t>通知</w:t>
      </w:r>
    </w:p>
    <w:p w14:paraId="4C8943E8">
      <w:pPr>
        <w:spacing w:line="620" w:lineRule="exact"/>
        <w:jc w:val="center"/>
        <w:rPr>
          <w:rFonts w:ascii="黑体" w:hAnsi="黑体" w:eastAsia="黑体"/>
          <w:sz w:val="44"/>
          <w:szCs w:val="44"/>
        </w:rPr>
      </w:pPr>
      <w:r>
        <w:rPr>
          <w:rFonts w:hint="eastAsia" w:ascii="黑体" w:hAnsi="黑体" w:eastAsia="黑体"/>
          <w:sz w:val="44"/>
          <w:szCs w:val="44"/>
        </w:rPr>
        <w:t>公  告</w:t>
      </w:r>
    </w:p>
    <w:p w14:paraId="7267335F">
      <w:pPr>
        <w:spacing w:before="156" w:beforeLines="50" w:after="156" w:afterLines="50" w:line="480" w:lineRule="exact"/>
        <w:ind w:firstLine="529" w:firstLineChars="189"/>
        <w:contextualSpacing/>
        <w:jc w:val="right"/>
        <w:rPr>
          <w:rFonts w:ascii="楷体" w:hAnsi="楷体" w:eastAsia="楷体"/>
          <w:sz w:val="28"/>
          <w:szCs w:val="28"/>
        </w:rPr>
      </w:pPr>
    </w:p>
    <w:p w14:paraId="119690B3">
      <w:pPr>
        <w:spacing w:before="156" w:beforeLines="50" w:after="156" w:afterLines="50" w:line="480" w:lineRule="exact"/>
        <w:contextualSpacing/>
        <w:jc w:val="center"/>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3</w:t>
      </w:r>
      <w:r>
        <w:rPr>
          <w:rFonts w:hint="eastAsia" w:ascii="仿宋" w:hAnsi="仿宋" w:eastAsia="仿宋"/>
          <w:sz w:val="30"/>
          <w:szCs w:val="30"/>
        </w:rPr>
        <w:t>号）</w:t>
      </w:r>
    </w:p>
    <w:p w14:paraId="22DD4823">
      <w:pPr>
        <w:spacing w:before="156" w:beforeLines="50" w:after="156" w:afterLines="50" w:line="480" w:lineRule="exact"/>
        <w:ind w:firstLine="567" w:firstLineChars="189"/>
        <w:contextualSpacing/>
        <w:jc w:val="right"/>
        <w:rPr>
          <w:rFonts w:ascii="仿宋" w:hAnsi="仿宋" w:eastAsia="仿宋"/>
          <w:sz w:val="30"/>
          <w:szCs w:val="30"/>
        </w:rPr>
      </w:pPr>
    </w:p>
    <w:p w14:paraId="7F834FD6">
      <w:pPr>
        <w:spacing w:line="460" w:lineRule="exact"/>
        <w:contextualSpacing/>
        <w:rPr>
          <w:rFonts w:hint="default" w:ascii="仿宋" w:hAnsi="仿宋" w:eastAsia="仿宋"/>
          <w:sz w:val="30"/>
          <w:szCs w:val="30"/>
          <w:lang w:val="en-US" w:eastAsia="zh-CN"/>
        </w:rPr>
      </w:pPr>
      <w:r>
        <w:rPr>
          <w:rFonts w:hint="eastAsia" w:ascii="仿宋" w:hAnsi="仿宋" w:eastAsia="仿宋"/>
          <w:sz w:val="30"/>
          <w:szCs w:val="30"/>
          <w:lang w:val="en-US" w:eastAsia="zh-CN"/>
        </w:rPr>
        <w:t>成都市德力威钢结构有限公司法定代表人、股东兼执行董事曹德君和股东兼监事陈蓉：</w:t>
      </w:r>
    </w:p>
    <w:p w14:paraId="19EA52E1">
      <w:pPr>
        <w:spacing w:line="460" w:lineRule="exact"/>
        <w:ind w:firstLine="567" w:firstLineChars="189"/>
        <w:contextualSpacing/>
        <w:rPr>
          <w:rFonts w:hint="eastAsia" w:ascii="仿宋" w:hAnsi="仿宋" w:eastAsia="仿宋"/>
          <w:sz w:val="30"/>
          <w:szCs w:val="30"/>
        </w:rPr>
      </w:pPr>
      <w:r>
        <w:rPr>
          <w:rFonts w:hint="eastAsia" w:ascii="仿宋" w:hAnsi="仿宋" w:eastAsia="仿宋"/>
          <w:sz w:val="30"/>
          <w:szCs w:val="30"/>
          <w:lang w:val="en-US" w:eastAsia="zh-CN"/>
        </w:rPr>
        <w:t>成都市金牛区人民</w:t>
      </w:r>
      <w:r>
        <w:rPr>
          <w:rFonts w:hint="eastAsia" w:ascii="仿宋" w:hAnsi="仿宋" w:eastAsia="仿宋"/>
          <w:sz w:val="30"/>
          <w:szCs w:val="30"/>
        </w:rPr>
        <w:t>法院于202</w:t>
      </w:r>
      <w:r>
        <w:rPr>
          <w:rFonts w:hint="eastAsia" w:ascii="仿宋" w:hAnsi="仿宋" w:eastAsia="仿宋"/>
          <w:sz w:val="30"/>
          <w:szCs w:val="30"/>
          <w:lang w:val="en-US" w:eastAsia="zh-CN"/>
        </w:rPr>
        <w:t>4</w:t>
      </w:r>
      <w:r>
        <w:rPr>
          <w:rFonts w:hint="eastAsia" w:ascii="仿宋" w:hAnsi="仿宋" w:eastAsia="仿宋"/>
          <w:sz w:val="30"/>
          <w:szCs w:val="30"/>
        </w:rPr>
        <w:t>年</w:t>
      </w:r>
      <w:r>
        <w:rPr>
          <w:rFonts w:hint="eastAsia" w:ascii="仿宋" w:hAnsi="仿宋" w:eastAsia="仿宋"/>
          <w:sz w:val="30"/>
          <w:szCs w:val="30"/>
          <w:lang w:val="en-US" w:eastAsia="zh-CN"/>
        </w:rPr>
        <w:t>8</w:t>
      </w:r>
      <w:r>
        <w:rPr>
          <w:rFonts w:hint="eastAsia" w:ascii="仿宋" w:hAnsi="仿宋" w:eastAsia="仿宋"/>
          <w:sz w:val="30"/>
          <w:szCs w:val="30"/>
        </w:rPr>
        <w:t>月</w:t>
      </w:r>
      <w:r>
        <w:rPr>
          <w:rFonts w:hint="eastAsia" w:ascii="仿宋" w:hAnsi="仿宋" w:eastAsia="仿宋"/>
          <w:sz w:val="30"/>
          <w:szCs w:val="30"/>
          <w:lang w:val="en-US" w:eastAsia="zh-CN"/>
        </w:rPr>
        <w:t>6</w:t>
      </w:r>
      <w:r>
        <w:rPr>
          <w:rFonts w:hint="eastAsia" w:ascii="仿宋" w:hAnsi="仿宋" w:eastAsia="仿宋"/>
          <w:sz w:val="30"/>
          <w:szCs w:val="30"/>
        </w:rPr>
        <w:t>日作出（202</w:t>
      </w:r>
      <w:r>
        <w:rPr>
          <w:rFonts w:hint="eastAsia" w:ascii="仿宋" w:hAnsi="仿宋" w:eastAsia="仿宋"/>
          <w:sz w:val="30"/>
          <w:szCs w:val="30"/>
          <w:lang w:val="en-US" w:eastAsia="zh-CN"/>
        </w:rPr>
        <w:t>4</w:t>
      </w:r>
      <w:r>
        <w:rPr>
          <w:rFonts w:hint="eastAsia" w:ascii="仿宋" w:hAnsi="仿宋" w:eastAsia="仿宋"/>
          <w:sz w:val="30"/>
          <w:szCs w:val="30"/>
        </w:rPr>
        <w:t>）</w:t>
      </w:r>
      <w:r>
        <w:rPr>
          <w:rFonts w:hint="eastAsia" w:ascii="仿宋" w:hAnsi="仿宋" w:eastAsia="仿宋"/>
          <w:sz w:val="30"/>
          <w:szCs w:val="30"/>
          <w:lang w:val="en-US" w:eastAsia="zh-CN"/>
        </w:rPr>
        <w:t>川</w:t>
      </w:r>
      <w:r>
        <w:rPr>
          <w:rFonts w:hint="eastAsia" w:ascii="仿宋" w:hAnsi="仿宋" w:eastAsia="仿宋"/>
          <w:sz w:val="30"/>
          <w:szCs w:val="30"/>
        </w:rPr>
        <w:t>01</w:t>
      </w:r>
      <w:r>
        <w:rPr>
          <w:rFonts w:hint="eastAsia" w:ascii="仿宋" w:hAnsi="仿宋" w:eastAsia="仿宋"/>
          <w:sz w:val="30"/>
          <w:szCs w:val="30"/>
          <w:lang w:val="en-US" w:eastAsia="zh-CN"/>
        </w:rPr>
        <w:t>06</w:t>
      </w:r>
      <w:r>
        <w:rPr>
          <w:rFonts w:hint="eastAsia" w:ascii="仿宋" w:hAnsi="仿宋" w:eastAsia="仿宋"/>
          <w:sz w:val="30"/>
          <w:szCs w:val="30"/>
        </w:rPr>
        <w:t>破申</w:t>
      </w:r>
      <w:r>
        <w:rPr>
          <w:rFonts w:hint="eastAsia" w:ascii="仿宋" w:hAnsi="仿宋" w:eastAsia="仿宋"/>
          <w:sz w:val="30"/>
          <w:szCs w:val="30"/>
          <w:lang w:val="en-US" w:eastAsia="zh-CN"/>
        </w:rPr>
        <w:t>4</w:t>
      </w:r>
      <w:r>
        <w:rPr>
          <w:rFonts w:hint="eastAsia" w:ascii="仿宋" w:hAnsi="仿宋" w:eastAsia="仿宋"/>
          <w:sz w:val="30"/>
          <w:szCs w:val="30"/>
        </w:rPr>
        <w:t>号民事裁定书，裁定受理</w:t>
      </w:r>
      <w:r>
        <w:rPr>
          <w:rFonts w:hint="eastAsia" w:ascii="仿宋" w:hAnsi="仿宋" w:eastAsia="仿宋"/>
          <w:sz w:val="30"/>
          <w:szCs w:val="30"/>
          <w:lang w:eastAsia="zh-CN"/>
        </w:rPr>
        <w:t>成都市德力威钢结构有限公司</w:t>
      </w:r>
      <w:r>
        <w:rPr>
          <w:rFonts w:hint="eastAsia" w:ascii="仿宋" w:hAnsi="仿宋" w:eastAsia="仿宋"/>
          <w:sz w:val="30"/>
          <w:szCs w:val="30"/>
        </w:rPr>
        <w:t>破产清算，并于202</w:t>
      </w:r>
      <w:r>
        <w:rPr>
          <w:rFonts w:hint="eastAsia" w:ascii="仿宋" w:hAnsi="仿宋" w:eastAsia="仿宋"/>
          <w:sz w:val="30"/>
          <w:szCs w:val="30"/>
          <w:lang w:val="en-US" w:eastAsia="zh-CN"/>
        </w:rPr>
        <w:t>4</w:t>
      </w:r>
      <w:r>
        <w:rPr>
          <w:rFonts w:hint="eastAsia" w:ascii="仿宋" w:hAnsi="仿宋" w:eastAsia="仿宋"/>
          <w:sz w:val="30"/>
          <w:szCs w:val="30"/>
        </w:rPr>
        <w:t>年</w:t>
      </w:r>
      <w:r>
        <w:rPr>
          <w:rFonts w:hint="eastAsia" w:ascii="仿宋" w:hAnsi="仿宋" w:eastAsia="仿宋"/>
          <w:sz w:val="30"/>
          <w:szCs w:val="30"/>
          <w:lang w:val="en-US" w:eastAsia="zh-CN"/>
        </w:rPr>
        <w:t>10</w:t>
      </w:r>
      <w:r>
        <w:rPr>
          <w:rFonts w:hint="eastAsia" w:ascii="仿宋" w:hAnsi="仿宋" w:eastAsia="仿宋"/>
          <w:sz w:val="30"/>
          <w:szCs w:val="30"/>
        </w:rPr>
        <w:t>月</w:t>
      </w:r>
      <w:r>
        <w:rPr>
          <w:rFonts w:hint="eastAsia" w:ascii="仿宋" w:hAnsi="仿宋" w:eastAsia="仿宋"/>
          <w:sz w:val="30"/>
          <w:szCs w:val="30"/>
          <w:lang w:val="en-US" w:eastAsia="zh-CN"/>
        </w:rPr>
        <w:t>22</w:t>
      </w:r>
      <w:r>
        <w:rPr>
          <w:rFonts w:hint="eastAsia" w:ascii="仿宋" w:hAnsi="仿宋" w:eastAsia="仿宋"/>
          <w:sz w:val="30"/>
          <w:szCs w:val="30"/>
        </w:rPr>
        <w:t>日作出（202</w:t>
      </w:r>
      <w:r>
        <w:rPr>
          <w:rFonts w:hint="eastAsia" w:ascii="仿宋" w:hAnsi="仿宋" w:eastAsia="仿宋"/>
          <w:sz w:val="30"/>
          <w:szCs w:val="30"/>
          <w:lang w:val="en-US" w:eastAsia="zh-CN"/>
        </w:rPr>
        <w:t>4</w:t>
      </w:r>
      <w:r>
        <w:rPr>
          <w:rFonts w:hint="eastAsia" w:ascii="仿宋" w:hAnsi="仿宋" w:eastAsia="仿宋"/>
          <w:sz w:val="30"/>
          <w:szCs w:val="30"/>
        </w:rPr>
        <w:t>）</w:t>
      </w:r>
      <w:r>
        <w:rPr>
          <w:rFonts w:hint="eastAsia" w:ascii="仿宋" w:hAnsi="仿宋" w:eastAsia="仿宋"/>
          <w:sz w:val="30"/>
          <w:szCs w:val="30"/>
          <w:lang w:val="en-US" w:eastAsia="zh-CN"/>
        </w:rPr>
        <w:t>川</w:t>
      </w:r>
      <w:r>
        <w:rPr>
          <w:rFonts w:hint="eastAsia" w:ascii="仿宋" w:hAnsi="仿宋" w:eastAsia="仿宋"/>
          <w:sz w:val="30"/>
          <w:szCs w:val="30"/>
        </w:rPr>
        <w:t>01</w:t>
      </w:r>
      <w:r>
        <w:rPr>
          <w:rFonts w:hint="eastAsia" w:ascii="仿宋" w:hAnsi="仿宋" w:eastAsia="仿宋"/>
          <w:sz w:val="30"/>
          <w:szCs w:val="30"/>
          <w:lang w:val="en-US" w:eastAsia="zh-CN"/>
        </w:rPr>
        <w:t>06</w:t>
      </w:r>
      <w:r>
        <w:rPr>
          <w:rFonts w:hint="eastAsia" w:ascii="仿宋" w:hAnsi="仿宋" w:eastAsia="仿宋"/>
          <w:sz w:val="30"/>
          <w:szCs w:val="30"/>
        </w:rPr>
        <w:t>破</w:t>
      </w:r>
      <w:r>
        <w:rPr>
          <w:rFonts w:hint="eastAsia" w:ascii="仿宋" w:hAnsi="仿宋" w:eastAsia="仿宋"/>
          <w:sz w:val="30"/>
          <w:szCs w:val="30"/>
          <w:lang w:val="en-US" w:eastAsia="zh-CN"/>
        </w:rPr>
        <w:t>10</w:t>
      </w:r>
      <w:r>
        <w:rPr>
          <w:rFonts w:hint="eastAsia" w:ascii="仿宋" w:hAnsi="仿宋" w:eastAsia="仿宋"/>
          <w:sz w:val="30"/>
          <w:szCs w:val="30"/>
        </w:rPr>
        <w:t>号决定书，指定成都竞择破产清算事务所有限公司担任管理人</w:t>
      </w:r>
      <w:r>
        <w:rPr>
          <w:rFonts w:hint="eastAsia" w:ascii="仿宋" w:hAnsi="仿宋" w:eastAsia="仿宋"/>
          <w:sz w:val="30"/>
          <w:szCs w:val="30"/>
          <w:lang w:eastAsia="zh-CN"/>
        </w:rPr>
        <w:t>，</w:t>
      </w:r>
      <w:r>
        <w:rPr>
          <w:rFonts w:hint="eastAsia" w:ascii="仿宋" w:hAnsi="仿宋" w:eastAsia="仿宋"/>
          <w:sz w:val="30"/>
          <w:szCs w:val="30"/>
          <w:lang w:val="en-US" w:eastAsia="zh-CN"/>
        </w:rPr>
        <w:t>管理人</w:t>
      </w:r>
      <w:r>
        <w:rPr>
          <w:rFonts w:ascii="仿宋" w:hAnsi="仿宋" w:eastAsia="仿宋"/>
          <w:sz w:val="30"/>
          <w:szCs w:val="30"/>
        </w:rPr>
        <w:t>负责人</w:t>
      </w:r>
      <w:r>
        <w:rPr>
          <w:rFonts w:hint="eastAsia" w:ascii="仿宋" w:hAnsi="仿宋" w:eastAsia="仿宋"/>
          <w:sz w:val="30"/>
          <w:szCs w:val="30"/>
          <w:lang w:val="en-US" w:eastAsia="zh-Hans"/>
        </w:rPr>
        <w:t>江珊</w:t>
      </w:r>
      <w:r>
        <w:rPr>
          <w:rFonts w:hint="eastAsia" w:ascii="仿宋" w:hAnsi="仿宋" w:eastAsia="仿宋"/>
          <w:sz w:val="30"/>
          <w:szCs w:val="30"/>
        </w:rPr>
        <w:t>。</w:t>
      </w:r>
    </w:p>
    <w:p w14:paraId="1B4DF673">
      <w:pPr>
        <w:spacing w:line="460" w:lineRule="exact"/>
        <w:ind w:firstLine="567" w:firstLineChars="189"/>
        <w:contextualSpacing/>
        <w:rPr>
          <w:rFonts w:hint="default" w:ascii="仿宋" w:hAnsi="仿宋" w:eastAsia="仿宋"/>
          <w:sz w:val="30"/>
          <w:szCs w:val="30"/>
          <w:lang w:val="en-US" w:eastAsia="zh-CN"/>
        </w:rPr>
      </w:pPr>
      <w:r>
        <w:rPr>
          <w:rFonts w:hint="eastAsia" w:ascii="仿宋" w:hAnsi="仿宋" w:eastAsia="仿宋"/>
          <w:sz w:val="30"/>
          <w:szCs w:val="30"/>
          <w:lang w:val="en-US" w:eastAsia="zh-CN"/>
        </w:rPr>
        <w:t>管理人接受指定后依法开展工作，依据《中华人民共和国企业破产法》之规定，勤勉、忠实地履行管理人职责。经管理人与债务人法定代表人曹德君尝试沟通后，曹德君拒接管理人电话，经管理人后续多次拨打曹德君的联系方式与其沟通时，该联系方式一直处于无人接听的状态。同时，管理人去往债务人住所地，已查无此司。</w:t>
      </w:r>
    </w:p>
    <w:p w14:paraId="208AAE4C">
      <w:pPr>
        <w:spacing w:line="460" w:lineRule="exact"/>
        <w:ind w:firstLine="567" w:firstLineChars="189"/>
        <w:contextualSpacing/>
        <w:rPr>
          <w:rFonts w:hint="default" w:ascii="仿宋" w:hAnsi="仿宋" w:eastAsia="仿宋"/>
          <w:sz w:val="30"/>
          <w:szCs w:val="30"/>
          <w:lang w:val="en-US" w:eastAsia="zh-CN"/>
        </w:rPr>
      </w:pPr>
      <w:r>
        <w:rPr>
          <w:rFonts w:hint="default" w:ascii="仿宋" w:hAnsi="仿宋" w:eastAsia="仿宋"/>
          <w:sz w:val="30"/>
          <w:szCs w:val="30"/>
          <w:lang w:val="en-US" w:eastAsia="zh-CN"/>
        </w:rPr>
        <w:t>目前，管理人</w:t>
      </w:r>
      <w:r>
        <w:rPr>
          <w:rFonts w:hint="eastAsia" w:ascii="仿宋" w:hAnsi="仿宋" w:eastAsia="仿宋"/>
          <w:sz w:val="30"/>
          <w:szCs w:val="30"/>
          <w:lang w:val="en-US" w:eastAsia="zh-CN"/>
        </w:rPr>
        <w:t>未接管到德力威公司的任何印章、账册和文书等资料，</w:t>
      </w:r>
      <w:r>
        <w:rPr>
          <w:rFonts w:hint="default" w:ascii="仿宋" w:hAnsi="仿宋" w:eastAsia="仿宋"/>
          <w:sz w:val="30"/>
          <w:szCs w:val="30"/>
          <w:lang w:val="en-US" w:eastAsia="zh-CN"/>
        </w:rPr>
        <w:t>无法理清债务人的债权债务</w:t>
      </w:r>
      <w:r>
        <w:rPr>
          <w:rFonts w:hint="eastAsia" w:ascii="仿宋" w:hAnsi="仿宋" w:eastAsia="仿宋"/>
          <w:sz w:val="30"/>
          <w:szCs w:val="30"/>
          <w:lang w:val="en-US" w:eastAsia="zh-CN"/>
        </w:rPr>
        <w:t>关系</w:t>
      </w:r>
      <w:r>
        <w:rPr>
          <w:rFonts w:hint="default" w:ascii="仿宋" w:hAnsi="仿宋" w:eastAsia="仿宋"/>
          <w:sz w:val="30"/>
          <w:szCs w:val="30"/>
          <w:lang w:val="en-US" w:eastAsia="zh-CN"/>
        </w:rPr>
        <w:t>，根据</w:t>
      </w:r>
      <w:r>
        <w:rPr>
          <w:rFonts w:hint="eastAsia" w:ascii="仿宋" w:hAnsi="仿宋" w:eastAsia="仿宋"/>
          <w:sz w:val="30"/>
          <w:szCs w:val="30"/>
          <w:lang w:val="en-US" w:eastAsia="zh-CN"/>
        </w:rPr>
        <w:t>《企业破产法》第一百二十七条第二款的规定，“债务人违反本法规定，拒不向管理人移交财产、印章和账簿、文书等资料，或伪造、销毁有关财产证据材料而使财产状况不明的，人民法院可以对直接责任人员依法处以罚款”，</w:t>
      </w:r>
      <w:r>
        <w:rPr>
          <w:rFonts w:hint="default" w:ascii="仿宋" w:hAnsi="仿宋" w:eastAsia="仿宋"/>
          <w:sz w:val="30"/>
          <w:szCs w:val="30"/>
          <w:lang w:val="en-US" w:eastAsia="zh-CN"/>
        </w:rPr>
        <w:t>管理人有权要求债务人的法定代表人、财务管理人员和其他经营人员配合管理人调查工作。基于此，作为债务人的股东、法定代表人、董事、监事等高管应当承担配合管理人开展调查工作</w:t>
      </w:r>
      <w:r>
        <w:rPr>
          <w:rFonts w:hint="eastAsia" w:ascii="仿宋" w:hAnsi="仿宋" w:eastAsia="仿宋"/>
          <w:sz w:val="30"/>
          <w:szCs w:val="30"/>
          <w:lang w:val="en-US" w:eastAsia="zh-CN"/>
        </w:rPr>
        <w:t>和接管工作</w:t>
      </w:r>
      <w:r>
        <w:rPr>
          <w:rFonts w:hint="default" w:ascii="仿宋" w:hAnsi="仿宋" w:eastAsia="仿宋"/>
          <w:sz w:val="30"/>
          <w:szCs w:val="30"/>
          <w:lang w:val="en-US" w:eastAsia="zh-CN"/>
        </w:rPr>
        <w:t>的义务</w:t>
      </w:r>
      <w:r>
        <w:rPr>
          <w:rFonts w:hint="eastAsia" w:ascii="仿宋" w:hAnsi="仿宋" w:eastAsia="仿宋"/>
          <w:sz w:val="30"/>
          <w:szCs w:val="30"/>
          <w:lang w:val="en-US" w:eastAsia="zh-CN"/>
        </w:rPr>
        <w:t>。</w:t>
      </w:r>
    </w:p>
    <w:p w14:paraId="02235296">
      <w:pPr>
        <w:spacing w:line="460" w:lineRule="exact"/>
        <w:ind w:firstLine="567" w:firstLineChars="189"/>
        <w:contextualSpacing/>
        <w:rPr>
          <w:rFonts w:hint="eastAsia" w:ascii="仿宋" w:hAnsi="仿宋" w:eastAsia="仿宋"/>
          <w:sz w:val="30"/>
          <w:szCs w:val="30"/>
          <w:lang w:val="en-US" w:eastAsia="zh-CN"/>
        </w:rPr>
      </w:pPr>
      <w:r>
        <w:rPr>
          <w:rFonts w:hint="eastAsia" w:ascii="仿宋" w:hAnsi="仿宋" w:eastAsia="仿宋"/>
          <w:sz w:val="30"/>
          <w:szCs w:val="30"/>
          <w:lang w:val="en-US" w:eastAsia="zh-CN"/>
        </w:rPr>
        <w:t>现管理人通过本公告正式通知，请你于2024年11月6日之前向管理人取得联系（联系人:廖律师；联系电话：18181419031；联</w:t>
      </w:r>
      <w:bookmarkStart w:id="0" w:name="_GoBack"/>
      <w:bookmarkEnd w:id="0"/>
      <w:r>
        <w:rPr>
          <w:rFonts w:hint="eastAsia" w:ascii="仿宋" w:hAnsi="仿宋" w:eastAsia="仿宋"/>
          <w:sz w:val="30"/>
          <w:szCs w:val="30"/>
          <w:lang w:val="en-US" w:eastAsia="zh-CN"/>
        </w:rPr>
        <w:t>系地址:四川省成都市武侯区剑南大道中段世豪广场A座808室），向管理人全面提交你所保管的关于成都市德力威钢结构有限公司的有关资料，并如实回答管理人有关破产清算工作的询问，协助管理人开展调查工作。若怠于履行上述义务，由此引起的一切法律责任将自行承担，管理人将依法追究相关法律责任。</w:t>
      </w:r>
    </w:p>
    <w:p w14:paraId="3E576870">
      <w:pPr>
        <w:spacing w:line="460" w:lineRule="exact"/>
        <w:ind w:firstLine="567" w:firstLineChars="189"/>
        <w:contextualSpacing/>
        <w:rPr>
          <w:rFonts w:hint="default" w:ascii="仿宋" w:hAnsi="仿宋" w:eastAsia="仿宋"/>
          <w:sz w:val="30"/>
          <w:szCs w:val="30"/>
          <w:lang w:val="en-US" w:eastAsia="zh-CN"/>
        </w:rPr>
      </w:pPr>
      <w:r>
        <w:rPr>
          <w:rFonts w:hint="eastAsia" w:ascii="仿宋" w:hAnsi="仿宋" w:eastAsia="仿宋"/>
          <w:sz w:val="30"/>
          <w:szCs w:val="30"/>
          <w:lang w:val="en-US" w:eastAsia="zh-CN"/>
        </w:rPr>
        <w:t>特此通知</w:t>
      </w:r>
    </w:p>
    <w:p w14:paraId="4786CD5D">
      <w:pPr>
        <w:spacing w:line="460" w:lineRule="exact"/>
        <w:ind w:firstLine="567" w:firstLineChars="189"/>
        <w:contextualSpacing/>
        <w:rPr>
          <w:rFonts w:ascii="仿宋" w:hAnsi="仿宋" w:eastAsia="仿宋"/>
          <w:sz w:val="30"/>
          <w:szCs w:val="30"/>
        </w:rPr>
      </w:pPr>
    </w:p>
    <w:p w14:paraId="4F13474B">
      <w:pPr>
        <w:spacing w:line="460" w:lineRule="exact"/>
        <w:ind w:firstLine="567" w:firstLineChars="189"/>
        <w:contextualSpacing/>
        <w:rPr>
          <w:rFonts w:ascii="仿宋" w:hAnsi="仿宋" w:eastAsia="仿宋"/>
          <w:sz w:val="30"/>
          <w:szCs w:val="30"/>
        </w:rPr>
      </w:pPr>
    </w:p>
    <w:p w14:paraId="7BE561EC">
      <w:pPr>
        <w:spacing w:line="460" w:lineRule="exact"/>
        <w:ind w:firstLine="567" w:firstLineChars="189"/>
        <w:contextualSpacing/>
        <w:jc w:val="right"/>
        <w:rPr>
          <w:rFonts w:ascii="仿宋" w:hAnsi="仿宋" w:eastAsia="仿宋"/>
          <w:sz w:val="30"/>
          <w:szCs w:val="30"/>
        </w:rPr>
      </w:pPr>
      <w:r>
        <w:rPr>
          <w:rFonts w:hint="eastAsia" w:ascii="仿宋" w:hAnsi="仿宋" w:eastAsia="仿宋"/>
          <w:sz w:val="30"/>
          <w:szCs w:val="30"/>
          <w:lang w:eastAsia="zh-CN"/>
        </w:rPr>
        <w:t>成都市德力威钢结构有限公司</w:t>
      </w:r>
      <w:r>
        <w:rPr>
          <w:rFonts w:hint="eastAsia" w:ascii="仿宋" w:hAnsi="仿宋" w:eastAsia="仿宋"/>
          <w:sz w:val="30"/>
          <w:szCs w:val="30"/>
        </w:rPr>
        <w:t>管理人</w:t>
      </w:r>
    </w:p>
    <w:p w14:paraId="7728E1A6">
      <w:pPr>
        <w:spacing w:line="240" w:lineRule="atLeast"/>
        <w:ind w:firstLine="567" w:firstLineChars="189"/>
        <w:contextualSpacing/>
        <w:jc w:val="right"/>
        <w:rPr>
          <w:rFonts w:ascii="仿宋" w:hAnsi="仿宋" w:eastAsia="仿宋"/>
          <w:sz w:val="30"/>
          <w:szCs w:val="30"/>
        </w:rPr>
      </w:pPr>
    </w:p>
    <w:p w14:paraId="7D8F1BA7">
      <w:pPr>
        <w:spacing w:line="240" w:lineRule="atLeast"/>
        <w:ind w:firstLine="567" w:firstLineChars="189"/>
        <w:contextualSpacing/>
        <w:jc w:val="right"/>
        <w:rPr>
          <w:rFonts w:ascii="仿宋" w:hAnsi="仿宋" w:eastAsia="仿宋"/>
          <w:sz w:val="30"/>
          <w:szCs w:val="30"/>
        </w:rPr>
      </w:pPr>
      <w:r>
        <w:rPr>
          <w:rFonts w:ascii="仿宋" w:hAnsi="仿宋" w:eastAsia="仿宋"/>
          <w:sz w:val="30"/>
          <w:szCs w:val="30"/>
        </w:rPr>
        <w:t>202</w:t>
      </w:r>
      <w:r>
        <w:rPr>
          <w:rFonts w:hint="eastAsia" w:ascii="仿宋" w:hAnsi="仿宋" w:eastAsia="仿宋"/>
          <w:sz w:val="30"/>
          <w:szCs w:val="30"/>
          <w:lang w:val="en-US" w:eastAsia="zh-CN"/>
        </w:rPr>
        <w:t>4</w:t>
      </w:r>
      <w:r>
        <w:rPr>
          <w:rFonts w:hint="eastAsia" w:ascii="仿宋" w:hAnsi="仿宋" w:eastAsia="仿宋"/>
          <w:sz w:val="30"/>
          <w:szCs w:val="30"/>
        </w:rPr>
        <w:t>年</w:t>
      </w:r>
      <w:r>
        <w:rPr>
          <w:rFonts w:hint="eastAsia" w:ascii="仿宋" w:hAnsi="仿宋" w:eastAsia="仿宋"/>
          <w:sz w:val="30"/>
          <w:szCs w:val="30"/>
          <w:lang w:val="en-US" w:eastAsia="zh-CN"/>
        </w:rPr>
        <w:t>11</w:t>
      </w:r>
      <w:r>
        <w:rPr>
          <w:rFonts w:hint="eastAsia" w:ascii="仿宋" w:hAnsi="仿宋" w:eastAsia="仿宋"/>
          <w:sz w:val="30"/>
          <w:szCs w:val="30"/>
        </w:rPr>
        <w:t>月</w:t>
      </w:r>
      <w:r>
        <w:rPr>
          <w:rFonts w:hint="eastAsia" w:ascii="仿宋" w:hAnsi="仿宋" w:eastAsia="仿宋"/>
          <w:sz w:val="30"/>
          <w:szCs w:val="30"/>
          <w:lang w:val="en-US" w:eastAsia="zh-CN"/>
        </w:rPr>
        <w:t>1</w:t>
      </w:r>
      <w:r>
        <w:rPr>
          <w:rFonts w:hint="eastAsia" w:ascii="仿宋" w:hAnsi="仿宋" w:eastAsia="仿宋"/>
          <w:sz w:val="30"/>
          <w:szCs w:val="30"/>
        </w:rPr>
        <w:t>日</w:t>
      </w:r>
    </w:p>
    <w:p w14:paraId="777D35C3">
      <w:pPr>
        <w:spacing w:line="240" w:lineRule="atLeast"/>
        <w:contextualSpacing/>
        <w:jc w:val="both"/>
        <w:rPr>
          <w:rFonts w:ascii="仿宋" w:hAnsi="仿宋" w:eastAsia="仿宋"/>
          <w:sz w:val="30"/>
          <w:szCs w:val="30"/>
        </w:rPr>
      </w:pPr>
    </w:p>
    <w:sectPr>
      <w:headerReference r:id="rId3" w:type="default"/>
      <w:footerReference r:id="rId4" w:type="default"/>
      <w:pgSz w:w="11906" w:h="16838"/>
      <w:pgMar w:top="1440" w:right="1588" w:bottom="1440" w:left="1588" w:header="851" w:footer="737"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大黑简体">
    <w:altName w:val="微软雅黑"/>
    <w:panose1 w:val="020B0604020202020204"/>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136E1">
    <w:pPr>
      <w:pStyle w:val="8"/>
      <w:jc w:val="center"/>
    </w:pPr>
    <w:r>
      <w:rPr>
        <w:rFonts w:hint="eastAsia" w:ascii="楷体" w:hAnsi="楷体" w:eastAsia="楷体"/>
        <w:sz w:val="21"/>
        <w:szCs w:val="21"/>
      </w:rPr>
      <w:t>第</w:t>
    </w:r>
    <w:sdt>
      <w:sdtPr>
        <w:id w:val="-1406533958"/>
      </w:sdtPr>
      <w:sdtContent>
        <w:sdt>
          <w:sdtPr>
            <w:id w:val="1728636285"/>
          </w:sdtPr>
          <w:sdtContent>
            <w:r>
              <w:rPr>
                <w:rFonts w:ascii="楷体" w:hAnsi="楷体" w:eastAsia="楷体"/>
                <w:sz w:val="21"/>
                <w:szCs w:val="21"/>
                <w:lang w:val="zh-CN"/>
              </w:rPr>
              <w:t xml:space="preserve"> </w:t>
            </w:r>
            <w:r>
              <w:rPr>
                <w:rFonts w:ascii="楷体" w:hAnsi="楷体" w:eastAsia="楷体"/>
                <w:sz w:val="21"/>
                <w:szCs w:val="21"/>
              </w:rPr>
              <w:fldChar w:fldCharType="begin"/>
            </w:r>
            <w:r>
              <w:rPr>
                <w:rFonts w:ascii="楷体" w:hAnsi="楷体" w:eastAsia="楷体"/>
                <w:sz w:val="21"/>
                <w:szCs w:val="21"/>
              </w:rPr>
              <w:instrText xml:space="preserve">PAGE</w:instrText>
            </w:r>
            <w:r>
              <w:rPr>
                <w:rFonts w:ascii="楷体" w:hAnsi="楷体" w:eastAsia="楷体"/>
                <w:sz w:val="21"/>
                <w:szCs w:val="21"/>
              </w:rPr>
              <w:fldChar w:fldCharType="separate"/>
            </w:r>
            <w:r>
              <w:rPr>
                <w:rFonts w:ascii="楷体" w:hAnsi="楷体" w:eastAsia="楷体"/>
                <w:sz w:val="21"/>
                <w:szCs w:val="21"/>
              </w:rPr>
              <w:t>1</w:t>
            </w:r>
            <w:r>
              <w:rPr>
                <w:rFonts w:ascii="楷体" w:hAnsi="楷体" w:eastAsia="楷体"/>
                <w:sz w:val="21"/>
                <w:szCs w:val="21"/>
              </w:rPr>
              <w:fldChar w:fldCharType="end"/>
            </w:r>
            <w:r>
              <w:rPr>
                <w:rFonts w:ascii="楷体" w:hAnsi="楷体" w:eastAsia="楷体"/>
                <w:sz w:val="21"/>
                <w:szCs w:val="21"/>
                <w:lang w:val="zh-CN"/>
              </w:rPr>
              <w:t xml:space="preserve"> </w:t>
            </w:r>
            <w:r>
              <w:rPr>
                <w:rFonts w:hint="eastAsia" w:ascii="楷体" w:hAnsi="楷体" w:eastAsia="楷体"/>
                <w:sz w:val="21"/>
                <w:szCs w:val="21"/>
                <w:lang w:val="zh-CN"/>
              </w:rPr>
              <w:t>页,共</w:t>
            </w:r>
            <w:r>
              <w:rPr>
                <w:rFonts w:ascii="楷体" w:hAnsi="楷体" w:eastAsia="楷体"/>
                <w:sz w:val="21"/>
                <w:szCs w:val="21"/>
                <w:lang w:val="zh-CN"/>
              </w:rPr>
              <w:t xml:space="preserve"> </w:t>
            </w:r>
            <w:r>
              <w:rPr>
                <w:rFonts w:ascii="楷体" w:hAnsi="楷体" w:eastAsia="楷体"/>
                <w:sz w:val="21"/>
                <w:szCs w:val="21"/>
              </w:rPr>
              <w:fldChar w:fldCharType="begin"/>
            </w:r>
            <w:r>
              <w:rPr>
                <w:rFonts w:ascii="楷体" w:hAnsi="楷体" w:eastAsia="楷体"/>
                <w:sz w:val="21"/>
                <w:szCs w:val="21"/>
              </w:rPr>
              <w:instrText xml:space="preserve">NUMPAGES</w:instrText>
            </w:r>
            <w:r>
              <w:rPr>
                <w:rFonts w:ascii="楷体" w:hAnsi="楷体" w:eastAsia="楷体"/>
                <w:sz w:val="21"/>
                <w:szCs w:val="21"/>
              </w:rPr>
              <w:fldChar w:fldCharType="separate"/>
            </w:r>
            <w:r>
              <w:rPr>
                <w:rFonts w:ascii="楷体" w:hAnsi="楷体" w:eastAsia="楷体"/>
                <w:sz w:val="21"/>
                <w:szCs w:val="21"/>
              </w:rPr>
              <w:t>2</w:t>
            </w:r>
            <w:r>
              <w:rPr>
                <w:rFonts w:ascii="楷体" w:hAnsi="楷体" w:eastAsia="楷体"/>
                <w:sz w:val="21"/>
                <w:szCs w:val="21"/>
              </w:rPr>
              <w:fldChar w:fldCharType="end"/>
            </w:r>
            <w:r>
              <w:rPr>
                <w:rFonts w:ascii="楷体" w:hAnsi="楷体" w:eastAsia="楷体"/>
                <w:sz w:val="21"/>
                <w:szCs w:val="21"/>
              </w:rPr>
              <w:t xml:space="preserve"> </w:t>
            </w:r>
            <w:r>
              <w:rPr>
                <w:rFonts w:hint="eastAsia" w:ascii="楷体" w:hAnsi="楷体" w:eastAsia="楷体"/>
                <w:sz w:val="21"/>
                <w:szCs w:val="21"/>
              </w:rPr>
              <w:t>页</w:t>
            </w: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136DC">
    <w:pPr>
      <w:spacing w:line="420" w:lineRule="exact"/>
      <w:ind w:left="1275" w:leftChars="607" w:right="1218" w:rightChars="580" w:firstLine="1276" w:firstLineChars="608"/>
      <w:jc w:val="distribute"/>
      <w:rPr>
        <w:rFonts w:ascii="方正大黑简体" w:eastAsia="方正大黑简体"/>
        <w:sz w:val="36"/>
        <w:szCs w:val="36"/>
      </w:rPr>
    </w:pPr>
    <w:r>
      <w:drawing>
        <wp:anchor distT="0" distB="0" distL="114300" distR="114300" simplePos="0" relativeHeight="251659264" behindDoc="1" locked="0" layoutInCell="1" allowOverlap="1">
          <wp:simplePos x="0" y="0"/>
          <wp:positionH relativeFrom="column">
            <wp:posOffset>735965</wp:posOffset>
          </wp:positionH>
          <wp:positionV relativeFrom="paragraph">
            <wp:posOffset>-90805</wp:posOffset>
          </wp:positionV>
          <wp:extent cx="787400" cy="817245"/>
          <wp:effectExtent l="0" t="0" r="0" b="2095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87400" cy="817245"/>
                  </a:xfrm>
                  <a:prstGeom prst="rect">
                    <a:avLst/>
                  </a:prstGeom>
                  <a:noFill/>
                </pic:spPr>
              </pic:pic>
            </a:graphicData>
          </a:graphic>
        </wp:anchor>
      </w:drawing>
    </w:r>
    <w:r>
      <w:rPr>
        <w:rFonts w:hint="eastAsia" w:ascii="方正大黑简体" w:eastAsia="方正大黑简体"/>
        <w:sz w:val="36"/>
        <w:szCs w:val="36"/>
      </w:rPr>
      <w:t>成都竞择破产清算事务所</w:t>
    </w:r>
  </w:p>
  <w:p w14:paraId="478136DD">
    <w:pPr>
      <w:adjustRightInd w:val="0"/>
      <w:snapToGrid w:val="0"/>
      <w:ind w:left="1984" w:leftChars="945" w:right="1218" w:rightChars="580" w:firstLine="588" w:firstLineChars="338"/>
      <w:jc w:val="distribute"/>
      <w:rPr>
        <w:rFonts w:ascii="楷体" w:hAnsi="楷体" w:eastAsia="楷体"/>
        <w:spacing w:val="12"/>
        <w:sz w:val="16"/>
        <w:szCs w:val="16"/>
      </w:rPr>
    </w:pPr>
    <w:r>
      <w:rPr>
        <w:spacing w:val="12"/>
        <w:sz w:val="15"/>
        <w:szCs w:val="15"/>
      </w:rPr>
      <w:t>Chengdu King&amp;The Bankruptcy Liquidation Firm Co., Ltd.</w:t>
    </w:r>
  </w:p>
  <w:p w14:paraId="478136DE">
    <w:pPr>
      <w:adjustRightInd w:val="0"/>
      <w:snapToGrid w:val="0"/>
      <w:ind w:left="1984" w:leftChars="945" w:right="1218" w:rightChars="580" w:firstLine="635" w:firstLineChars="338"/>
      <w:jc w:val="distribute"/>
      <w:rPr>
        <w:rFonts w:ascii="楷体" w:hAnsi="楷体" w:eastAsia="楷体"/>
        <w:spacing w:val="4"/>
        <w:sz w:val="18"/>
        <w:szCs w:val="18"/>
      </w:rPr>
    </w:pPr>
    <w:r>
      <w:rPr>
        <w:rFonts w:hint="eastAsia" w:ascii="楷体" w:hAnsi="楷体" w:eastAsia="楷体"/>
        <w:spacing w:val="4"/>
        <w:sz w:val="18"/>
        <w:szCs w:val="18"/>
      </w:rPr>
      <w:t>成都|重庆|三亚|淮安|宜宾|内江|资阳</w:t>
    </w:r>
  </w:p>
  <w:p w14:paraId="478136DF">
    <w:pPr>
      <w:adjustRightInd w:val="0"/>
      <w:snapToGrid w:val="0"/>
      <w:ind w:left="1984" w:leftChars="945" w:right="1218" w:rightChars="580" w:firstLine="635" w:firstLineChars="338"/>
      <w:jc w:val="distribute"/>
      <w:rPr>
        <w:rFonts w:ascii="楷体" w:hAnsi="楷体" w:eastAsia="楷体"/>
        <w:spacing w:val="4"/>
        <w:sz w:val="18"/>
        <w:szCs w:val="18"/>
      </w:rPr>
    </w:pPr>
    <w:r>
      <w:rPr>
        <w:rFonts w:hint="eastAsia" w:ascii="楷体" w:hAnsi="楷体" w:eastAsia="楷体"/>
        <w:spacing w:val="4"/>
        <w:sz w:val="18"/>
        <w:szCs w:val="18"/>
      </w:rPr>
      <w:t>绵阳|遂宁|德阳|眉山|凉山|广元|乐山</w:t>
    </w:r>
  </w:p>
  <w:p w14:paraId="478136E0">
    <w:pPr>
      <w:spacing w:line="200" w:lineRule="exact"/>
      <w:ind w:left="1984" w:leftChars="945" w:right="42" w:rightChars="20"/>
      <w:rPr>
        <w:rFonts w:ascii="楷体" w:hAnsi="楷体" w:eastAsia="楷体"/>
        <w:color w:val="3F3F3F"/>
        <w:spacing w:val="4"/>
        <w:sz w:val="13"/>
        <w:szCs w:val="13"/>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RmZGE5NTlhODRlMTMxZGZlZmQyODFjNjIyM2E5MzgifQ=="/>
  </w:docVars>
  <w:rsids>
    <w:rsidRoot w:val="08F07FDD"/>
    <w:rsid w:val="00014A8D"/>
    <w:rsid w:val="000205F5"/>
    <w:rsid w:val="00023D55"/>
    <w:rsid w:val="0002711D"/>
    <w:rsid w:val="00027910"/>
    <w:rsid w:val="000529D6"/>
    <w:rsid w:val="00054EA2"/>
    <w:rsid w:val="00066247"/>
    <w:rsid w:val="00085856"/>
    <w:rsid w:val="000864CE"/>
    <w:rsid w:val="000B2F9E"/>
    <w:rsid w:val="00103580"/>
    <w:rsid w:val="00130675"/>
    <w:rsid w:val="00137688"/>
    <w:rsid w:val="00150F18"/>
    <w:rsid w:val="00161B1C"/>
    <w:rsid w:val="001701CF"/>
    <w:rsid w:val="00172911"/>
    <w:rsid w:val="00192458"/>
    <w:rsid w:val="001A7499"/>
    <w:rsid w:val="001B266F"/>
    <w:rsid w:val="001C478A"/>
    <w:rsid w:val="001C66CF"/>
    <w:rsid w:val="001F3F4F"/>
    <w:rsid w:val="00224A4C"/>
    <w:rsid w:val="00226967"/>
    <w:rsid w:val="00245E93"/>
    <w:rsid w:val="002A152A"/>
    <w:rsid w:val="002B1BAF"/>
    <w:rsid w:val="002E0CA8"/>
    <w:rsid w:val="0031201A"/>
    <w:rsid w:val="003603E0"/>
    <w:rsid w:val="00361B6A"/>
    <w:rsid w:val="003714DE"/>
    <w:rsid w:val="00383ACF"/>
    <w:rsid w:val="00390A80"/>
    <w:rsid w:val="003A2B42"/>
    <w:rsid w:val="003E1F82"/>
    <w:rsid w:val="003E69C7"/>
    <w:rsid w:val="003F7616"/>
    <w:rsid w:val="00410539"/>
    <w:rsid w:val="00426B4D"/>
    <w:rsid w:val="004364B4"/>
    <w:rsid w:val="00441599"/>
    <w:rsid w:val="0045027E"/>
    <w:rsid w:val="0045310D"/>
    <w:rsid w:val="00454C7E"/>
    <w:rsid w:val="0048556C"/>
    <w:rsid w:val="004C3C87"/>
    <w:rsid w:val="004E6D75"/>
    <w:rsid w:val="00503F36"/>
    <w:rsid w:val="005075EE"/>
    <w:rsid w:val="00526E94"/>
    <w:rsid w:val="0053446C"/>
    <w:rsid w:val="0054508C"/>
    <w:rsid w:val="00566A56"/>
    <w:rsid w:val="00574D24"/>
    <w:rsid w:val="005977DD"/>
    <w:rsid w:val="005A219F"/>
    <w:rsid w:val="005A5EEF"/>
    <w:rsid w:val="005B1611"/>
    <w:rsid w:val="005D237E"/>
    <w:rsid w:val="005E01AB"/>
    <w:rsid w:val="005F4819"/>
    <w:rsid w:val="0067701D"/>
    <w:rsid w:val="00682E7C"/>
    <w:rsid w:val="0068342D"/>
    <w:rsid w:val="00723978"/>
    <w:rsid w:val="00776433"/>
    <w:rsid w:val="007846E8"/>
    <w:rsid w:val="007A0B20"/>
    <w:rsid w:val="007A61D1"/>
    <w:rsid w:val="007C23EB"/>
    <w:rsid w:val="007C666B"/>
    <w:rsid w:val="007F2D77"/>
    <w:rsid w:val="008135A1"/>
    <w:rsid w:val="0081380E"/>
    <w:rsid w:val="00821218"/>
    <w:rsid w:val="008227B2"/>
    <w:rsid w:val="00834D9C"/>
    <w:rsid w:val="00837B96"/>
    <w:rsid w:val="00846942"/>
    <w:rsid w:val="008535BF"/>
    <w:rsid w:val="008551E7"/>
    <w:rsid w:val="00856A86"/>
    <w:rsid w:val="00871BE8"/>
    <w:rsid w:val="00884C8D"/>
    <w:rsid w:val="008C526E"/>
    <w:rsid w:val="008C6C41"/>
    <w:rsid w:val="008D0741"/>
    <w:rsid w:val="008D57B0"/>
    <w:rsid w:val="008E46A4"/>
    <w:rsid w:val="008E701B"/>
    <w:rsid w:val="009253B9"/>
    <w:rsid w:val="009326F6"/>
    <w:rsid w:val="0095358D"/>
    <w:rsid w:val="009A613C"/>
    <w:rsid w:val="009B6503"/>
    <w:rsid w:val="009D5FC0"/>
    <w:rsid w:val="009F2D70"/>
    <w:rsid w:val="00A1103A"/>
    <w:rsid w:val="00A11236"/>
    <w:rsid w:val="00A12031"/>
    <w:rsid w:val="00A12BE6"/>
    <w:rsid w:val="00A17FDE"/>
    <w:rsid w:val="00A223B8"/>
    <w:rsid w:val="00A22E38"/>
    <w:rsid w:val="00A30D66"/>
    <w:rsid w:val="00A40154"/>
    <w:rsid w:val="00A471CF"/>
    <w:rsid w:val="00A503A0"/>
    <w:rsid w:val="00A50E07"/>
    <w:rsid w:val="00A54974"/>
    <w:rsid w:val="00A61DD2"/>
    <w:rsid w:val="00A64EDB"/>
    <w:rsid w:val="00AB4E22"/>
    <w:rsid w:val="00AB6512"/>
    <w:rsid w:val="00AC3AEC"/>
    <w:rsid w:val="00AF0685"/>
    <w:rsid w:val="00B044FF"/>
    <w:rsid w:val="00B303C9"/>
    <w:rsid w:val="00B31364"/>
    <w:rsid w:val="00B3514D"/>
    <w:rsid w:val="00B37C52"/>
    <w:rsid w:val="00B37FEB"/>
    <w:rsid w:val="00B43640"/>
    <w:rsid w:val="00B472FE"/>
    <w:rsid w:val="00B54A79"/>
    <w:rsid w:val="00B56509"/>
    <w:rsid w:val="00B96ABD"/>
    <w:rsid w:val="00BB58A4"/>
    <w:rsid w:val="00BD461F"/>
    <w:rsid w:val="00BF29D1"/>
    <w:rsid w:val="00BF5E08"/>
    <w:rsid w:val="00BF715C"/>
    <w:rsid w:val="00C01694"/>
    <w:rsid w:val="00C13B23"/>
    <w:rsid w:val="00C23BDA"/>
    <w:rsid w:val="00C51BAE"/>
    <w:rsid w:val="00C828F2"/>
    <w:rsid w:val="00C95E98"/>
    <w:rsid w:val="00CA29BC"/>
    <w:rsid w:val="00CA4095"/>
    <w:rsid w:val="00CC139A"/>
    <w:rsid w:val="00CC6DE1"/>
    <w:rsid w:val="00CD488A"/>
    <w:rsid w:val="00CE25EA"/>
    <w:rsid w:val="00CF09F5"/>
    <w:rsid w:val="00D3300B"/>
    <w:rsid w:val="00D34662"/>
    <w:rsid w:val="00D40296"/>
    <w:rsid w:val="00D47C50"/>
    <w:rsid w:val="00D72C38"/>
    <w:rsid w:val="00D90115"/>
    <w:rsid w:val="00DA605F"/>
    <w:rsid w:val="00DF1C19"/>
    <w:rsid w:val="00E06909"/>
    <w:rsid w:val="00E172B7"/>
    <w:rsid w:val="00E275BE"/>
    <w:rsid w:val="00E45651"/>
    <w:rsid w:val="00E63BD1"/>
    <w:rsid w:val="00E66EE4"/>
    <w:rsid w:val="00E9663A"/>
    <w:rsid w:val="00EA7971"/>
    <w:rsid w:val="00EB0259"/>
    <w:rsid w:val="00EB0E40"/>
    <w:rsid w:val="00EC3A83"/>
    <w:rsid w:val="00ED72FB"/>
    <w:rsid w:val="00EF0ADA"/>
    <w:rsid w:val="00EF743F"/>
    <w:rsid w:val="00F00532"/>
    <w:rsid w:val="00F01F3A"/>
    <w:rsid w:val="00F329A9"/>
    <w:rsid w:val="00F3301D"/>
    <w:rsid w:val="00F34D9F"/>
    <w:rsid w:val="00F374D1"/>
    <w:rsid w:val="00F70966"/>
    <w:rsid w:val="00F92ABB"/>
    <w:rsid w:val="00F95667"/>
    <w:rsid w:val="00FA6260"/>
    <w:rsid w:val="00FB62EE"/>
    <w:rsid w:val="00FC2584"/>
    <w:rsid w:val="00FC2641"/>
    <w:rsid w:val="00FC3162"/>
    <w:rsid w:val="00FD5F36"/>
    <w:rsid w:val="07AE0E57"/>
    <w:rsid w:val="08376ABD"/>
    <w:rsid w:val="08F07FDD"/>
    <w:rsid w:val="155A3EFC"/>
    <w:rsid w:val="32D53D90"/>
    <w:rsid w:val="377706BB"/>
    <w:rsid w:val="3FED5376"/>
    <w:rsid w:val="443E59CF"/>
    <w:rsid w:val="47FD21DD"/>
    <w:rsid w:val="5B7FA20E"/>
    <w:rsid w:val="677F6188"/>
    <w:rsid w:val="6FDF3492"/>
    <w:rsid w:val="6FFF6057"/>
    <w:rsid w:val="71DF6687"/>
    <w:rsid w:val="72100A87"/>
    <w:rsid w:val="7C3FCDF3"/>
    <w:rsid w:val="7F7E9277"/>
    <w:rsid w:val="7FAE1D66"/>
    <w:rsid w:val="7FF6FAAD"/>
    <w:rsid w:val="7FF779AC"/>
    <w:rsid w:val="9BFF4CDE"/>
    <w:rsid w:val="B7FDD28F"/>
    <w:rsid w:val="BEFB05A4"/>
    <w:rsid w:val="C3CE7C18"/>
    <w:rsid w:val="DF973E93"/>
    <w:rsid w:val="E59E0BD0"/>
    <w:rsid w:val="F997544A"/>
    <w:rsid w:val="FBFFAB00"/>
    <w:rsid w:val="FECD49F5"/>
    <w:rsid w:val="FF7F7C1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semiHidden="0"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qFormat="1"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
    <w:qFormat/>
    <w:locked/>
    <w:uiPriority w:val="0"/>
    <w:pPr>
      <w:keepNext/>
      <w:keepLines/>
      <w:spacing w:before="340" w:after="330" w:line="578" w:lineRule="auto"/>
      <w:outlineLvl w:val="0"/>
    </w:pPr>
    <w:rPr>
      <w:b/>
      <w:bCs/>
      <w:kern w:val="44"/>
      <w:sz w:val="44"/>
      <w:szCs w:val="44"/>
    </w:rPr>
  </w:style>
  <w:style w:type="paragraph" w:styleId="3">
    <w:name w:val="heading 4"/>
    <w:basedOn w:val="1"/>
    <w:next w:val="1"/>
    <w:link w:val="21"/>
    <w:semiHidden/>
    <w:unhideWhenUsed/>
    <w:qFormat/>
    <w:locked/>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Salutation"/>
    <w:basedOn w:val="1"/>
    <w:next w:val="1"/>
    <w:link w:val="23"/>
    <w:unhideWhenUsed/>
    <w:qFormat/>
    <w:uiPriority w:val="99"/>
    <w:rPr>
      <w:rFonts w:eastAsia="仿宋"/>
      <w:b/>
      <w:sz w:val="32"/>
      <w:szCs w:val="32"/>
    </w:rPr>
  </w:style>
  <w:style w:type="paragraph" w:styleId="5">
    <w:name w:val="Closing"/>
    <w:basedOn w:val="1"/>
    <w:link w:val="24"/>
    <w:unhideWhenUsed/>
    <w:uiPriority w:val="99"/>
    <w:pPr>
      <w:ind w:left="100" w:leftChars="2100"/>
    </w:pPr>
    <w:rPr>
      <w:rFonts w:eastAsia="仿宋"/>
      <w:b/>
      <w:sz w:val="32"/>
      <w:szCs w:val="32"/>
    </w:rPr>
  </w:style>
  <w:style w:type="paragraph" w:styleId="6">
    <w:name w:val="Date"/>
    <w:basedOn w:val="1"/>
    <w:next w:val="1"/>
    <w:link w:val="20"/>
    <w:semiHidden/>
    <w:unhideWhenUsed/>
    <w:uiPriority w:val="99"/>
    <w:pPr>
      <w:ind w:left="100" w:leftChars="2500"/>
    </w:pPr>
  </w:style>
  <w:style w:type="paragraph" w:styleId="7">
    <w:name w:val="Balloon Text"/>
    <w:basedOn w:val="1"/>
    <w:link w:val="16"/>
    <w:semiHidden/>
    <w:qFormat/>
    <w:uiPriority w:val="99"/>
    <w:rPr>
      <w:sz w:val="18"/>
      <w:szCs w:val="18"/>
    </w:rPr>
  </w:style>
  <w:style w:type="paragraph" w:styleId="8">
    <w:name w:val="footer"/>
    <w:basedOn w:val="1"/>
    <w:link w:val="17"/>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locked/>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semiHidden/>
    <w:qFormat/>
    <w:uiPriority w:val="99"/>
    <w:rPr>
      <w:rFonts w:cs="Times New Roman"/>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批注框文本 字符"/>
    <w:link w:val="7"/>
    <w:semiHidden/>
    <w:qFormat/>
    <w:locked/>
    <w:uiPriority w:val="99"/>
    <w:rPr>
      <w:rFonts w:ascii="Times New Roman" w:hAnsi="Times New Roman" w:cs="Times New Roman"/>
      <w:kern w:val="2"/>
      <w:sz w:val="18"/>
      <w:szCs w:val="18"/>
    </w:rPr>
  </w:style>
  <w:style w:type="character" w:customStyle="1" w:styleId="17">
    <w:name w:val="页脚 字符"/>
    <w:link w:val="8"/>
    <w:qFormat/>
    <w:locked/>
    <w:uiPriority w:val="99"/>
    <w:rPr>
      <w:rFonts w:ascii="Calibri" w:hAnsi="Calibri" w:eastAsia="宋体"/>
      <w:sz w:val="18"/>
    </w:rPr>
  </w:style>
  <w:style w:type="character" w:customStyle="1" w:styleId="18">
    <w:name w:val="页眉 字符"/>
    <w:link w:val="9"/>
    <w:qFormat/>
    <w:locked/>
    <w:uiPriority w:val="99"/>
    <w:rPr>
      <w:rFonts w:ascii="Times New Roman" w:hAnsi="Times New Roman" w:cs="Times New Roman"/>
      <w:kern w:val="2"/>
      <w:sz w:val="18"/>
      <w:szCs w:val="18"/>
    </w:rPr>
  </w:style>
  <w:style w:type="character" w:customStyle="1" w:styleId="19">
    <w:name w:val="标题 1 字符"/>
    <w:basedOn w:val="13"/>
    <w:link w:val="2"/>
    <w:qFormat/>
    <w:uiPriority w:val="0"/>
    <w:rPr>
      <w:rFonts w:ascii="Times New Roman" w:hAnsi="Times New Roman" w:cs="Times New Roman"/>
      <w:b/>
      <w:bCs/>
      <w:kern w:val="44"/>
      <w:sz w:val="44"/>
      <w:szCs w:val="44"/>
    </w:rPr>
  </w:style>
  <w:style w:type="character" w:customStyle="1" w:styleId="20">
    <w:name w:val="日期 字符"/>
    <w:basedOn w:val="13"/>
    <w:link w:val="6"/>
    <w:semiHidden/>
    <w:qFormat/>
    <w:uiPriority w:val="99"/>
    <w:rPr>
      <w:rFonts w:ascii="Times New Roman" w:hAnsi="Times New Roman" w:cs="Times New Roman"/>
      <w:kern w:val="2"/>
      <w:sz w:val="21"/>
    </w:rPr>
  </w:style>
  <w:style w:type="character" w:customStyle="1" w:styleId="21">
    <w:name w:val="标题 4 字符"/>
    <w:basedOn w:val="13"/>
    <w:link w:val="3"/>
    <w:semiHidden/>
    <w:qFormat/>
    <w:uiPriority w:val="0"/>
    <w:rPr>
      <w:rFonts w:asciiTheme="majorHAnsi" w:hAnsiTheme="majorHAnsi" w:eastAsiaTheme="majorEastAsia" w:cstheme="majorBidi"/>
      <w:b/>
      <w:bCs/>
      <w:kern w:val="2"/>
      <w:sz w:val="28"/>
      <w:szCs w:val="28"/>
    </w:rPr>
  </w:style>
  <w:style w:type="character" w:customStyle="1" w:styleId="22">
    <w:name w:val="font41"/>
    <w:basedOn w:val="13"/>
    <w:qFormat/>
    <w:uiPriority w:val="0"/>
    <w:rPr>
      <w:rFonts w:hint="eastAsia" w:ascii="楷体" w:hAnsi="楷体" w:eastAsia="楷体" w:cs="楷体"/>
      <w:color w:val="000000"/>
      <w:sz w:val="24"/>
      <w:szCs w:val="24"/>
      <w:u w:val="none"/>
    </w:rPr>
  </w:style>
  <w:style w:type="character" w:customStyle="1" w:styleId="23">
    <w:name w:val="称呼 字符"/>
    <w:basedOn w:val="13"/>
    <w:link w:val="4"/>
    <w:qFormat/>
    <w:uiPriority w:val="99"/>
    <w:rPr>
      <w:rFonts w:ascii="Times New Roman" w:hAnsi="Times New Roman" w:eastAsia="仿宋" w:cs="Times New Roman"/>
      <w:b/>
      <w:kern w:val="2"/>
      <w:sz w:val="32"/>
      <w:szCs w:val="32"/>
    </w:rPr>
  </w:style>
  <w:style w:type="character" w:customStyle="1" w:styleId="24">
    <w:name w:val="结束语 字符"/>
    <w:basedOn w:val="13"/>
    <w:link w:val="5"/>
    <w:qFormat/>
    <w:uiPriority w:val="99"/>
    <w:rPr>
      <w:rFonts w:ascii="Times New Roman" w:hAnsi="Times New Roman" w:eastAsia="仿宋" w:cs="Times New Roman"/>
      <w:b/>
      <w:kern w:val="2"/>
      <w:sz w:val="32"/>
      <w:szCs w:val="32"/>
    </w:rPr>
  </w:style>
  <w:style w:type="paragraph" w:styleId="25">
    <w:name w:val="List Paragraph"/>
    <w:basedOn w:val="1"/>
    <w:qFormat/>
    <w:uiPriority w:val="99"/>
    <w:pPr>
      <w:ind w:firstLine="420" w:firstLineChars="200"/>
    </w:pPr>
  </w:style>
  <w:style w:type="character" w:customStyle="1" w:styleId="26">
    <w:name w:val="未处理的提及1"/>
    <w:basedOn w:val="13"/>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31454;&#27901;\&#31454;&#25321;&#31354;&#30333;&#27169;&#2649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竞择空白模板.dotx</Template>
  <Pages>2</Pages>
  <Words>768</Words>
  <Characters>810</Characters>
  <Lines>0</Lines>
  <Paragraphs>0</Paragraphs>
  <TotalTime>34</TotalTime>
  <ScaleCrop>false</ScaleCrop>
  <LinksUpToDate>false</LinksUpToDate>
  <CharactersWithSpaces>812</CharactersWithSpaces>
  <Application>WPS Office_12.1.0.18888_F1E327BC-269C-435d-A152-05C5408002CA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2024-10-27T06:09:00Z</dcterms:created>
  <dc:creator>罗焱培</dc:creator>
  <cp:lastModifiedBy>廖茂茂</cp:lastModifiedBy>
  <dcterms:modified xsi:type="dcterms:W3CDTF">2024-11-01T06:47:47Z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2052-12.1.0.18888</vt:lpwstr>
  </property>
  <property fmtid="{D5CDD505-2E9C-101B-9397-08002B2CF9AE}" pid="3" name="ICV">
    <vt:lpwstr>7F8A92F8E32F42158AB0E981947E875B_13</vt:lpwstr>
  </property>
</Properties>
</file>