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BA86">
      <w:pPr>
        <w:widowControl/>
        <w:spacing w:before="100" w:beforeAutospacing="1" w:after="100" w:afterAutospacing="1" w:line="750" w:lineRule="atLeast"/>
        <w:outlineLvl w:val="0"/>
        <w:rPr>
          <w:rFonts w:ascii="宋体" w:hAnsi="宋体" w:cs="宋体"/>
          <w:b/>
          <w:bCs/>
          <w:color w:val="333333"/>
          <w:kern w:val="36"/>
          <w:sz w:val="24"/>
          <w:szCs w:val="24"/>
        </w:rPr>
      </w:pPr>
      <w:r>
        <w:rPr>
          <w:rFonts w:hint="eastAsia" w:ascii="宋体" w:hAnsi="宋体" w:cs="宋体"/>
          <w:b/>
          <w:bCs/>
          <w:color w:val="333333"/>
          <w:kern w:val="36"/>
          <w:sz w:val="24"/>
          <w:szCs w:val="24"/>
        </w:rPr>
        <w:t>附件一</w:t>
      </w:r>
    </w:p>
    <w:p w14:paraId="1AE6032A">
      <w:pPr>
        <w:widowControl/>
        <w:spacing w:after="100" w:afterAutospacing="1" w:line="0" w:lineRule="atLeast"/>
        <w:ind w:firstLine="301" w:firstLineChars="100"/>
        <w:jc w:val="center"/>
        <w:outlineLvl w:val="0"/>
        <w:rPr>
          <w:rFonts w:ascii="宋体" w:hAnsi="宋体" w:cs="宋体"/>
          <w:b/>
          <w:bCs/>
          <w:color w:val="333333"/>
          <w:kern w:val="36"/>
          <w:sz w:val="30"/>
          <w:szCs w:val="30"/>
        </w:rPr>
      </w:pPr>
      <w:r>
        <w:rPr>
          <w:rFonts w:hint="eastAsia" w:ascii="宋体" w:hAnsi="宋体" w:cs="宋体"/>
          <w:b/>
          <w:bCs/>
          <w:color w:val="333333"/>
          <w:kern w:val="36"/>
          <w:sz w:val="30"/>
          <w:szCs w:val="30"/>
          <w:lang w:val="en-US" w:eastAsia="zh-CN"/>
        </w:rPr>
        <w:t>禹州市东林装饰工程有限公司</w:t>
      </w:r>
      <w:r>
        <w:rPr>
          <w:rFonts w:hint="eastAsia" w:ascii="宋体" w:hAnsi="宋体" w:cs="宋体"/>
          <w:b/>
          <w:bCs/>
          <w:color w:val="333333"/>
          <w:kern w:val="36"/>
          <w:sz w:val="30"/>
          <w:szCs w:val="30"/>
        </w:rPr>
        <w:t>破产债权申报</w:t>
      </w:r>
    </w:p>
    <w:p w14:paraId="16B46421">
      <w:pPr>
        <w:widowControl/>
        <w:spacing w:after="100" w:afterAutospacing="1" w:line="0" w:lineRule="atLeast"/>
        <w:ind w:firstLine="301" w:firstLineChars="100"/>
        <w:jc w:val="center"/>
        <w:outlineLvl w:val="0"/>
        <w:rPr>
          <w:rFonts w:ascii="宋体" w:hAnsi="宋体" w:cs="宋体"/>
          <w:b/>
          <w:bCs/>
          <w:color w:val="333333"/>
          <w:kern w:val="0"/>
          <w:sz w:val="30"/>
          <w:szCs w:val="30"/>
        </w:rPr>
      </w:pPr>
      <w:r>
        <w:rPr>
          <w:rFonts w:hint="eastAsia" w:ascii="宋体" w:hAnsi="宋体" w:cs="宋体"/>
          <w:b/>
          <w:bCs/>
          <w:color w:val="333333"/>
          <w:kern w:val="36"/>
          <w:sz w:val="30"/>
          <w:szCs w:val="30"/>
        </w:rPr>
        <w:t>填写规则及注意事项</w:t>
      </w:r>
    </w:p>
    <w:p w14:paraId="72AEE61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color w:val="333333"/>
          <w:kern w:val="0"/>
          <w:sz w:val="28"/>
          <w:szCs w:val="28"/>
        </w:rPr>
      </w:pPr>
      <w:r>
        <w:rPr>
          <w:rFonts w:hint="eastAsia" w:ascii="仿宋" w:hAnsi="仿宋" w:eastAsia="仿宋" w:cs="仿宋"/>
          <w:b/>
          <w:color w:val="333333"/>
          <w:kern w:val="0"/>
          <w:sz w:val="28"/>
          <w:szCs w:val="28"/>
        </w:rPr>
        <w:t>各债权申报人：</w:t>
      </w:r>
    </w:p>
    <w:p w14:paraId="1F9A2A1A">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根据《中华人民共和国企业破产法》的规定，结合人民法院《债权申报公告》的要求，现就债权申报相关事宜及债权申报表的填写规则、注意事项及法律后果等作如下规定，以便债权申报、审核、核查、裁定确认及分配或受偿款项的领取等事宜有序进行：</w:t>
      </w:r>
    </w:p>
    <w:p w14:paraId="2E17BB3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一、债权申报表填写规则</w:t>
      </w:r>
    </w:p>
    <w:p w14:paraId="491B491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1、债权人姓名或名称：债权人为单位的，完整填写已经工商登记的最新名称；债权人为自然人的，按照公安机关制发的二代居民身份证登记的姓名准确填写。</w:t>
      </w:r>
    </w:p>
    <w:p w14:paraId="67A8CC9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2、身份证或组织机构代码：身份证号码按照公安机关制发的二代居民身份证显示号码如实填写；组织机构代码证，按照证件代码填写，已换发三证合一营业执照的，提供该营业执照即可。</w:t>
      </w:r>
    </w:p>
    <w:p w14:paraId="38AD020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3、申报时间：</w:t>
      </w:r>
      <w:r>
        <w:rPr>
          <w:rFonts w:hint="eastAsia" w:ascii="仿宋" w:hAnsi="仿宋" w:eastAsia="仿宋" w:cs="仿宋"/>
          <w:color w:val="333333"/>
          <w:kern w:val="0"/>
          <w:sz w:val="28"/>
          <w:szCs w:val="28"/>
          <w:lang w:eastAsia="zh-CN"/>
        </w:rPr>
        <w:t>以</w:t>
      </w:r>
      <w:r>
        <w:rPr>
          <w:rFonts w:hint="eastAsia" w:ascii="仿宋" w:hAnsi="仿宋" w:eastAsia="仿宋" w:cs="仿宋"/>
          <w:color w:val="333333"/>
          <w:kern w:val="0"/>
          <w:sz w:val="28"/>
          <w:szCs w:val="28"/>
        </w:rPr>
        <w:t>正式向管理人提交债权申报手续的日期为准。</w:t>
      </w:r>
    </w:p>
    <w:p w14:paraId="3A26F2C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4、申报联系人：填写债权人本人或经书面授权的代理人姓名。</w:t>
      </w:r>
    </w:p>
    <w:p w14:paraId="2B528EE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5、联系电话：填写申报联系人电话，提供本人手机号码及固定电话号码。</w:t>
      </w:r>
    </w:p>
    <w:p w14:paraId="654F6CD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6、债权人确认送达法律文书的地址：债权人或代理人的收件地址、邮编和收件人姓名应准确完整，收件地址应当为收件人的办事机构所在地或经常居住地地址，以免因不能及时接收人民法院或管理人寄送的法律文书而产生不利后果。</w:t>
      </w:r>
    </w:p>
    <w:p w14:paraId="0C03122B">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7、开户银行及账号：应当填写债权人有效的银行账户信息，填写代理人或第三人的银行账户信息并向管理人提交债权人书面委托收款手续的，自受偿或分配款项到达该账户之日起，视为债权人已经受领前述款项。债权人以未收到前述款项为由向管理人申报债权的，管理人不予受理。</w:t>
      </w:r>
    </w:p>
    <w:p w14:paraId="3C1C87D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8、申报金额、本金债权、利息债权及债权发生时间：申报金额栏应填写申报债权的本息合计总额；本金债权有司法机关或公证机构的生效司法裁判文书（包括生效的调解书）或公证文书的，以该文书确认的本金填写，无裁判或公证文书的，依双方的合同或协议约定的本金数额，结合财务对账结果如实填写；利息债权，计算至破产申请受理时，有司法机关或公证机构的生效司法裁判文书（包括生效的调解书）或公证文书的，以该文书确认的本金填写；无裁判或公证文书的，有合同的，依照双方所签合同约定的利息支付标准，根据法律规定的利息保护幅度，结合财务对账结果如实填写，</w:t>
      </w:r>
      <w:r>
        <w:rPr>
          <w:rFonts w:hint="eastAsia" w:ascii="仿宋" w:hAnsi="仿宋" w:eastAsia="仿宋" w:cs="仿宋"/>
          <w:b w:val="0"/>
          <w:bCs w:val="0"/>
          <w:color w:val="333333"/>
          <w:kern w:val="0"/>
          <w:sz w:val="28"/>
          <w:szCs w:val="28"/>
        </w:rPr>
        <w:t>并附利息计算清单；</w:t>
      </w:r>
      <w:r>
        <w:rPr>
          <w:rFonts w:hint="eastAsia" w:ascii="仿宋" w:hAnsi="仿宋" w:eastAsia="仿宋" w:cs="仿宋"/>
          <w:color w:val="333333"/>
          <w:kern w:val="0"/>
          <w:sz w:val="28"/>
          <w:szCs w:val="28"/>
        </w:rPr>
        <w:t>债权发生时间，以债权债务关系实际发生时间填写。上述事项均应如实填写，未填写的，视为自行放弃申报权利。</w:t>
      </w:r>
    </w:p>
    <w:p w14:paraId="22B4F6D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rPr>
        <w:t>9、财产担保情况、担保标的、担保物价值与担保发生时间：无财产担保的，直接填写“无”；有财产担保的，</w:t>
      </w:r>
      <w:r>
        <w:rPr>
          <w:rFonts w:hint="eastAsia" w:ascii="仿宋" w:hAnsi="仿宋" w:eastAsia="仿宋" w:cs="仿宋"/>
          <w:color w:val="333333"/>
          <w:kern w:val="0"/>
          <w:sz w:val="28"/>
          <w:szCs w:val="28"/>
          <w:highlight w:val="none"/>
          <w:lang w:val="en-US" w:eastAsia="zh-CN"/>
        </w:rPr>
        <w:t>债权人在债权申报表中应明确下列信息，以便于管理人对债权的担保情况进行审核：</w:t>
      </w:r>
    </w:p>
    <w:p w14:paraId="5FCBBE88">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（1）担保标的；</w:t>
      </w:r>
    </w:p>
    <w:p w14:paraId="463C87C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lang w:val="en-US" w:eastAsia="zh-CN"/>
        </w:rPr>
        <w:t>（2）担保物价值（如有）；</w:t>
      </w:r>
    </w:p>
    <w:p w14:paraId="2194A1E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（3）担保债权发生时间；</w:t>
      </w:r>
    </w:p>
    <w:p w14:paraId="3AD1525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（4）</w:t>
      </w:r>
      <w:r>
        <w:rPr>
          <w:rFonts w:hint="eastAsia" w:ascii="仿宋" w:hAnsi="仿宋" w:eastAsia="仿宋" w:cs="仿宋"/>
          <w:color w:val="333333"/>
          <w:kern w:val="0"/>
          <w:sz w:val="28"/>
          <w:szCs w:val="28"/>
          <w:highlight w:val="none"/>
          <w:lang w:val="en-US" w:eastAsia="zh-CN"/>
        </w:rPr>
        <w:t>担</w:t>
      </w:r>
      <w:r>
        <w:rPr>
          <w:rFonts w:hint="default" w:ascii="仿宋" w:hAnsi="仿宋" w:eastAsia="仿宋" w:cs="仿宋"/>
          <w:color w:val="333333"/>
          <w:kern w:val="0"/>
          <w:sz w:val="28"/>
          <w:szCs w:val="28"/>
          <w:highlight w:val="none"/>
          <w:lang w:val="en-US" w:eastAsia="zh-CN"/>
        </w:rPr>
        <w:t>保种类，即物的担保还是保证担保。物的担保是抵押、质押还是留置；保证担保则是一般保证还是连带保证等；</w:t>
      </w:r>
    </w:p>
    <w:p w14:paraId="6708F6FC">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（5）担保人的名称；</w:t>
      </w:r>
    </w:p>
    <w:p w14:paraId="6FBB605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（6）担保的范围；</w:t>
      </w:r>
    </w:p>
    <w:p w14:paraId="0524A03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（7）担保的起止时间；</w:t>
      </w:r>
    </w:p>
    <w:p w14:paraId="59F7925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333333"/>
          <w:kern w:val="0"/>
          <w:sz w:val="28"/>
          <w:szCs w:val="28"/>
          <w:highlight w:val="none"/>
          <w:lang w:val="en-US" w:eastAsia="zh-CN"/>
        </w:rPr>
      </w:pPr>
      <w:r>
        <w:rPr>
          <w:rFonts w:hint="default" w:ascii="仿宋" w:hAnsi="仿宋" w:eastAsia="仿宋" w:cs="仿宋"/>
          <w:color w:val="333333"/>
          <w:kern w:val="0"/>
          <w:sz w:val="28"/>
          <w:szCs w:val="28"/>
          <w:highlight w:val="none"/>
          <w:lang w:val="en-US" w:eastAsia="zh-CN"/>
        </w:rPr>
        <w:t>（8）担保的条件；</w:t>
      </w:r>
    </w:p>
    <w:p w14:paraId="5A50AD8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default" w:ascii="仿宋" w:hAnsi="仿宋" w:eastAsia="仿宋" w:cs="仿宋"/>
          <w:color w:val="333333"/>
          <w:kern w:val="0"/>
          <w:sz w:val="28"/>
          <w:szCs w:val="28"/>
          <w:highlight w:val="none"/>
          <w:lang w:val="en-US" w:eastAsia="zh-CN"/>
        </w:rPr>
        <w:t>（9）是否存在反担保等。</w:t>
      </w:r>
    </w:p>
    <w:p w14:paraId="432248C2">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10、基本事实及相关证据材料</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简要写明债权债务关系发生过程，并完整提交相应的证据材料，有特殊事项的，应当附书面情况说明。</w:t>
      </w:r>
    </w:p>
    <w:p w14:paraId="44053FE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11、备注</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根据自身债权实际情况，按需填写。</w:t>
      </w:r>
    </w:p>
    <w:p w14:paraId="1D203606">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12、债权人盖章：债权人为单位或其他组织，应当加盖单位或组织公章；债权人为自然人的应当签字并摁手印。</w:t>
      </w:r>
    </w:p>
    <w:p w14:paraId="1463F67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13、提交人签字：债权人本人申报债权的，应当填写申报人姓名，并签字摁印确认；若为代理人申报债权，应填写代理人姓名，并签字摁印确认。</w:t>
      </w:r>
    </w:p>
    <w:p w14:paraId="6B66872A">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二、注意事项</w:t>
      </w:r>
    </w:p>
    <w:p w14:paraId="0662EF8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1、债权申报表的空格部分均应如实填写（备注除外），字迹工整、清晰可见且容易辨认，不得涂改，否则债权人可能承担因此而产生的债权登记、审核、核查或裁定确认错误等不利后果。</w:t>
      </w:r>
    </w:p>
    <w:p w14:paraId="66DB4827">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填妥本表内容后，单位债权人应将本表连同支持所申报债权的全部证据材料、法定代表人身份证明书、授权委托书（特别授权）、三证合一营业执照（未换发新照的，提交营业执照与组织机构代码证）复印件、申报联系人身份证复印件一并提交管理人；自然人债权人应将本表连同支持所申报债权的全部证据材料、本人身份证复印件、申报联系人身份证复印件、授权委托书等一并提交管理人。</w:t>
      </w:r>
    </w:p>
    <w:p w14:paraId="3B4868F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3、提交材料的纸张规格应为A4纸，复印件应当与原件核对一致，且内容清晰可辨，所有提交材料需</w:t>
      </w:r>
      <w:r>
        <w:rPr>
          <w:rFonts w:hint="eastAsia" w:ascii="仿宋" w:hAnsi="仿宋" w:eastAsia="仿宋" w:cs="仿宋"/>
          <w:color w:val="000000"/>
          <w:kern w:val="0"/>
          <w:sz w:val="28"/>
          <w:szCs w:val="28"/>
        </w:rPr>
        <w:t>法定代表人或负责人签字并加盖骑缝章。自然人债权人提交材料需签字摁手印。</w:t>
      </w:r>
    </w:p>
    <w:p w14:paraId="36CC469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4、本表中填写的寄件地址及银行账户信息等，应当保证使用功能正常、有效，否则，债权人自行承担邮件寄送不能及受偿或分配款项无法支付到位的全部后果。</w:t>
      </w:r>
    </w:p>
    <w:p w14:paraId="3754D0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5、</w:t>
      </w:r>
      <w:r>
        <w:rPr>
          <w:rFonts w:hint="eastAsia" w:ascii="仿宋" w:hAnsi="仿宋" w:eastAsia="仿宋" w:cs="仿宋"/>
          <w:b w:val="0"/>
          <w:bCs/>
          <w:sz w:val="28"/>
          <w:szCs w:val="28"/>
        </w:rPr>
        <w:t>债权申报接收文件清单</w:t>
      </w:r>
      <w:r>
        <w:rPr>
          <w:rFonts w:hint="eastAsia" w:ascii="仿宋" w:hAnsi="仿宋" w:eastAsia="仿宋" w:cs="仿宋"/>
          <w:color w:val="333333"/>
          <w:kern w:val="0"/>
          <w:sz w:val="28"/>
          <w:szCs w:val="28"/>
        </w:rPr>
        <w:t>兼具债权申报通知回执证明作用。</w:t>
      </w:r>
    </w:p>
    <w:p w14:paraId="29C1A11F">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三、法律后果</w:t>
      </w:r>
    </w:p>
    <w:p w14:paraId="5184CCA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1、禁止任何形式的重复申报或虚假、虚构债权，否则，申报人将承担由此而产生的民事赔偿及其他全部法律责任；</w:t>
      </w:r>
    </w:p>
    <w:p w14:paraId="40B6BDC5">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债权人与债权人，债权人与债务人相互串通虚构、重复申报债权或扰乱债权申报秩序的，除应承担相应的法律责任外，对其申报的债权按无效债权处置。给管理人或他人造成损失的，责任人承诺无条件承担全部损失；</w:t>
      </w:r>
    </w:p>
    <w:p w14:paraId="60E36831">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3、根据《中华人民共和国企业破产法》及相关法律规定，其他违法处理事项及处理后果。            </w:t>
      </w:r>
    </w:p>
    <w:p w14:paraId="09F5EC1D">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 xml:space="preserve">        </w:t>
      </w:r>
    </w:p>
    <w:p w14:paraId="380B0A88">
      <w:pPr>
        <w:keepNext w:val="0"/>
        <w:keepLines w:val="0"/>
        <w:pageBreakBefore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cs="仿宋_GB2312"/>
          <w:sz w:val="28"/>
          <w:szCs w:val="28"/>
        </w:rPr>
      </w:pPr>
      <w:r>
        <w:rPr>
          <w:rFonts w:hint="eastAsia" w:ascii="仿宋" w:hAnsi="仿宋" w:eastAsia="仿宋" w:cs="仿宋_GB2312"/>
          <w:sz w:val="28"/>
          <w:szCs w:val="28"/>
          <w:lang w:val="en-US" w:eastAsia="zh-CN"/>
        </w:rPr>
        <w:t>禹州市东林装饰工程有限公司</w:t>
      </w:r>
      <w:r>
        <w:rPr>
          <w:rFonts w:hint="eastAsia" w:ascii="仿宋" w:hAnsi="仿宋" w:eastAsia="仿宋" w:cs="仿宋_GB2312"/>
          <w:sz w:val="28"/>
          <w:szCs w:val="28"/>
        </w:rPr>
        <w:t>管理人</w:t>
      </w:r>
    </w:p>
    <w:p w14:paraId="27EBCA50">
      <w:pPr>
        <w:keepNext w:val="0"/>
        <w:keepLines w:val="0"/>
        <w:pageBreakBefore w:val="0"/>
        <w:widowControl w:val="0"/>
        <w:kinsoku/>
        <w:wordWrap/>
        <w:overflowPunct/>
        <w:topLinePunct w:val="0"/>
        <w:autoSpaceDE/>
        <w:autoSpaceDN/>
        <w:bidi w:val="0"/>
        <w:adjustRightInd/>
        <w:snapToGrid/>
        <w:spacing w:line="560" w:lineRule="exact"/>
        <w:ind w:right="420" w:rightChars="200" w:firstLine="560" w:firstLineChars="200"/>
        <w:jc w:val="right"/>
        <w:textAlignment w:val="auto"/>
        <w:rPr>
          <w:rFonts w:ascii="仿宋" w:hAnsi="仿宋" w:eastAsia="仿宋" w:cs="仿宋_GB2312"/>
          <w:sz w:val="28"/>
          <w:szCs w:val="28"/>
        </w:rPr>
      </w:pPr>
      <w:r>
        <w:rPr>
          <w:rFonts w:hint="eastAsia" w:ascii="仿宋" w:hAnsi="仿宋" w:eastAsia="仿宋" w:cs="仿宋_GB2312"/>
          <w:sz w:val="28"/>
          <w:szCs w:val="28"/>
        </w:rPr>
        <w:t xml:space="preserve">                       二〇</w:t>
      </w:r>
      <w:r>
        <w:rPr>
          <w:rFonts w:hint="eastAsia" w:ascii="仿宋" w:hAnsi="仿宋" w:eastAsia="仿宋" w:cs="仿宋_GB2312"/>
          <w:sz w:val="28"/>
          <w:szCs w:val="28"/>
          <w:lang w:val="en-US" w:eastAsia="zh-CN"/>
        </w:rPr>
        <w:t>二四</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十一</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二十一</w:t>
      </w:r>
      <w:bookmarkStart w:id="0" w:name="_GoBack"/>
      <w:bookmarkEnd w:id="0"/>
      <w:r>
        <w:rPr>
          <w:rFonts w:hint="eastAsia" w:ascii="仿宋" w:hAnsi="仿宋" w:eastAsia="仿宋" w:cs="仿宋_GB2312"/>
          <w:sz w:val="28"/>
          <w:szCs w:val="28"/>
        </w:rPr>
        <w:t>日</w:t>
      </w:r>
    </w:p>
    <w:p w14:paraId="512B4336">
      <w:pPr>
        <w:spacing w:line="360" w:lineRule="auto"/>
        <w:ind w:firstLine="560" w:firstLineChars="200"/>
        <w:jc w:val="center"/>
        <w:rPr>
          <w:rFonts w:hint="eastAsia" w:ascii="仿宋" w:hAnsi="仿宋" w:eastAsia="仿宋" w:cs="仿宋"/>
          <w:sz w:val="28"/>
          <w:szCs w:val="28"/>
        </w:rPr>
      </w:pPr>
    </w:p>
    <w:p w14:paraId="5589E1C1">
      <w:pPr>
        <w:rPr>
          <w:rFonts w:hint="eastAsia" w:ascii="仿宋" w:hAnsi="仿宋" w:eastAsia="仿宋" w:cs="仿宋"/>
          <w:color w:val="333333"/>
          <w:kern w:val="0"/>
          <w:sz w:val="28"/>
          <w:szCs w:val="28"/>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4FA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E5EB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2E5EBD">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8A90">
    <w:pPr>
      <w:pStyle w:val="3"/>
      <w:pBdr>
        <w:bottom w:val="dashSmallGap" w:color="auto" w:sz="4" w:space="1"/>
      </w:pBdr>
      <w:jc w:val="both"/>
      <w:rPr>
        <w:color w:val="7E7E7E"/>
      </w:rPr>
    </w:pPr>
    <w:r>
      <w:rPr>
        <w:rFonts w:hint="eastAsia"/>
      </w:rPr>
      <w:drawing>
        <wp:inline distT="0" distB="0" distL="114300" distR="114300">
          <wp:extent cx="1080135" cy="217805"/>
          <wp:effectExtent l="0" t="0" r="1905" b="10795"/>
          <wp:docPr id="2" name="图片 3" descr="尤扬律师事务所  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尤扬律师事务所  标志"/>
                  <pic:cNvPicPr>
                    <a:picLocks noChangeAspect="1"/>
                  </pic:cNvPicPr>
                </pic:nvPicPr>
                <pic:blipFill>
                  <a:blip r:embed="rId1"/>
                  <a:stretch>
                    <a:fillRect/>
                  </a:stretch>
                </pic:blipFill>
                <pic:spPr>
                  <a:xfrm>
                    <a:off x="0" y="0"/>
                    <a:ext cx="1080135" cy="217805"/>
                  </a:xfrm>
                  <a:prstGeom prst="rect">
                    <a:avLst/>
                  </a:prstGeom>
                  <a:noFill/>
                  <a:ln>
                    <a:noFill/>
                  </a:ln>
                </pic:spPr>
              </pic:pic>
            </a:graphicData>
          </a:graphic>
        </wp:inline>
      </w:drawing>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color w:val="7F7F7F"/>
        <w:sz w:val="20"/>
        <w:szCs w:val="24"/>
        <w:lang w:val="en-US" w:eastAsia="zh-CN"/>
      </w:rPr>
      <w:t>禹州市东林装饰工程有限公司</w:t>
    </w:r>
    <w:r>
      <w:rPr>
        <w:rFonts w:hint="eastAsia"/>
        <w:color w:val="7F7F7F"/>
        <w:sz w:val="20"/>
        <w:szCs w:val="24"/>
      </w:rPr>
      <w:t>管理人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OWFjNjcyNGIxMDQ2ODViMzczZjc2ZmUzMzk0ODkifQ=="/>
  </w:docVars>
  <w:rsids>
    <w:rsidRoot w:val="00AB03BD"/>
    <w:rsid w:val="005541DE"/>
    <w:rsid w:val="007068E4"/>
    <w:rsid w:val="009D1621"/>
    <w:rsid w:val="00AB03BD"/>
    <w:rsid w:val="00C07469"/>
    <w:rsid w:val="03DD0C55"/>
    <w:rsid w:val="064F79CD"/>
    <w:rsid w:val="0717375D"/>
    <w:rsid w:val="07BD6940"/>
    <w:rsid w:val="09F47D86"/>
    <w:rsid w:val="0BEE42B4"/>
    <w:rsid w:val="0C603620"/>
    <w:rsid w:val="0E2120DC"/>
    <w:rsid w:val="0FB81855"/>
    <w:rsid w:val="10770CDC"/>
    <w:rsid w:val="11150714"/>
    <w:rsid w:val="13501347"/>
    <w:rsid w:val="13E16610"/>
    <w:rsid w:val="17231E1A"/>
    <w:rsid w:val="1D26542B"/>
    <w:rsid w:val="224A458F"/>
    <w:rsid w:val="24710CCD"/>
    <w:rsid w:val="26DE597B"/>
    <w:rsid w:val="288822B5"/>
    <w:rsid w:val="292E447D"/>
    <w:rsid w:val="2C36465A"/>
    <w:rsid w:val="2E2C723F"/>
    <w:rsid w:val="2E7428E4"/>
    <w:rsid w:val="2ED30F45"/>
    <w:rsid w:val="2F2611BB"/>
    <w:rsid w:val="2F302D5E"/>
    <w:rsid w:val="30742DF4"/>
    <w:rsid w:val="320B3304"/>
    <w:rsid w:val="32636B29"/>
    <w:rsid w:val="365437D6"/>
    <w:rsid w:val="3B111C96"/>
    <w:rsid w:val="3BA26D92"/>
    <w:rsid w:val="3C0E42F0"/>
    <w:rsid w:val="3E353EED"/>
    <w:rsid w:val="3E65501A"/>
    <w:rsid w:val="3EB744F5"/>
    <w:rsid w:val="422F5772"/>
    <w:rsid w:val="433C187A"/>
    <w:rsid w:val="434209E0"/>
    <w:rsid w:val="456A6B72"/>
    <w:rsid w:val="45DB5F79"/>
    <w:rsid w:val="4867383D"/>
    <w:rsid w:val="48C9599D"/>
    <w:rsid w:val="49DF11B1"/>
    <w:rsid w:val="4A314103"/>
    <w:rsid w:val="50362C3D"/>
    <w:rsid w:val="50C92DF9"/>
    <w:rsid w:val="5311601B"/>
    <w:rsid w:val="54A7248B"/>
    <w:rsid w:val="54D36A6A"/>
    <w:rsid w:val="56EB318F"/>
    <w:rsid w:val="58F033DB"/>
    <w:rsid w:val="5B5C08B4"/>
    <w:rsid w:val="5D7C3F83"/>
    <w:rsid w:val="5F8761F4"/>
    <w:rsid w:val="5F931193"/>
    <w:rsid w:val="603C377B"/>
    <w:rsid w:val="61B56F70"/>
    <w:rsid w:val="622E07E9"/>
    <w:rsid w:val="64EC56E6"/>
    <w:rsid w:val="69DF474C"/>
    <w:rsid w:val="6A0E00C5"/>
    <w:rsid w:val="6A5264C8"/>
    <w:rsid w:val="6C953C26"/>
    <w:rsid w:val="6F082E5B"/>
    <w:rsid w:val="700130C6"/>
    <w:rsid w:val="70381498"/>
    <w:rsid w:val="71B85F3A"/>
    <w:rsid w:val="7285473C"/>
    <w:rsid w:val="75DD2102"/>
    <w:rsid w:val="771D3A4A"/>
    <w:rsid w:val="78E007B6"/>
    <w:rsid w:val="7B022250"/>
    <w:rsid w:val="7DC53539"/>
    <w:rsid w:val="7DE133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_Style 5"/>
    <w:autoRedefine/>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2002</Words>
  <Characters>2007</Characters>
  <Lines>14</Lines>
  <Paragraphs>4</Paragraphs>
  <TotalTime>19</TotalTime>
  <ScaleCrop>false</ScaleCrop>
  <LinksUpToDate>false</LinksUpToDate>
  <CharactersWithSpaces>2019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2020-11-10T02:40:00Z</dcterms:created>
  <dc:creator>Administrator</dc:creator>
  <cp:lastModifiedBy>15710028739</cp:lastModifiedBy>
  <cp:lastPrinted>2024-04-17T13:49:00Z</cp:lastPrinted>
  <dcterms:modified xsi:type="dcterms:W3CDTF">2024-11-21T10:51:15Z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2583289588A9458F8E46DF8E8F60E73F_13</vt:lpwstr>
  </property>
</Properties>
</file>