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1420F2F">
      <w:pPr>
        <w:pStyle w:val="4"/>
        <w:keepNext w:val="0"/>
        <w:keepLines w:val="0"/>
        <w:widowControl/>
        <w:suppressLineNumbers w:val="0"/>
        <w:spacing w:line="360" w:lineRule="auto"/>
        <w:jc w:val="center"/>
        <w:rPr>
          <w:rStyle w:val="7"/>
          <w:rFonts w:hint="eastAsia" w:asciiTheme="minorEastAsia" w:hAnsiTheme="minorEastAsia" w:eastAsiaTheme="minorEastAsia" w:cstheme="minorEastAsia"/>
          <w:sz w:val="44"/>
          <w:szCs w:val="44"/>
          <w:lang w:val="en-US" w:eastAsia="zh-CN"/>
        </w:rPr>
      </w:pPr>
      <w:r>
        <w:rPr>
          <w:rStyle w:val="7"/>
          <w:rFonts w:hint="eastAsia" w:asciiTheme="minorEastAsia" w:hAnsiTheme="minorEastAsia" w:eastAsiaTheme="minorEastAsia" w:cstheme="minorEastAsia"/>
          <w:sz w:val="44"/>
          <w:szCs w:val="44"/>
          <w:lang w:val="en-US" w:eastAsia="zh-CN"/>
        </w:rPr>
        <w:t>四川省太成房地产开发有限公司</w:t>
      </w:r>
    </w:p>
    <w:p w14:paraId="279E4665">
      <w:pPr>
        <w:pStyle w:val="4"/>
        <w:keepNext w:val="0"/>
        <w:keepLines w:val="0"/>
        <w:widowControl/>
        <w:suppressLineNumbers w:val="0"/>
        <w:spacing w:line="360" w:lineRule="auto"/>
        <w:jc w:val="center"/>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t>和解协议（草案）</w:t>
      </w:r>
    </w:p>
    <w:p w14:paraId="6AF4E671">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一、</w:t>
      </w:r>
      <w:r>
        <w:rPr>
          <w:rStyle w:val="7"/>
          <w:rFonts w:hint="eastAsia" w:asciiTheme="minorEastAsia" w:hAnsiTheme="minorEastAsia" w:eastAsiaTheme="minorEastAsia" w:cstheme="minorEastAsia"/>
          <w:b/>
          <w:sz w:val="28"/>
          <w:szCs w:val="28"/>
          <w:lang w:val="en-US" w:eastAsia="zh-CN"/>
        </w:rPr>
        <w:t>四川省太成房地产开发有限公司</w:t>
      </w:r>
      <w:r>
        <w:rPr>
          <w:rStyle w:val="7"/>
          <w:rFonts w:hint="eastAsia" w:asciiTheme="minorEastAsia" w:hAnsiTheme="minorEastAsia" w:eastAsiaTheme="minorEastAsia" w:cstheme="minorEastAsia"/>
          <w:b/>
          <w:sz w:val="28"/>
          <w:szCs w:val="28"/>
        </w:rPr>
        <w:t>基本情况</w:t>
      </w:r>
    </w:p>
    <w:p w14:paraId="709CB5A1">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b w:val="0"/>
          <w:bCs/>
          <w:sz w:val="28"/>
          <w:szCs w:val="28"/>
        </w:rPr>
      </w:pPr>
      <w:r>
        <w:rPr>
          <w:rStyle w:val="7"/>
          <w:rFonts w:hint="eastAsia" w:asciiTheme="minorEastAsia" w:hAnsiTheme="minorEastAsia" w:eastAsiaTheme="minorEastAsia" w:cstheme="minorEastAsia"/>
          <w:b w:val="0"/>
          <w:bCs/>
          <w:sz w:val="28"/>
          <w:szCs w:val="28"/>
          <w:lang w:val="en-US" w:eastAsia="zh-CN"/>
        </w:rPr>
        <w:t>四川省太成房地产开发有限公司</w:t>
      </w:r>
      <w:r>
        <w:rPr>
          <w:rFonts w:hint="eastAsia" w:asciiTheme="minorEastAsia" w:hAnsiTheme="minorEastAsia" w:eastAsiaTheme="minorEastAsia" w:cstheme="minorEastAsia"/>
          <w:b w:val="0"/>
          <w:bCs/>
          <w:sz w:val="28"/>
          <w:szCs w:val="28"/>
        </w:rPr>
        <w:t>（以下简称</w:t>
      </w:r>
      <w:r>
        <w:rPr>
          <w:rFonts w:hint="eastAsia" w:asciiTheme="minorEastAsia" w:hAnsiTheme="minorEastAsia" w:eastAsiaTheme="minorEastAsia" w:cstheme="minorEastAsia"/>
          <w:b w:val="0"/>
          <w:bCs/>
          <w:sz w:val="28"/>
          <w:szCs w:val="28"/>
          <w:lang w:val="en-US" w:eastAsia="zh-CN"/>
        </w:rPr>
        <w:t>太成</w:t>
      </w:r>
      <w:r>
        <w:rPr>
          <w:rFonts w:hint="eastAsia" w:asciiTheme="minorEastAsia" w:hAnsiTheme="minorEastAsia" w:eastAsiaTheme="minorEastAsia" w:cstheme="minorEastAsia"/>
          <w:b w:val="0"/>
          <w:bCs/>
          <w:sz w:val="28"/>
          <w:szCs w:val="28"/>
        </w:rPr>
        <w:t>公司）成立于</w:t>
      </w:r>
      <w:r>
        <w:rPr>
          <w:rFonts w:hint="eastAsia" w:asciiTheme="minorEastAsia" w:hAnsiTheme="minorEastAsia" w:eastAsiaTheme="minorEastAsia" w:cstheme="minorEastAsia"/>
          <w:b w:val="0"/>
          <w:bCs/>
          <w:color w:val="000000"/>
          <w:sz w:val="28"/>
          <w:szCs w:val="28"/>
        </w:rPr>
        <w:t>2</w:t>
      </w:r>
      <w:r>
        <w:rPr>
          <w:rFonts w:hint="eastAsia" w:asciiTheme="minorEastAsia" w:hAnsiTheme="minorEastAsia" w:eastAsiaTheme="minorEastAsia" w:cstheme="minorEastAsia"/>
          <w:b w:val="0"/>
          <w:bCs/>
          <w:sz w:val="28"/>
          <w:szCs w:val="28"/>
        </w:rPr>
        <w:t>0</w:t>
      </w:r>
      <w:r>
        <w:rPr>
          <w:rFonts w:hint="eastAsia" w:asciiTheme="minorEastAsia" w:hAnsiTheme="minorEastAsia" w:eastAsiaTheme="minorEastAsia" w:cstheme="minorEastAsia"/>
          <w:b w:val="0"/>
          <w:bCs/>
          <w:sz w:val="28"/>
          <w:szCs w:val="28"/>
          <w:lang w:val="en-US" w:eastAsia="zh-CN"/>
        </w:rPr>
        <w:t>03</w:t>
      </w:r>
      <w:r>
        <w:rPr>
          <w:rFonts w:hint="eastAsia" w:asciiTheme="minorEastAsia" w:hAnsiTheme="minorEastAsia" w:eastAsiaTheme="minorEastAsia" w:cstheme="minorEastAsia"/>
          <w:b w:val="0"/>
          <w:bCs/>
          <w:sz w:val="28"/>
          <w:szCs w:val="28"/>
        </w:rPr>
        <w:t>年</w:t>
      </w:r>
      <w:r>
        <w:rPr>
          <w:rFonts w:hint="eastAsia" w:asciiTheme="minorEastAsia" w:hAnsiTheme="minorEastAsia" w:eastAsiaTheme="minorEastAsia" w:cstheme="minorEastAsia"/>
          <w:b w:val="0"/>
          <w:bCs/>
          <w:sz w:val="28"/>
          <w:szCs w:val="28"/>
          <w:lang w:val="en-US" w:eastAsia="zh-CN"/>
        </w:rPr>
        <w:t>11</w:t>
      </w:r>
      <w:r>
        <w:rPr>
          <w:rFonts w:hint="eastAsia" w:asciiTheme="minorEastAsia" w:hAnsiTheme="minorEastAsia" w:eastAsiaTheme="minorEastAsia" w:cstheme="minorEastAsia"/>
          <w:b w:val="0"/>
          <w:bCs/>
          <w:sz w:val="28"/>
          <w:szCs w:val="28"/>
        </w:rPr>
        <w:t>月</w:t>
      </w:r>
      <w:r>
        <w:rPr>
          <w:rFonts w:hint="eastAsia" w:asciiTheme="minorEastAsia" w:hAnsiTheme="minorEastAsia" w:eastAsiaTheme="minorEastAsia" w:cstheme="minorEastAsia"/>
          <w:b w:val="0"/>
          <w:bCs/>
          <w:sz w:val="28"/>
          <w:szCs w:val="28"/>
          <w:lang w:val="en-US" w:eastAsia="zh-CN"/>
        </w:rPr>
        <w:t>06</w:t>
      </w:r>
      <w:r>
        <w:rPr>
          <w:rFonts w:hint="eastAsia" w:asciiTheme="minorEastAsia" w:hAnsiTheme="minorEastAsia" w:eastAsiaTheme="minorEastAsia" w:cstheme="minorEastAsia"/>
          <w:b w:val="0"/>
          <w:bCs/>
          <w:sz w:val="28"/>
          <w:szCs w:val="28"/>
        </w:rPr>
        <w:t>日，企业类型为有限公司(自然人投资或控股)，工商登记注册资本人民币</w:t>
      </w:r>
      <w:r>
        <w:rPr>
          <w:rFonts w:hint="eastAsia" w:asciiTheme="minorEastAsia" w:hAnsiTheme="minorEastAsia" w:eastAsiaTheme="minorEastAsia" w:cstheme="minorEastAsia"/>
          <w:b w:val="0"/>
          <w:bCs/>
          <w:sz w:val="28"/>
          <w:szCs w:val="28"/>
          <w:lang w:val="en-US" w:eastAsia="zh-CN"/>
        </w:rPr>
        <w:t>2178</w:t>
      </w:r>
      <w:r>
        <w:rPr>
          <w:rFonts w:hint="eastAsia" w:asciiTheme="minorEastAsia" w:hAnsiTheme="minorEastAsia" w:eastAsiaTheme="minorEastAsia" w:cstheme="minorEastAsia"/>
          <w:b w:val="0"/>
          <w:bCs/>
          <w:sz w:val="28"/>
          <w:szCs w:val="28"/>
        </w:rPr>
        <w:t>万元整，经营范围为</w:t>
      </w:r>
      <w:r>
        <w:rPr>
          <w:rFonts w:hint="eastAsia" w:asciiTheme="minorEastAsia" w:hAnsiTheme="minorEastAsia" w:eastAsiaTheme="minorEastAsia" w:cstheme="minorEastAsia"/>
          <w:b w:val="0"/>
          <w:bCs/>
          <w:i w:val="0"/>
          <w:iCs w:val="0"/>
          <w:caps w:val="0"/>
          <w:color w:val="auto"/>
          <w:spacing w:val="0"/>
          <w:sz w:val="28"/>
          <w:szCs w:val="28"/>
          <w:shd w:val="clear" w:fill="FFFFFF"/>
        </w:rPr>
        <w:t>房地产开发、销售；建筑材料、建筑装饰材料、建筑辅助材料销售。</w:t>
      </w:r>
    </w:p>
    <w:p w14:paraId="307F1381">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lang w:val="en-US" w:eastAsia="zh-CN"/>
        </w:rPr>
        <w:t>二</w:t>
      </w:r>
      <w:r>
        <w:rPr>
          <w:rStyle w:val="7"/>
          <w:rFonts w:hint="eastAsia" w:asciiTheme="minorEastAsia" w:hAnsiTheme="minorEastAsia" w:eastAsiaTheme="minorEastAsia" w:cstheme="minorEastAsia"/>
          <w:b/>
          <w:sz w:val="28"/>
          <w:szCs w:val="28"/>
        </w:rPr>
        <w:t>、和解经营方案</w:t>
      </w:r>
    </w:p>
    <w:p w14:paraId="64780510">
      <w:pPr>
        <w:pStyle w:val="4"/>
        <w:keepNext w:val="0"/>
        <w:keepLines w:val="0"/>
        <w:widowControl/>
        <w:suppressLineNumbers w:val="0"/>
        <w:spacing w:line="360" w:lineRule="auto"/>
        <w:ind w:left="0" w:firstLine="600"/>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1、将</w:t>
      </w:r>
      <w:r>
        <w:rPr>
          <w:rFonts w:hint="eastAsia" w:asciiTheme="minorEastAsia" w:hAnsiTheme="minorEastAsia" w:cstheme="minorEastAsia"/>
          <w:sz w:val="28"/>
          <w:szCs w:val="28"/>
          <w:lang w:val="en-US" w:eastAsia="zh-CN"/>
        </w:rPr>
        <w:t>太成公司丝绸花园二期</w:t>
      </w:r>
      <w:bookmarkStart w:id="0" w:name="_GoBack"/>
      <w:bookmarkEnd w:id="0"/>
      <w:r>
        <w:rPr>
          <w:rFonts w:hint="eastAsia" w:asciiTheme="minorEastAsia" w:hAnsiTheme="minorEastAsia" w:cstheme="minorEastAsia"/>
          <w:sz w:val="28"/>
          <w:szCs w:val="28"/>
          <w:lang w:val="en-US" w:eastAsia="zh-CN"/>
        </w:rPr>
        <w:t>项目由投资人时代润生（四川）实业发展有限公司投资开发，开发利润新增资产3200万元全部用于清偿债务（见附件：投资合作框架协议书）。时代润生（四川）实业发展有限公司属于</w:t>
      </w:r>
      <w:r>
        <w:rPr>
          <w:rFonts w:hint="eastAsia" w:asciiTheme="minorEastAsia" w:hAnsiTheme="minorEastAsia" w:eastAsiaTheme="minorEastAsia" w:cstheme="minorEastAsia"/>
          <w:i w:val="0"/>
          <w:iCs w:val="0"/>
          <w:caps w:val="0"/>
          <w:color w:val="000000"/>
          <w:spacing w:val="0"/>
          <w:sz w:val="28"/>
          <w:szCs w:val="28"/>
          <w:shd w:val="clear" w:fill="FFFFFF"/>
        </w:rPr>
        <w:t>成立于2018年10月17日，注册地位于中国（四川）自由贸易试验区成都高新区</w:t>
      </w:r>
      <w:r>
        <w:rPr>
          <w:rFonts w:hint="eastAsia" w:asciiTheme="minorEastAsia" w:hAnsiTheme="minorEastAsia" w:cstheme="minorEastAsia"/>
          <w:i w:val="0"/>
          <w:iCs w:val="0"/>
          <w:caps w:val="0"/>
          <w:color w:val="000000"/>
          <w:spacing w:val="0"/>
          <w:sz w:val="28"/>
          <w:szCs w:val="28"/>
          <w:shd w:val="clear" w:fill="FFFFFF"/>
          <w:lang w:eastAsia="zh-CN"/>
        </w:rPr>
        <w:t>。</w:t>
      </w:r>
      <w:r>
        <w:rPr>
          <w:rFonts w:hint="eastAsia" w:asciiTheme="minorEastAsia" w:hAnsiTheme="minorEastAsia" w:cstheme="minorEastAsia"/>
          <w:i w:val="0"/>
          <w:iCs w:val="0"/>
          <w:caps w:val="0"/>
          <w:color w:val="000000"/>
          <w:spacing w:val="0"/>
          <w:sz w:val="28"/>
          <w:szCs w:val="28"/>
          <w:shd w:val="clear" w:fill="FFFFFF"/>
          <w:lang w:val="en-US" w:eastAsia="zh-CN"/>
        </w:rPr>
        <w:t>属国有企业，实力雄厚，主要从事国际国内贸易、房地产开发、建筑施工等。</w:t>
      </w:r>
    </w:p>
    <w:p w14:paraId="75FBDF67">
      <w:pPr>
        <w:pStyle w:val="4"/>
        <w:keepNext w:val="0"/>
        <w:keepLines w:val="0"/>
        <w:widowControl/>
        <w:suppressLineNumbers w:val="0"/>
        <w:spacing w:line="360" w:lineRule="auto"/>
        <w:ind w:firstLine="560" w:firstLineChars="200"/>
        <w:rPr>
          <w:rFonts w:hint="default" w:asciiTheme="minorEastAsia" w:hAnsiTheme="minorEastAsia" w:cstheme="minorEastAsia"/>
          <w:sz w:val="28"/>
          <w:szCs w:val="28"/>
          <w:lang w:val="en-US" w:eastAsia="zh-CN"/>
        </w:rPr>
      </w:pPr>
      <w:r>
        <w:rPr>
          <w:rFonts w:hint="eastAsia" w:asciiTheme="minorEastAsia" w:hAnsiTheme="minorEastAsia" w:eastAsiaTheme="minorEastAsia" w:cstheme="minorEastAsia"/>
          <w:sz w:val="28"/>
          <w:szCs w:val="28"/>
        </w:rPr>
        <w:t>2、将</w:t>
      </w:r>
      <w:r>
        <w:rPr>
          <w:rFonts w:hint="eastAsia" w:asciiTheme="minorEastAsia" w:hAnsiTheme="minorEastAsia" w:cstheme="minorEastAsia"/>
          <w:sz w:val="28"/>
          <w:szCs w:val="28"/>
          <w:lang w:val="en-US" w:eastAsia="zh-CN"/>
        </w:rPr>
        <w:t>五城国际项目盘活经营，经营产生的利润也全部用于清偿债务。现已印象奥莱（上海）实业有限公司商谈盘活经营方案，相较于清算拍卖新增资产约4500万元。</w:t>
      </w:r>
    </w:p>
    <w:p w14:paraId="04CC5D2A">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lang w:val="en-US" w:eastAsia="zh-CN"/>
        </w:rPr>
        <w:t>三</w:t>
      </w:r>
      <w:r>
        <w:rPr>
          <w:rStyle w:val="7"/>
          <w:rFonts w:hint="eastAsia" w:asciiTheme="minorEastAsia" w:hAnsiTheme="minorEastAsia" w:eastAsiaTheme="minorEastAsia" w:cstheme="minorEastAsia"/>
          <w:b/>
          <w:sz w:val="28"/>
          <w:szCs w:val="28"/>
        </w:rPr>
        <w:t>、和解情况下债权调整方案</w:t>
      </w:r>
    </w:p>
    <w:p w14:paraId="0BF56C12">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（一）有财产担保债权</w:t>
      </w:r>
    </w:p>
    <w:p w14:paraId="4EF11002">
      <w:pPr>
        <w:pStyle w:val="4"/>
        <w:keepNext w:val="0"/>
        <w:keepLines w:val="0"/>
        <w:widowControl/>
        <w:suppressLineNumbers w:val="0"/>
        <w:pBdr>
          <w:top w:val="none" w:color="auto" w:sz="0" w:space="0"/>
          <w:left w:val="none" w:color="auto" w:sz="0" w:space="0"/>
          <w:bottom w:val="single" w:color="FFFFFF" w:sz="6" w:space="6"/>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有财产担保的债权</w:t>
      </w:r>
      <w:r>
        <w:rPr>
          <w:rFonts w:hint="eastAsia" w:asciiTheme="minorEastAsia" w:hAnsiTheme="minorEastAsia" w:cstheme="minorEastAsia"/>
          <w:sz w:val="28"/>
          <w:szCs w:val="28"/>
          <w:lang w:val="en-US" w:eastAsia="zh-CN"/>
        </w:rPr>
        <w:t>由债务人和债权人协商处理。并</w:t>
      </w:r>
      <w:r>
        <w:rPr>
          <w:rFonts w:hint="eastAsia" w:asciiTheme="minorEastAsia" w:hAnsiTheme="minorEastAsia" w:eastAsiaTheme="minorEastAsia" w:cstheme="minorEastAsia"/>
          <w:sz w:val="28"/>
          <w:szCs w:val="28"/>
        </w:rPr>
        <w:t>按照有关法律规定清偿。</w:t>
      </w:r>
    </w:p>
    <w:p w14:paraId="0B6D5535">
      <w:pPr>
        <w:pStyle w:val="4"/>
        <w:keepNext w:val="0"/>
        <w:keepLines w:val="0"/>
        <w:widowControl/>
        <w:suppressLineNumbers w:val="0"/>
        <w:pBdr>
          <w:top w:val="none" w:color="auto" w:sz="0" w:space="0"/>
          <w:left w:val="none" w:color="auto" w:sz="0" w:space="0"/>
          <w:bottom w:val="single" w:color="FFFFFF" w:sz="6" w:space="6"/>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公司的特定财产享有担保权的债权，对特定财产享有优先受偿的权利，行使优先受偿权后未能受偿的部分作为普通债权，按照普通债权调整方案清偿。放弃优先受偿权的，其债权作为普通债权。</w:t>
      </w:r>
    </w:p>
    <w:p w14:paraId="33A9C049">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（二）职工债权、税收债权</w:t>
      </w:r>
    </w:p>
    <w:p w14:paraId="40C5C1F9">
      <w:pPr>
        <w:pStyle w:val="4"/>
        <w:keepNext w:val="0"/>
        <w:keepLines w:val="0"/>
        <w:widowControl/>
        <w:suppressLineNumbers w:val="0"/>
        <w:pBdr>
          <w:top w:val="none" w:color="auto" w:sz="0" w:space="0"/>
          <w:left w:val="none" w:color="auto" w:sz="0" w:space="0"/>
          <w:bottom w:val="single" w:color="FFFFFF" w:sz="6" w:space="6"/>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职工债权不予调整，按照有关法律规定优先全额清偿。</w:t>
      </w:r>
    </w:p>
    <w:p w14:paraId="54BFD245">
      <w:pPr>
        <w:pStyle w:val="4"/>
        <w:keepNext w:val="0"/>
        <w:keepLines w:val="0"/>
        <w:widowControl/>
        <w:suppressLineNumbers w:val="0"/>
        <w:pBdr>
          <w:top w:val="none" w:color="auto" w:sz="0" w:space="0"/>
          <w:left w:val="none" w:color="auto" w:sz="0" w:space="0"/>
          <w:bottom w:val="single" w:color="FFFFFF" w:sz="6" w:space="6"/>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对税收债权的按照法律、法规规定优先全额清偿。税收债权滞纳金部分转入普通债权，按照普通债权调整方案清偿。</w:t>
      </w:r>
    </w:p>
    <w:p w14:paraId="72391F7D">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（三）普通债权</w:t>
      </w:r>
    </w:p>
    <w:p w14:paraId="743E49FF">
      <w:pPr>
        <w:pStyle w:val="4"/>
        <w:keepNext w:val="0"/>
        <w:keepLines w:val="0"/>
        <w:widowControl/>
        <w:suppressLineNumbers w:val="0"/>
        <w:pBdr>
          <w:top w:val="none" w:color="auto" w:sz="0" w:space="0"/>
          <w:left w:val="none" w:color="auto" w:sz="0" w:space="0"/>
          <w:bottom w:val="single" w:color="FFFFFF" w:sz="6" w:space="6"/>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对普通债权，按和解协议</w:t>
      </w:r>
      <w:r>
        <w:rPr>
          <w:rFonts w:hint="eastAsia" w:asciiTheme="minorEastAsia" w:hAnsiTheme="minorEastAsia" w:cstheme="minorEastAsia"/>
          <w:sz w:val="28"/>
          <w:szCs w:val="28"/>
          <w:lang w:val="en-US" w:eastAsia="zh-CN"/>
        </w:rPr>
        <w:t>第四页予以调整并清偿。</w:t>
      </w:r>
    </w:p>
    <w:p w14:paraId="048B64DC">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（四）诉讼未决债权</w:t>
      </w:r>
    </w:p>
    <w:p w14:paraId="4C0BD451">
      <w:pPr>
        <w:pStyle w:val="4"/>
        <w:keepNext w:val="0"/>
        <w:keepLines w:val="0"/>
        <w:widowControl/>
        <w:suppressLineNumbers w:val="0"/>
        <w:pBdr>
          <w:top w:val="none" w:color="auto" w:sz="0" w:space="0"/>
          <w:left w:val="none" w:color="auto" w:sz="0" w:space="0"/>
          <w:bottom w:val="single" w:color="FFFFFF" w:sz="6" w:space="6"/>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对诉讼未决债权的本金部分按照诉讼性质为债权人保留相应的偿债资金，待人民法院判决、裁定生效后依据生效判决、裁定对该类债权金额确定后按和解协议的清偿方案向该类债权人进行清偿。</w:t>
      </w:r>
    </w:p>
    <w:p w14:paraId="4D6F109F">
      <w:pPr>
        <w:pStyle w:val="4"/>
        <w:keepNext w:val="0"/>
        <w:keepLines w:val="0"/>
        <w:widowControl/>
        <w:suppressLineNumbers w:val="0"/>
        <w:pBdr>
          <w:top w:val="none" w:color="auto" w:sz="0" w:space="0"/>
          <w:left w:val="none" w:color="auto" w:sz="0" w:space="0"/>
          <w:bottom w:val="single" w:color="FFFFFF" w:sz="6" w:space="6"/>
          <w:right w:val="none" w:color="auto" w:sz="0" w:space="0"/>
        </w:pBdr>
        <w:spacing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t>（五）待确认/不确认债权</w:t>
      </w:r>
    </w:p>
    <w:p w14:paraId="061CE3B0">
      <w:pPr>
        <w:pStyle w:val="4"/>
        <w:keepNext w:val="0"/>
        <w:keepLines w:val="0"/>
        <w:widowControl/>
        <w:suppressLineNumbers w:val="0"/>
        <w:pBdr>
          <w:top w:val="none" w:color="auto" w:sz="0" w:space="0"/>
          <w:left w:val="none" w:color="auto" w:sz="0" w:space="0"/>
          <w:bottom w:val="single" w:color="FFFFFF" w:sz="6" w:space="6"/>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对于因证据不足或证据形式不合法，暂时未认定（不能确认到</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公司的）债权在本次方案通过后由相关主体另行协商。</w:t>
      </w:r>
    </w:p>
    <w:p w14:paraId="4DE48A7C">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（六）破产费用</w:t>
      </w:r>
    </w:p>
    <w:p w14:paraId="0978D159">
      <w:pPr>
        <w:pStyle w:val="4"/>
        <w:keepNext w:val="0"/>
        <w:keepLines w:val="0"/>
        <w:widowControl/>
        <w:suppressLineNumbers w:val="0"/>
        <w:pBdr>
          <w:top w:val="none" w:color="auto" w:sz="0" w:space="0"/>
          <w:left w:val="none" w:color="auto" w:sz="0" w:space="0"/>
          <w:bottom w:val="single" w:color="FFFFFF" w:sz="6" w:space="2"/>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破产费用在破产和解方案通过后优先支付。</w:t>
      </w:r>
    </w:p>
    <w:p w14:paraId="6C4BE7DE">
      <w:pPr>
        <w:pStyle w:val="4"/>
        <w:keepNext w:val="0"/>
        <w:keepLines w:val="0"/>
        <w:widowControl/>
        <w:suppressLineNumbers w:val="0"/>
        <w:pBdr>
          <w:top w:val="none" w:color="auto" w:sz="0" w:space="0"/>
          <w:left w:val="none" w:color="auto" w:sz="0" w:space="0"/>
          <w:bottom w:val="single" w:color="FFFFFF" w:sz="6" w:space="2"/>
          <w:right w:val="none" w:color="auto" w:sz="0" w:space="0"/>
        </w:pBdr>
        <w:spacing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t>（七）管理人报酬</w:t>
      </w:r>
    </w:p>
    <w:p w14:paraId="4A6D7195">
      <w:pPr>
        <w:pStyle w:val="4"/>
        <w:keepNext w:val="0"/>
        <w:keepLines w:val="0"/>
        <w:widowControl/>
        <w:suppressLineNumbers w:val="0"/>
        <w:ind w:left="0" w:firstLine="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  管理人报酬在破产和解方案通过后优先支付</w:t>
      </w:r>
      <w:r>
        <w:rPr>
          <w:rFonts w:hint="eastAsia" w:asciiTheme="minorEastAsia" w:hAnsiTheme="minorEastAsia" w:cstheme="minorEastAsia"/>
          <w:sz w:val="28"/>
          <w:szCs w:val="28"/>
          <w:lang w:eastAsia="zh-CN"/>
        </w:rPr>
        <w:t>。</w:t>
      </w:r>
    </w:p>
    <w:p w14:paraId="12712C80">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lang w:val="en-US" w:eastAsia="zh-CN"/>
        </w:rPr>
        <w:t>四</w:t>
      </w:r>
      <w:r>
        <w:rPr>
          <w:rStyle w:val="7"/>
          <w:rFonts w:hint="eastAsia" w:asciiTheme="minorEastAsia" w:hAnsiTheme="minorEastAsia" w:eastAsiaTheme="minorEastAsia" w:cstheme="minorEastAsia"/>
          <w:b/>
          <w:sz w:val="28"/>
          <w:szCs w:val="28"/>
        </w:rPr>
        <w:t>、债权清偿方案</w:t>
      </w:r>
    </w:p>
    <w:p w14:paraId="04B8A486">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（一）有财产担保类债权</w:t>
      </w:r>
    </w:p>
    <w:p w14:paraId="2A9CE965">
      <w:pPr>
        <w:pStyle w:val="4"/>
        <w:keepNext w:val="0"/>
        <w:keepLines w:val="0"/>
        <w:widowControl/>
        <w:suppressLineNumbers w:val="0"/>
        <w:pBdr>
          <w:top w:val="none" w:color="auto" w:sz="0" w:space="0"/>
          <w:left w:val="none" w:color="auto" w:sz="0" w:space="0"/>
          <w:bottom w:val="single" w:color="FFFFFF" w:sz="6" w:space="2"/>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w:t>
      </w:r>
      <w:r>
        <w:rPr>
          <w:rFonts w:hint="eastAsia" w:asciiTheme="minorEastAsia" w:hAnsiTheme="minorEastAsia" w:cstheme="minorEastAsia"/>
          <w:sz w:val="28"/>
          <w:szCs w:val="28"/>
          <w:lang w:val="en-US" w:eastAsia="zh-CN"/>
        </w:rPr>
        <w:t>太成公司</w:t>
      </w:r>
      <w:r>
        <w:rPr>
          <w:rFonts w:hint="eastAsia" w:asciiTheme="minorEastAsia" w:hAnsiTheme="minorEastAsia" w:eastAsiaTheme="minorEastAsia" w:cstheme="minorEastAsia"/>
          <w:sz w:val="28"/>
          <w:szCs w:val="28"/>
        </w:rPr>
        <w:t>的特定财产享有担保权的债权人非和解债权人，自人民法院裁定和解之日起</w:t>
      </w:r>
      <w:r>
        <w:rPr>
          <w:rFonts w:hint="eastAsia" w:asciiTheme="minorEastAsia" w:hAnsiTheme="minorEastAsia" w:cstheme="minorEastAsia"/>
          <w:sz w:val="28"/>
          <w:szCs w:val="28"/>
          <w:lang w:val="en-US" w:eastAsia="zh-CN"/>
        </w:rPr>
        <w:t>三十六</w:t>
      </w:r>
      <w:r>
        <w:rPr>
          <w:rFonts w:hint="eastAsia" w:asciiTheme="minorEastAsia" w:hAnsiTheme="minorEastAsia" w:eastAsiaTheme="minorEastAsia" w:cstheme="minorEastAsia"/>
          <w:sz w:val="28"/>
          <w:szCs w:val="28"/>
        </w:rPr>
        <w:t>个月内暂不行使优先权，具体清偿事宜由</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公司与有财产担保的债权人另行协商，但不得违反法律有关优先债权清偿的规定。</w:t>
      </w:r>
    </w:p>
    <w:p w14:paraId="5B83EF04">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（二）职工债权</w:t>
      </w:r>
    </w:p>
    <w:p w14:paraId="4BF619FF">
      <w:pPr>
        <w:pStyle w:val="4"/>
        <w:keepNext w:val="0"/>
        <w:keepLines w:val="0"/>
        <w:widowControl/>
        <w:suppressLineNumbers w:val="0"/>
        <w:pBdr>
          <w:top w:val="none" w:color="auto" w:sz="0" w:space="0"/>
          <w:left w:val="none" w:color="auto" w:sz="0" w:space="0"/>
          <w:bottom w:val="single" w:color="FFFFFF" w:sz="6" w:space="2"/>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经管理人调查公示的职工债权100%清偿，其中拖欠的职工工资自和解协议（草案）被法院裁定认可之日起两年内清偿完毕；拖欠的其他职工债权自和解协议（草案）被法院裁定认可之日起两年内清偿完毕。</w:t>
      </w:r>
    </w:p>
    <w:p w14:paraId="56A963D4">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（三）税收债权及其他优先债权</w:t>
      </w:r>
    </w:p>
    <w:p w14:paraId="60006833">
      <w:pPr>
        <w:pStyle w:val="4"/>
        <w:keepNext w:val="0"/>
        <w:keepLines w:val="0"/>
        <w:widowControl/>
        <w:suppressLineNumbers w:val="0"/>
        <w:pBdr>
          <w:top w:val="none" w:color="auto" w:sz="0" w:space="0"/>
          <w:left w:val="none" w:color="auto" w:sz="0" w:space="0"/>
          <w:bottom w:val="single" w:color="FFFFFF" w:sz="6" w:space="2"/>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税收及其他优先债权本金自和解协议（草案）被法院裁定认可之日起</w:t>
      </w:r>
      <w:r>
        <w:rPr>
          <w:rFonts w:hint="eastAsia" w:asciiTheme="minorEastAsia" w:hAnsiTheme="minorEastAsia" w:cstheme="minorEastAsia"/>
          <w:sz w:val="28"/>
          <w:szCs w:val="28"/>
          <w:lang w:val="en-US" w:eastAsia="zh-CN"/>
        </w:rPr>
        <w:t>丝绸花园二期开发竣工后两</w:t>
      </w:r>
      <w:r>
        <w:rPr>
          <w:rFonts w:hint="eastAsia" w:asciiTheme="minorEastAsia" w:hAnsiTheme="minorEastAsia" w:eastAsiaTheme="minorEastAsia" w:cstheme="minorEastAsia"/>
          <w:sz w:val="28"/>
          <w:szCs w:val="28"/>
        </w:rPr>
        <w:t>年</w:t>
      </w:r>
      <w:r>
        <w:rPr>
          <w:rFonts w:hint="eastAsia" w:asciiTheme="minorEastAsia" w:hAnsiTheme="minorEastAsia" w:cstheme="minorEastAsia"/>
          <w:sz w:val="28"/>
          <w:szCs w:val="28"/>
          <w:lang w:val="en-US" w:eastAsia="zh-CN"/>
        </w:rPr>
        <w:t>内</w:t>
      </w:r>
      <w:r>
        <w:rPr>
          <w:rFonts w:hint="eastAsia" w:asciiTheme="minorEastAsia" w:hAnsiTheme="minorEastAsia" w:eastAsiaTheme="minorEastAsia" w:cstheme="minorEastAsia"/>
          <w:sz w:val="28"/>
          <w:szCs w:val="28"/>
        </w:rPr>
        <w:t>清偿。</w:t>
      </w:r>
    </w:p>
    <w:p w14:paraId="1A13752E">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（四）普通债权</w:t>
      </w:r>
    </w:p>
    <w:p w14:paraId="5C93AF4B">
      <w:pPr>
        <w:pStyle w:val="4"/>
        <w:keepNext w:val="0"/>
        <w:keepLines w:val="0"/>
        <w:widowControl/>
        <w:suppressLineNumbers w:val="0"/>
        <w:pBdr>
          <w:top w:val="none" w:color="auto" w:sz="0" w:space="0"/>
          <w:left w:val="none" w:color="auto" w:sz="0" w:space="0"/>
          <w:bottom w:val="single" w:color="FFFFFF" w:sz="6" w:space="0"/>
          <w:right w:val="none" w:color="auto" w:sz="0" w:space="0"/>
        </w:pBdr>
        <w:spacing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t>针对全体普通债权人，对本金之外的</w:t>
      </w:r>
      <w:r>
        <w:rPr>
          <w:rStyle w:val="7"/>
          <w:rFonts w:hint="eastAsia" w:asciiTheme="minorEastAsia" w:hAnsiTheme="minorEastAsia" w:cstheme="minorEastAsia"/>
          <w:sz w:val="28"/>
          <w:szCs w:val="28"/>
          <w:lang w:val="en-US" w:eastAsia="zh-CN"/>
        </w:rPr>
        <w:t>利息、</w:t>
      </w:r>
      <w:r>
        <w:rPr>
          <w:rStyle w:val="7"/>
          <w:rFonts w:hint="eastAsia" w:asciiTheme="minorEastAsia" w:hAnsiTheme="minorEastAsia" w:eastAsiaTheme="minorEastAsia" w:cstheme="minorEastAsia"/>
          <w:sz w:val="28"/>
          <w:szCs w:val="28"/>
        </w:rPr>
        <w:t>违约金、罚息、滞纳金、迟延履行金等，予以豁免不再清偿；本金正常清偿，以下所述清偿金额均为本金。</w:t>
      </w:r>
    </w:p>
    <w:p w14:paraId="7AC53296">
      <w:pPr>
        <w:pStyle w:val="4"/>
        <w:keepNext w:val="0"/>
        <w:keepLines w:val="0"/>
        <w:widowControl/>
        <w:suppressLineNumbers w:val="0"/>
        <w:spacing w:line="360" w:lineRule="auto"/>
        <w:ind w:left="0" w:firstLine="48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（1）债权本金在</w:t>
      </w:r>
      <w:r>
        <w:rPr>
          <w:rFonts w:hint="eastAsia" w:asciiTheme="minorEastAsia" w:hAnsiTheme="minorEastAsia" w:cstheme="minorEastAsia"/>
          <w:sz w:val="28"/>
          <w:szCs w:val="28"/>
          <w:lang w:val="en-US" w:eastAsia="zh-CN"/>
        </w:rPr>
        <w:t>10</w:t>
      </w:r>
      <w:r>
        <w:rPr>
          <w:rFonts w:hint="eastAsia" w:asciiTheme="minorEastAsia" w:hAnsiTheme="minorEastAsia" w:eastAsiaTheme="minorEastAsia" w:cstheme="minorEastAsia"/>
          <w:sz w:val="28"/>
          <w:szCs w:val="28"/>
        </w:rPr>
        <w:t>万元以下的部分</w:t>
      </w:r>
      <w:r>
        <w:rPr>
          <w:rFonts w:hint="eastAsia" w:asciiTheme="minorEastAsia" w:hAnsiTheme="minorEastAsia" w:cstheme="minorEastAsia"/>
          <w:sz w:val="28"/>
          <w:szCs w:val="28"/>
          <w:lang w:val="en-US" w:eastAsia="zh-CN"/>
        </w:rPr>
        <w:t>20</w:t>
      </w:r>
      <w:r>
        <w:rPr>
          <w:rFonts w:hint="eastAsia" w:asciiTheme="minorEastAsia" w:hAnsiTheme="minorEastAsia" w:eastAsiaTheme="minorEastAsia" w:cstheme="minorEastAsia"/>
          <w:sz w:val="28"/>
          <w:szCs w:val="28"/>
        </w:rPr>
        <w:t>%清偿，自和解协议（草案）被法院裁定认可之日起一年内清偿</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%，第二年清偿至</w:t>
      </w:r>
      <w:r>
        <w:rPr>
          <w:rFonts w:hint="eastAsia" w:asciiTheme="minorEastAsia" w:hAnsiTheme="minorEastAsia" w:cstheme="minorEastAsia"/>
          <w:sz w:val="28"/>
          <w:szCs w:val="28"/>
          <w:lang w:val="en-US" w:eastAsia="zh-CN"/>
        </w:rPr>
        <w:t>5</w:t>
      </w:r>
      <w:r>
        <w:rPr>
          <w:rFonts w:hint="eastAsia" w:asciiTheme="minorEastAsia" w:hAnsiTheme="minorEastAsia" w:eastAsiaTheme="minorEastAsia" w:cstheme="minorEastAsia"/>
          <w:sz w:val="28"/>
          <w:szCs w:val="28"/>
        </w:rPr>
        <w:t>%，第三年清偿完毕；在公司资金充裕的情况下可提前予以清偿。</w:t>
      </w:r>
    </w:p>
    <w:p w14:paraId="2CC4F1E9">
      <w:pPr>
        <w:pStyle w:val="4"/>
        <w:keepNext w:val="0"/>
        <w:keepLines w:val="0"/>
        <w:widowControl/>
        <w:suppressLineNumbers w:val="0"/>
        <w:spacing w:line="360" w:lineRule="auto"/>
        <w:ind w:left="0" w:firstLine="6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（2）债权本金在</w:t>
      </w:r>
      <w:r>
        <w:rPr>
          <w:rFonts w:hint="eastAsia" w:asciiTheme="minorEastAsia" w:hAnsiTheme="minorEastAsia" w:cstheme="minorEastAsia"/>
          <w:sz w:val="28"/>
          <w:szCs w:val="28"/>
          <w:lang w:val="en-US" w:eastAsia="zh-CN"/>
        </w:rPr>
        <w:t>10</w:t>
      </w:r>
      <w:r>
        <w:rPr>
          <w:rFonts w:hint="eastAsia" w:asciiTheme="minorEastAsia" w:hAnsiTheme="minorEastAsia" w:eastAsiaTheme="minorEastAsia" w:cstheme="minorEastAsia"/>
          <w:sz w:val="28"/>
          <w:szCs w:val="28"/>
        </w:rPr>
        <w:t>万元以上的部分按照法院裁定确认的债权金额的</w:t>
      </w:r>
      <w:r>
        <w:rPr>
          <w:rFonts w:hint="eastAsia" w:asciiTheme="minorEastAsia" w:hAnsiTheme="minorEastAsia" w:cstheme="minorEastAsia"/>
          <w:sz w:val="28"/>
          <w:szCs w:val="28"/>
          <w:lang w:val="en-US" w:eastAsia="zh-CN"/>
        </w:rPr>
        <w:t>10</w:t>
      </w:r>
      <w:r>
        <w:rPr>
          <w:rFonts w:hint="eastAsia" w:asciiTheme="minorEastAsia" w:hAnsiTheme="minorEastAsia" w:eastAsiaTheme="minorEastAsia" w:cstheme="minorEastAsia"/>
          <w:sz w:val="28"/>
          <w:szCs w:val="28"/>
        </w:rPr>
        <w:t>%予以清偿，其余部分不再清偿。自和解协议（草案）被法院裁定认可之日起第二年清偿</w:t>
      </w:r>
      <w:r>
        <w:rPr>
          <w:rFonts w:hint="eastAsia" w:asciiTheme="minorEastAsia" w:hAnsiTheme="minorEastAsia" w:cstheme="minorEastAsia"/>
          <w:sz w:val="28"/>
          <w:szCs w:val="28"/>
          <w:lang w:val="en-US" w:eastAsia="zh-CN"/>
        </w:rPr>
        <w:t>3</w:t>
      </w:r>
      <w:r>
        <w:rPr>
          <w:rFonts w:hint="eastAsia" w:asciiTheme="minorEastAsia" w:hAnsiTheme="minorEastAsia" w:eastAsiaTheme="minorEastAsia" w:cstheme="minorEastAsia"/>
          <w:sz w:val="28"/>
          <w:szCs w:val="28"/>
        </w:rPr>
        <w:t>%，第三年清偿至</w:t>
      </w:r>
      <w:r>
        <w:rPr>
          <w:rFonts w:hint="eastAsia" w:asciiTheme="minorEastAsia" w:hAnsiTheme="minorEastAsia" w:cstheme="minorEastAsia"/>
          <w:sz w:val="28"/>
          <w:szCs w:val="28"/>
          <w:lang w:val="en-US" w:eastAsia="zh-CN"/>
        </w:rPr>
        <w:t>3</w:t>
      </w:r>
      <w:r>
        <w:rPr>
          <w:rFonts w:hint="eastAsia" w:asciiTheme="minorEastAsia" w:hAnsiTheme="minorEastAsia" w:eastAsiaTheme="minorEastAsia" w:cstheme="minorEastAsia"/>
          <w:sz w:val="28"/>
          <w:szCs w:val="28"/>
        </w:rPr>
        <w:t>%，第四年清偿完毕。</w:t>
      </w:r>
    </w:p>
    <w:p w14:paraId="61944C10">
      <w:pPr>
        <w:pStyle w:val="4"/>
        <w:keepNext w:val="0"/>
        <w:keepLines w:val="0"/>
        <w:widowControl/>
        <w:suppressLineNumbers w:val="0"/>
        <w:spacing w:line="360" w:lineRule="auto"/>
        <w:ind w:left="0" w:firstLine="600"/>
        <w:jc w:val="left"/>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t>(六)逾期申报和未申报的债权</w:t>
      </w:r>
    </w:p>
    <w:p w14:paraId="116AC203">
      <w:pPr>
        <w:pStyle w:val="4"/>
        <w:keepNext w:val="0"/>
        <w:keepLines w:val="0"/>
        <w:widowControl/>
        <w:suppressLineNumbers w:val="0"/>
        <w:spacing w:line="360" w:lineRule="auto"/>
        <w:ind w:left="0" w:firstLine="6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在</w:t>
      </w:r>
      <w:r>
        <w:rPr>
          <w:rFonts w:hint="eastAsia" w:asciiTheme="minorEastAsia" w:hAnsiTheme="minorEastAsia" w:cstheme="minorEastAsia"/>
          <w:sz w:val="28"/>
          <w:szCs w:val="28"/>
          <w:lang w:val="en-US" w:eastAsia="zh-CN"/>
        </w:rPr>
        <w:t>太成公司</w:t>
      </w:r>
      <w:r>
        <w:rPr>
          <w:rFonts w:hint="eastAsia" w:asciiTheme="minorEastAsia" w:hAnsiTheme="minorEastAsia" w:eastAsiaTheme="minorEastAsia" w:cstheme="minorEastAsia"/>
          <w:sz w:val="28"/>
          <w:szCs w:val="28"/>
        </w:rPr>
        <w:t>有账面记载但未在债权申报期间申报的债权，符合法律规定应予确认的，经管理人依法审核确认并经法院裁定确认后，按照本和解协议(草案)中对普通债权的清偿方案在其进行选择后予以调整和清偿。</w:t>
      </w:r>
    </w:p>
    <w:p w14:paraId="436D1760">
      <w:pPr>
        <w:pStyle w:val="4"/>
        <w:keepNext w:val="0"/>
        <w:keepLines w:val="0"/>
        <w:widowControl/>
        <w:suppressLineNumbers w:val="0"/>
        <w:spacing w:line="360" w:lineRule="auto"/>
        <w:ind w:left="0" w:firstLine="6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和解债权人未依照破产法规定申报债权的，在和解协议执行期间不得行使权利，在和解协议执行完毕后，可以按照和解协议规定的清偿条件在其进行选择后行使权利。</w:t>
      </w:r>
    </w:p>
    <w:p w14:paraId="72CFF231">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(七)诉讼未决债权、主债务未到期的担保债权、主债务人提供物保的担保债权、其他暂缓确认债权</w:t>
      </w:r>
    </w:p>
    <w:p w14:paraId="79943756">
      <w:pPr>
        <w:pStyle w:val="4"/>
        <w:keepNext w:val="0"/>
        <w:keepLines w:val="0"/>
        <w:widowControl/>
        <w:suppressLineNumbers w:val="0"/>
        <w:spacing w:line="360" w:lineRule="auto"/>
        <w:ind w:left="0" w:firstLine="6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于诉讼未决债权、主债务未到期的担保债权、主债务人提供物保的担保债权、其他暂缓确认债权等，该债权在确认前，为其预留根据本和解协议(草案)计算的相应清偿资金，暂不安排清偿。待其符合确认条件并经法院裁定确认后，可以按照和解协议</w:t>
      </w:r>
      <w:r>
        <w:rPr>
          <w:rStyle w:val="7"/>
          <w:rFonts w:hint="eastAsia" w:asciiTheme="minorEastAsia" w:hAnsiTheme="minorEastAsia" w:eastAsiaTheme="minorEastAsia" w:cstheme="minorEastAsia"/>
          <w:sz w:val="28"/>
          <w:szCs w:val="28"/>
        </w:rPr>
        <w:t>(草案)</w:t>
      </w:r>
      <w:r>
        <w:rPr>
          <w:rFonts w:hint="eastAsia" w:asciiTheme="minorEastAsia" w:hAnsiTheme="minorEastAsia" w:eastAsiaTheme="minorEastAsia" w:cstheme="minorEastAsia"/>
          <w:sz w:val="28"/>
          <w:szCs w:val="28"/>
        </w:rPr>
        <w:t>规定的同类债权的清偿方案受偿（普通债权按照清偿方案在其进行选择后执行），暂缓期不计息。</w:t>
      </w:r>
    </w:p>
    <w:p w14:paraId="6E809CC5">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(八)破产费用</w:t>
      </w:r>
    </w:p>
    <w:p w14:paraId="74F361B2">
      <w:pPr>
        <w:pStyle w:val="4"/>
        <w:keepNext w:val="0"/>
        <w:keepLines w:val="0"/>
        <w:widowControl/>
        <w:suppressLineNumbers w:val="0"/>
        <w:spacing w:line="360" w:lineRule="auto"/>
        <w:ind w:left="0" w:firstLine="6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已发生的破产费用自和解协议(草案)被法院裁定认可之日起及时予以清偿，</w:t>
      </w:r>
      <w:r>
        <w:rPr>
          <w:rFonts w:hint="eastAsia" w:asciiTheme="minorEastAsia" w:hAnsiTheme="minorEastAsia" w:cstheme="minorEastAsia"/>
          <w:sz w:val="28"/>
          <w:szCs w:val="28"/>
          <w:lang w:val="en-US" w:eastAsia="zh-CN"/>
        </w:rPr>
        <w:t>两年</w:t>
      </w:r>
      <w:r>
        <w:rPr>
          <w:rFonts w:hint="eastAsia" w:asciiTheme="minorEastAsia" w:hAnsiTheme="minorEastAsia" w:eastAsiaTheme="minorEastAsia" w:cstheme="minorEastAsia"/>
          <w:sz w:val="28"/>
          <w:szCs w:val="28"/>
        </w:rPr>
        <w:t>内清偿完毕。</w:t>
      </w:r>
    </w:p>
    <w:p w14:paraId="0636277B">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（九）管理人报酬</w:t>
      </w:r>
    </w:p>
    <w:p w14:paraId="0C56DE8E">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和解方案经法院裁定通过后</w:t>
      </w:r>
      <w:r>
        <w:rPr>
          <w:rFonts w:hint="eastAsia" w:asciiTheme="minorEastAsia" w:hAnsiTheme="minorEastAsia" w:eastAsiaTheme="minorEastAsia" w:cstheme="minorEastAsia"/>
          <w:sz w:val="28"/>
          <w:szCs w:val="28"/>
          <w:lang w:val="en-US" w:eastAsia="zh-CN"/>
        </w:rPr>
        <w:t>两</w:t>
      </w:r>
      <w:r>
        <w:rPr>
          <w:rFonts w:hint="eastAsia" w:asciiTheme="minorEastAsia" w:hAnsiTheme="minorEastAsia" w:eastAsiaTheme="minorEastAsia" w:cstheme="minorEastAsia"/>
          <w:sz w:val="28"/>
          <w:szCs w:val="28"/>
        </w:rPr>
        <w:t>年内清偿完毕</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sz w:val="28"/>
          <w:szCs w:val="28"/>
        </w:rPr>
        <w:t>具体数额以法院裁定为准。</w:t>
      </w:r>
    </w:p>
    <w:p w14:paraId="7F4485B3">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(十)未获得清偿部分予以豁免</w:t>
      </w:r>
    </w:p>
    <w:p w14:paraId="2472C002">
      <w:pPr>
        <w:pStyle w:val="4"/>
        <w:keepNext w:val="0"/>
        <w:keepLines w:val="0"/>
        <w:widowControl/>
        <w:suppressLineNumbers w:val="0"/>
        <w:spacing w:line="360" w:lineRule="auto"/>
        <w:ind w:left="0" w:firstLine="6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按照和解协议减免的债务，自和解协议执行完毕时起，</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公司不再承担清偿责任。</w:t>
      </w:r>
    </w:p>
    <w:p w14:paraId="1F87C9E1">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lang w:val="en-US" w:eastAsia="zh-CN"/>
        </w:rPr>
        <w:t>五</w:t>
      </w:r>
      <w:r>
        <w:rPr>
          <w:rStyle w:val="7"/>
          <w:rFonts w:hint="eastAsia" w:asciiTheme="minorEastAsia" w:hAnsiTheme="minorEastAsia" w:eastAsiaTheme="minorEastAsia" w:cstheme="minorEastAsia"/>
          <w:b/>
          <w:sz w:val="28"/>
          <w:szCs w:val="28"/>
        </w:rPr>
        <w:t>、偿债资金来源</w:t>
      </w:r>
    </w:p>
    <w:p w14:paraId="31DD9C60">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本次和解的偿债主要资金来源如下： </w:t>
      </w:r>
    </w:p>
    <w:p w14:paraId="5BE3D29A">
      <w:pPr>
        <w:pStyle w:val="4"/>
        <w:keepNext w:val="0"/>
        <w:keepLines w:val="0"/>
        <w:widowControl/>
        <w:suppressLineNumbers w:val="0"/>
        <w:pBdr>
          <w:top w:val="none" w:color="auto" w:sz="0" w:space="0"/>
          <w:left w:val="none" w:color="auto" w:sz="0" w:space="0"/>
          <w:bottom w:val="single" w:color="FFFFFF" w:sz="6" w:space="2"/>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（一）投资人注入资金。</w:t>
      </w:r>
    </w:p>
    <w:p w14:paraId="033A5CC2">
      <w:pPr>
        <w:pStyle w:val="4"/>
        <w:keepNext w:val="0"/>
        <w:keepLines w:val="0"/>
        <w:widowControl/>
        <w:suppressLineNumbers w:val="0"/>
        <w:pBdr>
          <w:top w:val="none" w:color="auto" w:sz="0" w:space="0"/>
          <w:left w:val="none" w:color="auto" w:sz="0" w:space="0"/>
          <w:bottom w:val="single" w:color="FFFFFF" w:sz="6" w:space="2"/>
          <w:right w:val="none" w:color="auto" w:sz="0" w:space="0"/>
        </w:pBdr>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（二）和解期间的经营收入。</w:t>
      </w:r>
    </w:p>
    <w:p w14:paraId="269615C7">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lang w:val="en-US" w:eastAsia="zh-CN"/>
        </w:rPr>
        <w:t>六</w:t>
      </w:r>
      <w:r>
        <w:rPr>
          <w:rStyle w:val="7"/>
          <w:rFonts w:hint="eastAsia" w:asciiTheme="minorEastAsia" w:hAnsiTheme="minorEastAsia" w:eastAsiaTheme="minorEastAsia" w:cstheme="minorEastAsia"/>
          <w:b/>
          <w:sz w:val="28"/>
          <w:szCs w:val="28"/>
        </w:rPr>
        <w:t>、和解协议通过后的法律后果</w:t>
      </w:r>
    </w:p>
    <w:p w14:paraId="4E2B05A1">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（一）根据《中华人民共和国企业破产法》第九十八条　“债权人会议通过和解协议的，由人民法院裁定认可，终止和解程序，并予以公告。管理人应当向债务人移交财产和营业事务，并向人民法院提交执行职务的报告。”即和解协议通过后，管理人不再对和解协议的执行进行监督。</w:t>
      </w:r>
    </w:p>
    <w:p w14:paraId="1697083F">
      <w:pPr>
        <w:pStyle w:val="4"/>
        <w:keepNext w:val="0"/>
        <w:keepLines w:val="0"/>
        <w:widowControl/>
        <w:suppressLineNumbers w:val="0"/>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（二）</w:t>
      </w:r>
      <w:r>
        <w:rPr>
          <w:rFonts w:hint="eastAsia" w:asciiTheme="minorEastAsia" w:hAnsiTheme="minorEastAsia" w:cstheme="minorEastAsia"/>
          <w:sz w:val="28"/>
          <w:szCs w:val="28"/>
          <w:lang w:val="en-US" w:eastAsia="zh-CN"/>
        </w:rPr>
        <w:t>根据本案实际情况，暂由管理人对和解协议的执行进行监督，如今后</w:t>
      </w:r>
      <w:r>
        <w:rPr>
          <w:rFonts w:hint="eastAsia" w:asciiTheme="minorEastAsia" w:hAnsiTheme="minorEastAsia" w:eastAsiaTheme="minorEastAsia" w:cstheme="minorEastAsia"/>
          <w:sz w:val="28"/>
          <w:szCs w:val="28"/>
        </w:rPr>
        <w:t>成立债权人委员会，由债权委员会对和解协议的执行进行监督。</w:t>
      </w:r>
    </w:p>
    <w:p w14:paraId="093EDBC1">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lang w:val="en-US" w:eastAsia="zh-CN"/>
        </w:rPr>
        <w:t>七</w:t>
      </w:r>
      <w:r>
        <w:rPr>
          <w:rStyle w:val="7"/>
          <w:rFonts w:hint="eastAsia" w:asciiTheme="minorEastAsia" w:hAnsiTheme="minorEastAsia" w:eastAsiaTheme="minorEastAsia" w:cstheme="minorEastAsia"/>
          <w:b/>
          <w:sz w:val="28"/>
          <w:szCs w:val="28"/>
        </w:rPr>
        <w:t>、和解协议的执行</w:t>
      </w:r>
    </w:p>
    <w:p w14:paraId="7414C6CA">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rPr>
        <w:t>和解协议由</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公司负责执行</w:t>
      </w:r>
      <w:r>
        <w:rPr>
          <w:rFonts w:hint="eastAsia" w:asciiTheme="minorEastAsia" w:hAnsiTheme="minorEastAsia" w:cstheme="minorEastAsia"/>
          <w:sz w:val="28"/>
          <w:szCs w:val="28"/>
          <w:lang w:eastAsia="zh-CN"/>
        </w:rPr>
        <w:t>，</w:t>
      </w:r>
      <w:r>
        <w:rPr>
          <w:rFonts w:hint="eastAsia" w:asciiTheme="minorEastAsia" w:hAnsiTheme="minorEastAsia" w:cstheme="minorEastAsia"/>
          <w:sz w:val="28"/>
          <w:szCs w:val="28"/>
          <w:lang w:val="en-US" w:eastAsia="zh-CN"/>
        </w:rPr>
        <w:t>太成公司对外处理的一切事宜须经管理人批准后执行，印章有管理人代管，</w:t>
      </w:r>
      <w:r>
        <w:rPr>
          <w:rFonts w:hint="eastAsia" w:asciiTheme="minorEastAsia" w:hAnsiTheme="minorEastAsia" w:eastAsiaTheme="minorEastAsia" w:cstheme="minorEastAsia"/>
          <w:sz w:val="28"/>
          <w:szCs w:val="28"/>
        </w:rPr>
        <w:t>具体执行措施如下</w:t>
      </w:r>
      <w:r>
        <w:rPr>
          <w:rFonts w:hint="eastAsia" w:asciiTheme="minorEastAsia" w:hAnsiTheme="minorEastAsia" w:cstheme="minorEastAsia"/>
          <w:sz w:val="28"/>
          <w:szCs w:val="28"/>
          <w:lang w:eastAsia="zh-CN"/>
        </w:rPr>
        <w:t>：</w:t>
      </w:r>
    </w:p>
    <w:p w14:paraId="7B3E5DA7">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（一）和解协议的表决和认可</w:t>
      </w:r>
    </w:p>
    <w:p w14:paraId="3267DB3E">
      <w:pPr>
        <w:pStyle w:val="4"/>
        <w:keepNext w:val="0"/>
        <w:keepLines w:val="0"/>
        <w:widowControl/>
        <w:suppressLineNumbers w:val="0"/>
        <w:spacing w:line="360" w:lineRule="auto"/>
        <w:ind w:left="0" w:firstLine="585"/>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t>1、会议表决</w:t>
      </w:r>
    </w:p>
    <w:p w14:paraId="37A59319">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和解协议草案经出席会议的有表决权的债权人过半数同意，并且其所代表的债权额占无财产担保债权总额的三分之二以上，方为通过。</w:t>
      </w:r>
    </w:p>
    <w:p w14:paraId="7FF6B11D">
      <w:pPr>
        <w:pStyle w:val="4"/>
        <w:keepNext w:val="0"/>
        <w:keepLines w:val="0"/>
        <w:widowControl/>
        <w:suppressLineNumbers w:val="0"/>
        <w:spacing w:line="360" w:lineRule="auto"/>
        <w:ind w:left="0" w:firstLine="585"/>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sz w:val="28"/>
          <w:szCs w:val="28"/>
        </w:rPr>
        <w:t>2、法院认可</w:t>
      </w:r>
    </w:p>
    <w:p w14:paraId="5E0632CE">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1、和解协议草案经债权人会议通过后报</w:t>
      </w:r>
      <w:r>
        <w:rPr>
          <w:rFonts w:hint="eastAsia" w:asciiTheme="minorEastAsia" w:hAnsiTheme="minorEastAsia" w:cstheme="minorEastAsia"/>
          <w:sz w:val="28"/>
          <w:szCs w:val="28"/>
          <w:lang w:val="en-US" w:eastAsia="zh-CN"/>
        </w:rPr>
        <w:t>南部县</w:t>
      </w:r>
      <w:r>
        <w:rPr>
          <w:rFonts w:hint="eastAsia" w:asciiTheme="minorEastAsia" w:hAnsiTheme="minorEastAsia" w:eastAsiaTheme="minorEastAsia" w:cstheme="minorEastAsia"/>
          <w:sz w:val="28"/>
          <w:szCs w:val="28"/>
        </w:rPr>
        <w:t>人民法院裁定认可后，和解协议方生效。</w:t>
      </w:r>
    </w:p>
    <w:p w14:paraId="1A44F3E4">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2、和解协议生效后对</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公司和和解债权人具有约束力，和解协议的效力及于和解债权人权利义务的承继方或受让方。</w:t>
      </w:r>
    </w:p>
    <w:p w14:paraId="443C22A6">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(二)偿债资金的提存及处理</w:t>
      </w:r>
    </w:p>
    <w:p w14:paraId="3FC53057">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债权属于本和解协议规定的诉讼未决的债权、暂未确认债权、未申报债权的，应向其分配的资金将提存至管理人指定的银行账户。</w:t>
      </w:r>
    </w:p>
    <w:p w14:paraId="572F88F1">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上述提存的偿债资金如属于因债权人未按规定领受而提存的，自法院裁定认可和解协议之日起满二年，债权人仍不领受的，视为放弃领受清偿资金的权利。所提存资金用于</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公司的生产经营和债权清偿。</w:t>
      </w:r>
    </w:p>
    <w:p w14:paraId="00B291D7">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（三）破产费用、共益债务及管理人报酬的支付</w:t>
      </w:r>
    </w:p>
    <w:p w14:paraId="64C8E139">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破产费用，包括案件受理费、管理人执行职务的费用、管理人聘请中介机构的费用、资产处置费用等。按照相关法律及协议的约定随时支付。</w:t>
      </w:r>
    </w:p>
    <w:p w14:paraId="67CA3ACD">
      <w:pPr>
        <w:pStyle w:val="4"/>
        <w:keepNext w:val="0"/>
        <w:keepLines w:val="0"/>
        <w:widowControl/>
        <w:suppressLineNumbers w:val="0"/>
        <w:spacing w:line="360" w:lineRule="auto"/>
        <w:ind w:left="0" w:firstLine="600"/>
        <w:jc w:val="left"/>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管理人报酬按照第一次债权人会议通过的《管理人报酬方案》确定，在自和解协议(草案)被法院裁定认可之日起依据法院裁定数额在协议约定时间内及时清偿。</w:t>
      </w:r>
    </w:p>
    <w:p w14:paraId="41BA3CDB">
      <w:pPr>
        <w:pStyle w:val="4"/>
        <w:keepNext w:val="0"/>
        <w:keepLines w:val="0"/>
        <w:widowControl/>
        <w:suppressLineNumbers w:val="0"/>
        <w:spacing w:line="360" w:lineRule="auto"/>
        <w:ind w:left="0" w:firstLine="600"/>
        <w:jc w:val="left"/>
        <w:rPr>
          <w:rFonts w:hint="default" w:asciiTheme="minorEastAsia" w:hAnsiTheme="minorEastAsia" w:eastAsiaTheme="minorEastAsia" w:cstheme="minorEastAsia"/>
          <w:sz w:val="28"/>
          <w:szCs w:val="28"/>
          <w:lang w:val="en-US" w:eastAsia="zh-CN"/>
        </w:rPr>
      </w:pPr>
      <w:r>
        <w:rPr>
          <w:rFonts w:hint="eastAsia" w:asciiTheme="minorEastAsia" w:hAnsiTheme="minorEastAsia" w:cstheme="minorEastAsia"/>
          <w:sz w:val="28"/>
          <w:szCs w:val="28"/>
          <w:lang w:val="en-US" w:eastAsia="zh-CN"/>
        </w:rPr>
        <w:t>共益债务100%清偿，并在人民法院和解草案裁定生效之日起一年内清偿完毕。</w:t>
      </w:r>
    </w:p>
    <w:p w14:paraId="3DFD6511">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（四）执行完毕的标准</w:t>
      </w:r>
    </w:p>
    <w:p w14:paraId="7F5369DE">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根据本和解协议规定应当清偿的债权已经按照</w:t>
      </w:r>
      <w:r>
        <w:rPr>
          <w:rFonts w:hint="eastAsia" w:asciiTheme="minorEastAsia" w:hAnsiTheme="minorEastAsia" w:cstheme="minorEastAsia"/>
          <w:sz w:val="28"/>
          <w:szCs w:val="28"/>
          <w:lang w:val="en-US" w:eastAsia="zh-CN"/>
        </w:rPr>
        <w:t>南部县</w:t>
      </w:r>
      <w:r>
        <w:rPr>
          <w:rFonts w:hint="eastAsia" w:asciiTheme="minorEastAsia" w:hAnsiTheme="minorEastAsia" w:eastAsiaTheme="minorEastAsia" w:cstheme="minorEastAsia"/>
          <w:sz w:val="28"/>
          <w:szCs w:val="28"/>
        </w:rPr>
        <w:t>人民法院裁定认可的和解协议清偿完毕或办理了提存，视为本和解协议执行完毕。</w:t>
      </w:r>
    </w:p>
    <w:p w14:paraId="64AA7C07">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（五）执行完毕的效力</w:t>
      </w:r>
    </w:p>
    <w:p w14:paraId="0B11AF2C">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按照和解协议减免的债务，自和解协议执行完毕时起，</w:t>
      </w:r>
      <w:r>
        <w:rPr>
          <w:rFonts w:hint="eastAsia" w:asciiTheme="minorEastAsia" w:hAnsiTheme="minorEastAsia" w:cstheme="minorEastAsia"/>
          <w:sz w:val="28"/>
          <w:szCs w:val="28"/>
          <w:lang w:val="en-US" w:eastAsia="zh-CN"/>
        </w:rPr>
        <w:t>太成公司</w:t>
      </w:r>
      <w:r>
        <w:rPr>
          <w:rFonts w:hint="eastAsia" w:asciiTheme="minorEastAsia" w:hAnsiTheme="minorEastAsia" w:eastAsiaTheme="minorEastAsia" w:cstheme="minorEastAsia"/>
          <w:sz w:val="28"/>
          <w:szCs w:val="28"/>
        </w:rPr>
        <w:t>不再承担清偿责任。</w:t>
      </w:r>
    </w:p>
    <w:p w14:paraId="65ED8D5A">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债权人对</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公司的保证人和其他连带债务人所享有的权利，根据和解协议已经获得清偿的部分</w:t>
      </w:r>
      <w:r>
        <w:rPr>
          <w:rFonts w:hint="eastAsia" w:asciiTheme="minorEastAsia" w:hAnsiTheme="minorEastAsia" w:cstheme="minorEastAsia"/>
          <w:sz w:val="28"/>
          <w:szCs w:val="28"/>
          <w:lang w:val="en-US" w:eastAsia="zh-CN"/>
        </w:rPr>
        <w:t>和未获得清偿部分</w:t>
      </w:r>
      <w:r>
        <w:rPr>
          <w:rFonts w:hint="eastAsia" w:asciiTheme="minorEastAsia" w:hAnsiTheme="minorEastAsia" w:eastAsiaTheme="minorEastAsia" w:cstheme="minorEastAsia"/>
          <w:sz w:val="28"/>
          <w:szCs w:val="28"/>
        </w:rPr>
        <w:t>，债权人不得再向保证人和其他连带债务人主张权利。</w:t>
      </w:r>
    </w:p>
    <w:p w14:paraId="076DFFF7">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（六）执行保障</w:t>
      </w:r>
    </w:p>
    <w:p w14:paraId="29C9AC52">
      <w:pPr>
        <w:pStyle w:val="4"/>
        <w:keepNext w:val="0"/>
        <w:keepLines w:val="0"/>
        <w:widowControl/>
        <w:suppressLineNumbers w:val="0"/>
        <w:spacing w:line="360" w:lineRule="auto"/>
        <w:ind w:left="0" w:firstLine="48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和解协议执行完毕之前，禁止债务人转让所持股份、土地、房屋</w:t>
      </w:r>
      <w:r>
        <w:rPr>
          <w:rFonts w:hint="eastAsia" w:asciiTheme="minorEastAsia" w:hAnsiTheme="minorEastAsia" w:cstheme="minorEastAsia"/>
          <w:sz w:val="28"/>
          <w:szCs w:val="28"/>
          <w:lang w:val="en-US" w:eastAsia="zh-CN"/>
        </w:rPr>
        <w:t>等</w:t>
      </w:r>
      <w:r>
        <w:rPr>
          <w:rFonts w:hint="eastAsia" w:asciiTheme="minorEastAsia" w:hAnsiTheme="minorEastAsia" w:eastAsiaTheme="minorEastAsia" w:cstheme="minorEastAsia"/>
          <w:sz w:val="28"/>
          <w:szCs w:val="28"/>
        </w:rPr>
        <w:t>资产</w:t>
      </w:r>
      <w:r>
        <w:rPr>
          <w:rFonts w:hint="eastAsia" w:asciiTheme="minorEastAsia" w:hAnsiTheme="minorEastAsia" w:cstheme="minorEastAsia"/>
          <w:sz w:val="28"/>
          <w:szCs w:val="28"/>
          <w:lang w:val="en-US" w:eastAsia="zh-CN"/>
        </w:rPr>
        <w:t>以及不得对外设立抵押、质押等附带行为</w:t>
      </w:r>
      <w:r>
        <w:rPr>
          <w:rFonts w:hint="eastAsia" w:asciiTheme="minorEastAsia" w:hAnsiTheme="minorEastAsia" w:eastAsiaTheme="minorEastAsia" w:cstheme="minorEastAsia"/>
          <w:sz w:val="28"/>
          <w:szCs w:val="28"/>
        </w:rPr>
        <w:t>。</w:t>
      </w:r>
    </w:p>
    <w:p w14:paraId="18ECFFFD">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和解协议执行期间，在债务人原有资产的基础上新增的资产，作为债务人财产在和解协议执行失败时用来清偿债务。</w:t>
      </w:r>
    </w:p>
    <w:p w14:paraId="338B9BA6">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（七）不能执行的后果</w:t>
      </w:r>
    </w:p>
    <w:p w14:paraId="6997345D">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cstheme="minorEastAsia"/>
          <w:sz w:val="28"/>
          <w:szCs w:val="28"/>
          <w:lang w:val="en-US" w:eastAsia="zh-CN"/>
        </w:rPr>
        <w:t>太成公</w:t>
      </w:r>
      <w:r>
        <w:rPr>
          <w:rFonts w:hint="eastAsia" w:asciiTheme="minorEastAsia" w:hAnsiTheme="minorEastAsia" w:eastAsiaTheme="minorEastAsia" w:cstheme="minorEastAsia"/>
          <w:sz w:val="28"/>
          <w:szCs w:val="28"/>
        </w:rPr>
        <w:t>司不执行或不能执行和解协议，</w:t>
      </w:r>
      <w:r>
        <w:rPr>
          <w:rFonts w:hint="eastAsia" w:asciiTheme="minorEastAsia" w:hAnsiTheme="minorEastAsia" w:cstheme="minorEastAsia"/>
          <w:sz w:val="28"/>
          <w:szCs w:val="28"/>
          <w:lang w:val="en-US" w:eastAsia="zh-CN"/>
        </w:rPr>
        <w:t>南部县</w:t>
      </w:r>
      <w:r>
        <w:rPr>
          <w:rFonts w:hint="eastAsia" w:asciiTheme="minorEastAsia" w:hAnsiTheme="minorEastAsia" w:eastAsiaTheme="minorEastAsia" w:cstheme="minorEastAsia"/>
          <w:sz w:val="28"/>
          <w:szCs w:val="28"/>
        </w:rPr>
        <w:t>人民法院有权应和解债权人的请求裁定终止和解协议的执行，并宣告</w:t>
      </w:r>
      <w:r>
        <w:rPr>
          <w:rFonts w:hint="eastAsia" w:asciiTheme="minorEastAsia" w:hAnsiTheme="minorEastAsia" w:cstheme="minorEastAsia"/>
          <w:sz w:val="28"/>
          <w:szCs w:val="28"/>
          <w:lang w:val="en-US" w:eastAsia="zh-CN"/>
        </w:rPr>
        <w:t>太成</w:t>
      </w:r>
      <w:r>
        <w:rPr>
          <w:rFonts w:hint="eastAsia" w:asciiTheme="minorEastAsia" w:hAnsiTheme="minorEastAsia" w:eastAsiaTheme="minorEastAsia" w:cstheme="minorEastAsia"/>
          <w:sz w:val="28"/>
          <w:szCs w:val="28"/>
        </w:rPr>
        <w:t>公司破产。</w:t>
      </w:r>
    </w:p>
    <w:p w14:paraId="49D1213A">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法院裁定终止和解协议执行的，和解债权人在和解协议中作出的债权调整的承诺失去效力。和解债权人因执行和解协议所受的清偿仍然有效，和解债权未受清偿的部分作为破产债权。</w:t>
      </w:r>
    </w:p>
    <w:p w14:paraId="0880FDF4">
      <w:pPr>
        <w:pStyle w:val="2"/>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八、其他事项</w:t>
      </w:r>
    </w:p>
    <w:p w14:paraId="7960A05B">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（一）未申报债权的确认和清偿</w:t>
      </w:r>
    </w:p>
    <w:p w14:paraId="21037FDE">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和解债权人未依照《破产法》规定申报债权的，在和解协议执行期间不得行使权利；在本和解协议执行完毕后，可以按照本和解协议规定的清偿条件行使权利，并由债务人财产相应清偿，不足清偿时由出资人提供偿债资金清偿。</w:t>
      </w:r>
    </w:p>
    <w:p w14:paraId="01400E39">
      <w:pPr>
        <w:pStyle w:val="3"/>
        <w:keepNext w:val="0"/>
        <w:keepLines w:val="0"/>
        <w:widowControl/>
        <w:suppressLineNumbers w:val="0"/>
        <w:spacing w:before="0" w:beforeAutospacing="0" w:after="0" w:afterAutospacing="0" w:line="360" w:lineRule="auto"/>
        <w:ind w:left="0" w:firstLine="600"/>
        <w:rPr>
          <w:rFonts w:hint="eastAsia" w:asciiTheme="minorEastAsia" w:hAnsiTheme="minorEastAsia" w:eastAsiaTheme="minorEastAsia" w:cstheme="minorEastAsia"/>
          <w:sz w:val="28"/>
          <w:szCs w:val="28"/>
        </w:rPr>
      </w:pPr>
      <w:r>
        <w:rPr>
          <w:rStyle w:val="7"/>
          <w:rFonts w:hint="eastAsia" w:asciiTheme="minorEastAsia" w:hAnsiTheme="minorEastAsia" w:eastAsiaTheme="minorEastAsia" w:cstheme="minorEastAsia"/>
          <w:b/>
          <w:sz w:val="28"/>
          <w:szCs w:val="28"/>
        </w:rPr>
        <w:t>（二）关于分配款项的领取</w:t>
      </w:r>
    </w:p>
    <w:p w14:paraId="67CF2463">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债权人应自本和解协议获法院裁定认可后10日内，向管理人书面提交领取分配款项的银行账户。管理人根据各债权人提供的银行帐号，实施转帐支付，或者由债权人或其授权人领取现金，要求实施转账债权人务必向管理人提供合法有效的银行账户。</w:t>
      </w:r>
    </w:p>
    <w:p w14:paraId="02C2C454">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对于逾期不提供账户信息，或未按时领取现金，或以合理方式无法通知到的债权人，其应分配的款项将由债务人按照本和解协议中债权受偿方案的规定予以提留，由此产生的一切法律后果和风险由相关债权人自行承担。</w:t>
      </w:r>
    </w:p>
    <w:p w14:paraId="702B9F64">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因债权人及其代理方原因，导致分配款项不能转入其指定账户，或转入该等账户的分配款项被查封、冻结、扣划，由此产生的一切法律后果由相关债权人自行承担。</w:t>
      </w:r>
    </w:p>
    <w:p w14:paraId="5DD29373">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以上报告内容，提请债权人会议讨论表决。</w:t>
      </w:r>
    </w:p>
    <w:p w14:paraId="36511A51">
      <w:pPr>
        <w:pStyle w:val="4"/>
        <w:keepNext w:val="0"/>
        <w:keepLines w:val="0"/>
        <w:widowControl/>
        <w:suppressLineNumbers w:val="0"/>
        <w:spacing w:line="360" w:lineRule="auto"/>
        <w:ind w:left="0" w:firstLine="600"/>
        <w:rPr>
          <w:rFonts w:hint="eastAsia" w:asciiTheme="minorEastAsia" w:hAnsiTheme="minorEastAsia" w:eastAsiaTheme="minorEastAsia" w:cstheme="minorEastAsia"/>
          <w:sz w:val="28"/>
          <w:szCs w:val="28"/>
        </w:rPr>
      </w:pPr>
    </w:p>
    <w:p w14:paraId="55E03E01">
      <w:pPr>
        <w:pStyle w:val="4"/>
        <w:keepNext w:val="0"/>
        <w:keepLines w:val="0"/>
        <w:widowControl/>
        <w:suppressLineNumbers w:val="0"/>
        <w:spacing w:line="360" w:lineRule="auto"/>
        <w:ind w:left="0" w:firstLine="3315" w:firstLineChars="1184"/>
        <w:rPr>
          <w:rFonts w:hint="default"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rPr>
        <w:t> </w:t>
      </w:r>
      <w:r>
        <w:rPr>
          <w:rFonts w:hint="eastAsia" w:asciiTheme="minorEastAsia" w:hAnsiTheme="minorEastAsia" w:cstheme="minorEastAsia"/>
          <w:sz w:val="28"/>
          <w:szCs w:val="28"/>
          <w:lang w:val="en-US" w:eastAsia="zh-CN"/>
        </w:rPr>
        <w:t>四川省太成房地产开发有限公司</w:t>
      </w:r>
    </w:p>
    <w:p w14:paraId="0D5A060D">
      <w:pPr>
        <w:pStyle w:val="4"/>
        <w:keepNext w:val="0"/>
        <w:keepLines w:val="0"/>
        <w:widowControl/>
        <w:suppressLineNumbers w:val="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202</w:t>
      </w:r>
      <w:r>
        <w:rPr>
          <w:rFonts w:hint="eastAsia" w:asciiTheme="minorEastAsia" w:hAnsiTheme="minorEastAsia" w:cstheme="minorEastAsia"/>
          <w:sz w:val="28"/>
          <w:szCs w:val="28"/>
          <w:lang w:val="en-US" w:eastAsia="zh-CN"/>
        </w:rPr>
        <w:t>4</w:t>
      </w:r>
      <w:r>
        <w:rPr>
          <w:rFonts w:hint="eastAsia" w:asciiTheme="minorEastAsia" w:hAnsiTheme="minorEastAsia" w:eastAsiaTheme="minorEastAsia" w:cstheme="minorEastAsia"/>
          <w:sz w:val="28"/>
          <w:szCs w:val="28"/>
        </w:rPr>
        <w:t>年1</w:t>
      </w:r>
      <w:r>
        <w:rPr>
          <w:rFonts w:hint="eastAsia" w:asciiTheme="minorEastAsia" w:hAnsiTheme="minorEastAsia" w:cstheme="minorEastAsia"/>
          <w:sz w:val="28"/>
          <w:szCs w:val="28"/>
          <w:lang w:val="en-US" w:eastAsia="zh-CN"/>
        </w:rPr>
        <w:t>0</w:t>
      </w:r>
      <w:r>
        <w:rPr>
          <w:rFonts w:hint="eastAsia" w:asciiTheme="minorEastAsia" w:hAnsiTheme="minorEastAsia" w:eastAsiaTheme="minorEastAsia" w:cstheme="minorEastAsia"/>
          <w:sz w:val="28"/>
          <w:szCs w:val="28"/>
        </w:rPr>
        <w:t>月</w:t>
      </w:r>
      <w:r>
        <w:rPr>
          <w:rFonts w:hint="eastAsia" w:asciiTheme="minorEastAsia" w:hAnsiTheme="minorEastAsia" w:cstheme="minorEastAsia"/>
          <w:sz w:val="28"/>
          <w:szCs w:val="28"/>
          <w:lang w:val="en-US" w:eastAsia="zh-CN"/>
        </w:rPr>
        <w:t>8</w:t>
      </w:r>
      <w:r>
        <w:rPr>
          <w:rFonts w:hint="eastAsia" w:asciiTheme="minorEastAsia" w:hAnsiTheme="minorEastAsia" w:eastAsiaTheme="minorEastAsia" w:cstheme="minorEastAsia"/>
          <w:sz w:val="28"/>
          <w:szCs w:val="28"/>
        </w:rPr>
        <w:t>日   </w:t>
      </w:r>
    </w:p>
    <w:p w14:paraId="082B881F">
      <w:pPr>
        <w:ind w:firstLine="562" w:firstLineChars="200"/>
        <w:jc w:val="left"/>
        <w:rPr>
          <w:rFonts w:hint="eastAsia" w:asciiTheme="minorEastAsia" w:hAnsiTheme="minorEastAsia" w:eastAsiaTheme="minorEastAsia" w:cstheme="minorEastAsia"/>
          <w:b/>
          <w:bCs/>
          <w:sz w:val="28"/>
          <w:szCs w:val="28"/>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IxN2NiNTJjMGQ3NGRiZWU3YjAwYzYxMTI5NmRlN2UifQ=="/>
  </w:docVars>
  <w:rsids>
    <w:rsidRoot w:val="31824CC9"/>
    <w:rsid w:val="20BB76A2"/>
    <w:rsid w:val="31824CC9"/>
    <w:rsid w:val="49D10159"/>
    <w:rsid w:val="510E1621"/>
    <w:rsid w:val="53FD1061"/>
    <w:rsid w:val="546D126C"/>
    <w:rsid w:val="54A0435F"/>
    <w:rsid w:val="7BD45C80"/>
    <w:rsid w:val="7D171C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10</Pages>
  <Words>3626</Words>
  <Characters>3666</Characters>
  <Lines>0</Lines>
  <Paragraphs>0</Paragraphs>
  <TotalTime>16</TotalTime>
  <ScaleCrop>false</ScaleCrop>
  <LinksUpToDate>false</LinksUpToDate>
  <CharactersWithSpaces>3697</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2024-10-14T01:27:00Z</dcterms:created>
  <dc:creator>邓化俊</dc:creator>
  <cp:lastModifiedBy>zy、孤芳自赏</cp:lastModifiedBy>
  <cp:lastPrinted>2024-10-16T03:23:00Z</cp:lastPrinted>
  <dcterms:modified xsi:type="dcterms:W3CDTF">2024-10-24T02:55:23Z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B4680C5CFB7A4F2FA8094001344E4189_11</vt:lpwstr>
  </property>
</Properties>
</file>