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FF54E5">
      <w:pPr>
        <w:jc w:val="center"/>
        <w:rPr>
          <w:rFonts w:ascii="黑体" w:hAnsi="黑体" w:eastAsia="黑体"/>
          <w:b/>
          <w:bCs/>
          <w:sz w:val="44"/>
          <w:szCs w:val="44"/>
        </w:rPr>
      </w:pPr>
      <w:r>
        <w:rPr>
          <w:rFonts w:hint="eastAsia" w:ascii="黑体" w:hAnsi="黑体" w:eastAsia="黑体"/>
          <w:b/>
          <w:bCs/>
          <w:sz w:val="44"/>
          <w:szCs w:val="44"/>
        </w:rPr>
        <w:t>竞买公告</w:t>
      </w:r>
    </w:p>
    <w:p w14:paraId="4BF1D789">
      <w:pPr>
        <w:pStyle w:val="4"/>
        <w:spacing w:beforeAutospacing="0" w:afterAutospacing="0" w:line="360" w:lineRule="auto"/>
        <w:ind w:firstLine="560" w:firstLineChars="200"/>
        <w:jc w:val="both"/>
        <w:rPr>
          <w:rFonts w:hint="eastAsia" w:ascii="仿宋" w:hAnsi="仿宋" w:eastAsia="仿宋" w:cs="仿宋"/>
          <w:sz w:val="28"/>
          <w:szCs w:val="28"/>
          <w:lang w:eastAsia="zh-CN"/>
        </w:rPr>
      </w:pPr>
    </w:p>
    <w:p w14:paraId="5668B0E7">
      <w:pPr>
        <w:pStyle w:val="4"/>
        <w:spacing w:beforeAutospacing="0" w:afterAutospacing="0" w:line="360" w:lineRule="auto"/>
        <w:ind w:firstLine="560" w:firstLineChars="200"/>
        <w:jc w:val="both"/>
        <w:rPr>
          <w:rFonts w:ascii="仿宋" w:hAnsi="仿宋" w:eastAsia="仿宋" w:cs="仿宋"/>
          <w:b/>
          <w:bCs/>
          <w:sz w:val="28"/>
          <w:szCs w:val="28"/>
        </w:rPr>
      </w:pPr>
      <w:r>
        <w:rPr>
          <w:rFonts w:hint="eastAsia" w:ascii="仿宋" w:hAnsi="仿宋" w:eastAsia="仿宋" w:cs="仿宋"/>
          <w:sz w:val="28"/>
          <w:szCs w:val="28"/>
          <w:lang w:eastAsia="zh-CN"/>
        </w:rPr>
        <w:t>馆陶县战国轴承有限公司</w:t>
      </w:r>
      <w:r>
        <w:rPr>
          <w:rFonts w:hint="eastAsia" w:ascii="仿宋" w:hAnsi="仿宋" w:eastAsia="仿宋" w:cs="仿宋"/>
          <w:sz w:val="28"/>
          <w:szCs w:val="28"/>
        </w:rPr>
        <w:t>管理人将于</w:t>
      </w:r>
      <w:r>
        <w:rPr>
          <w:rFonts w:hint="eastAsia" w:ascii="仿宋" w:hAnsi="仿宋" w:eastAsia="仿宋" w:cs="仿宋"/>
          <w:b/>
          <w:bCs/>
          <w:sz w:val="28"/>
          <w:szCs w:val="28"/>
        </w:rPr>
        <w:t>202</w:t>
      </w: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年1</w:t>
      </w:r>
      <w:r>
        <w:rPr>
          <w:rFonts w:ascii="仿宋" w:hAnsi="仿宋" w:eastAsia="仿宋" w:cs="仿宋"/>
          <w:b/>
          <w:bCs/>
          <w:sz w:val="28"/>
          <w:szCs w:val="28"/>
        </w:rPr>
        <w:t>2</w:t>
      </w:r>
      <w:r>
        <w:rPr>
          <w:rFonts w:hint="eastAsia" w:ascii="仿宋" w:hAnsi="仿宋" w:eastAsia="仿宋" w:cs="仿宋"/>
          <w:b/>
          <w:bCs/>
          <w:sz w:val="28"/>
          <w:szCs w:val="28"/>
        </w:rPr>
        <w:t>月</w:t>
      </w:r>
      <w:r>
        <w:rPr>
          <w:rFonts w:hint="eastAsia" w:ascii="仿宋" w:hAnsi="仿宋" w:eastAsia="仿宋" w:cs="仿宋"/>
          <w:b/>
          <w:bCs/>
          <w:sz w:val="28"/>
          <w:szCs w:val="28"/>
          <w:lang w:val="en-US" w:eastAsia="zh-CN"/>
        </w:rPr>
        <w:t>23</w:t>
      </w:r>
      <w:bookmarkStart w:id="1" w:name="_GoBack"/>
      <w:bookmarkEnd w:id="1"/>
      <w:r>
        <w:rPr>
          <w:rFonts w:hint="eastAsia" w:ascii="仿宋" w:hAnsi="仿宋" w:eastAsia="仿宋" w:cs="仿宋"/>
          <w:b/>
          <w:bCs/>
          <w:sz w:val="28"/>
          <w:szCs w:val="28"/>
        </w:rPr>
        <w:t>日10时至202</w:t>
      </w: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年1</w:t>
      </w:r>
      <w:r>
        <w:rPr>
          <w:rFonts w:ascii="仿宋" w:hAnsi="仿宋" w:eastAsia="仿宋" w:cs="仿宋"/>
          <w:b/>
          <w:bCs/>
          <w:sz w:val="28"/>
          <w:szCs w:val="28"/>
        </w:rPr>
        <w:t>2</w:t>
      </w:r>
      <w:r>
        <w:rPr>
          <w:rFonts w:hint="eastAsia" w:ascii="仿宋" w:hAnsi="仿宋" w:eastAsia="仿宋" w:cs="仿宋"/>
          <w:b/>
          <w:bCs/>
          <w:sz w:val="28"/>
          <w:szCs w:val="28"/>
        </w:rPr>
        <w:t>月</w:t>
      </w:r>
      <w:r>
        <w:rPr>
          <w:rFonts w:hint="eastAsia" w:ascii="仿宋" w:hAnsi="仿宋" w:eastAsia="仿宋" w:cs="仿宋"/>
          <w:b/>
          <w:bCs/>
          <w:sz w:val="28"/>
          <w:szCs w:val="28"/>
          <w:lang w:val="en-US" w:eastAsia="zh-CN"/>
        </w:rPr>
        <w:t>24</w:t>
      </w:r>
      <w:r>
        <w:rPr>
          <w:rFonts w:hint="eastAsia" w:ascii="仿宋" w:hAnsi="仿宋" w:eastAsia="仿宋" w:cs="仿宋"/>
          <w:b/>
          <w:bCs/>
          <w:sz w:val="28"/>
          <w:szCs w:val="28"/>
        </w:rPr>
        <w:t>日10时止</w:t>
      </w:r>
      <w:r>
        <w:rPr>
          <w:rFonts w:hint="eastAsia" w:ascii="仿宋" w:hAnsi="仿宋" w:eastAsia="仿宋" w:cs="仿宋"/>
          <w:sz w:val="28"/>
          <w:szCs w:val="28"/>
        </w:rPr>
        <w:t>（延时除外）在京东拍卖破产强清平台（处置单位：</w:t>
      </w:r>
      <w:r>
        <w:rPr>
          <w:rFonts w:hint="eastAsia" w:ascii="仿宋" w:hAnsi="仿宋" w:eastAsia="仿宋" w:cs="仿宋"/>
          <w:sz w:val="28"/>
          <w:szCs w:val="28"/>
          <w:lang w:eastAsia="zh-CN"/>
        </w:rPr>
        <w:t>馆陶县战国轴承有限公司</w:t>
      </w:r>
      <w:r>
        <w:rPr>
          <w:rFonts w:hint="eastAsia" w:ascii="仿宋" w:hAnsi="仿宋" w:eastAsia="仿宋" w:cs="仿宋"/>
          <w:sz w:val="28"/>
          <w:szCs w:val="28"/>
        </w:rPr>
        <w:t>管理人，监督单位：</w:t>
      </w:r>
      <w:r>
        <w:rPr>
          <w:rFonts w:hint="eastAsia" w:ascii="仿宋" w:hAnsi="仿宋" w:eastAsia="仿宋" w:cs="仿宋"/>
          <w:sz w:val="28"/>
          <w:szCs w:val="28"/>
          <w:lang w:val="en-US" w:eastAsia="zh-CN"/>
        </w:rPr>
        <w:t>邯郸市</w:t>
      </w:r>
      <w:r>
        <w:rPr>
          <w:rFonts w:hint="eastAsia" w:ascii="仿宋" w:hAnsi="仿宋" w:eastAsia="仿宋" w:cs="仿宋"/>
          <w:sz w:val="28"/>
          <w:szCs w:val="28"/>
        </w:rPr>
        <w:t>中级人民法院，网址：https://auction.jd.com/bankrupt.html）进行公开拍卖活动，现公告如下：</w:t>
      </w:r>
      <w:r>
        <w:rPr>
          <w:rFonts w:hint="eastAsia" w:ascii="仿宋" w:hAnsi="仿宋" w:eastAsia="仿宋" w:cs="仿宋"/>
          <w:sz w:val="28"/>
          <w:szCs w:val="28"/>
        </w:rPr>
        <w:br w:type="textWrapping"/>
      </w:r>
      <w:r>
        <w:rPr>
          <w:rFonts w:hint="eastAsia" w:ascii="仿宋" w:hAnsi="仿宋" w:eastAsia="仿宋" w:cs="仿宋"/>
          <w:sz w:val="28"/>
          <w:szCs w:val="28"/>
        </w:rPr>
        <w:t xml:space="preserve">    一、拍卖标的</w:t>
      </w:r>
      <w:r>
        <w:rPr>
          <w:rFonts w:hint="eastAsia" w:ascii="仿宋" w:hAnsi="仿宋" w:eastAsia="仿宋" w:cs="仿宋"/>
          <w:sz w:val="28"/>
          <w:szCs w:val="28"/>
        </w:rPr>
        <w:br w:type="textWrapping"/>
      </w:r>
      <w:r>
        <w:rPr>
          <w:rFonts w:hint="eastAsia" w:ascii="仿宋" w:hAnsi="仿宋" w:eastAsia="仿宋" w:cs="仿宋"/>
          <w:sz w:val="28"/>
          <w:szCs w:val="28"/>
        </w:rPr>
        <w:t xml:space="preserve">    </w:t>
      </w:r>
      <w:r>
        <w:rPr>
          <w:rFonts w:hint="eastAsia" w:ascii="仿宋" w:hAnsi="仿宋" w:eastAsia="仿宋" w:cs="仿宋"/>
          <w:b/>
          <w:bCs/>
          <w:sz w:val="28"/>
          <w:szCs w:val="28"/>
          <w:lang w:eastAsia="zh-CN"/>
        </w:rPr>
        <w:t>馆陶县战国轴承有限公司</w:t>
      </w:r>
      <w:r>
        <w:rPr>
          <w:rFonts w:hint="eastAsia" w:ascii="仿宋" w:hAnsi="仿宋" w:eastAsia="仿宋" w:cs="仿宋"/>
          <w:b/>
          <w:bCs/>
          <w:sz w:val="28"/>
          <w:szCs w:val="28"/>
        </w:rPr>
        <w:t>名下注册商标（详见下表）。商标拍卖以现状为准。</w:t>
      </w:r>
    </w:p>
    <w:p w14:paraId="09577459">
      <w:pPr>
        <w:pStyle w:val="4"/>
        <w:spacing w:beforeAutospacing="0" w:afterAutospacing="0" w:line="360" w:lineRule="auto"/>
        <w:ind w:firstLine="562" w:firstLineChars="200"/>
        <w:jc w:val="both"/>
        <w:rPr>
          <w:rFonts w:ascii="仿宋" w:hAnsi="仿宋" w:eastAsia="仿宋" w:cs="仿宋"/>
          <w:b/>
          <w:bCs/>
          <w:sz w:val="28"/>
          <w:szCs w:val="28"/>
        </w:rPr>
      </w:pPr>
      <w:r>
        <w:rPr>
          <w:rFonts w:hint="eastAsia" w:ascii="仿宋" w:hAnsi="仿宋" w:eastAsia="仿宋" w:cs="仿宋"/>
          <w:b/>
          <w:bCs/>
          <w:sz w:val="28"/>
          <w:szCs w:val="28"/>
        </w:rPr>
        <w:t>管理人未接管到关于</w:t>
      </w:r>
      <w:r>
        <w:rPr>
          <w:rFonts w:hint="eastAsia" w:ascii="仿宋" w:hAnsi="仿宋" w:eastAsia="仿宋" w:cs="仿宋"/>
          <w:b/>
          <w:bCs/>
          <w:sz w:val="28"/>
          <w:szCs w:val="28"/>
          <w:lang w:eastAsia="zh-CN"/>
        </w:rPr>
        <w:t>馆陶县战国轴承有限公司</w:t>
      </w:r>
      <w:r>
        <w:rPr>
          <w:rFonts w:hint="eastAsia" w:ascii="仿宋" w:hAnsi="仿宋" w:eastAsia="仿宋" w:cs="仿宋"/>
          <w:b/>
          <w:bCs/>
          <w:sz w:val="28"/>
          <w:szCs w:val="28"/>
        </w:rPr>
        <w:t>名下商标的任何材料，也未能接管财务报表、</w:t>
      </w:r>
      <w:r>
        <w:rPr>
          <w:rFonts w:hint="eastAsia" w:ascii="仿宋" w:hAnsi="仿宋" w:eastAsia="仿宋" w:cs="仿宋"/>
          <w:b/>
          <w:bCs/>
          <w:sz w:val="28"/>
          <w:szCs w:val="28"/>
          <w:lang w:eastAsia="zh-CN"/>
        </w:rPr>
        <w:t>审计报告</w:t>
      </w:r>
      <w:r>
        <w:rPr>
          <w:rFonts w:hint="eastAsia" w:ascii="仿宋" w:hAnsi="仿宋" w:eastAsia="仿宋" w:cs="仿宋"/>
          <w:b/>
          <w:bCs/>
          <w:sz w:val="28"/>
          <w:szCs w:val="28"/>
        </w:rPr>
        <w:t>等材料。商标许可使用情况、商标抵押情况等受客观情况限制，管理人仅能披露国家知识产权局官网已经公示的内容，标的物以竞买人自行核实为准。</w:t>
      </w:r>
    </w:p>
    <w:tbl>
      <w:tblPr>
        <w:tblStyle w:val="5"/>
        <w:tblW w:w="9186" w:type="dxa"/>
        <w:tblInd w:w="-827" w:type="dxa"/>
        <w:tblLayout w:type="fixed"/>
        <w:tblCellMar>
          <w:top w:w="0" w:type="dxa"/>
          <w:left w:w="108" w:type="dxa"/>
          <w:bottom w:w="0" w:type="dxa"/>
          <w:right w:w="108" w:type="dxa"/>
        </w:tblCellMar>
      </w:tblPr>
      <w:tblGrid>
        <w:gridCol w:w="576"/>
        <w:gridCol w:w="660"/>
        <w:gridCol w:w="1008"/>
        <w:gridCol w:w="1680"/>
        <w:gridCol w:w="1296"/>
        <w:gridCol w:w="1236"/>
        <w:gridCol w:w="1308"/>
        <w:gridCol w:w="1422"/>
      </w:tblGrid>
      <w:tr w14:paraId="7D84B5C4">
        <w:tblPrEx>
          <w:tblCellMar>
            <w:top w:w="0" w:type="dxa"/>
            <w:left w:w="108" w:type="dxa"/>
            <w:bottom w:w="0" w:type="dxa"/>
            <w:right w:w="108" w:type="dxa"/>
          </w:tblCellMar>
        </w:tblPrEx>
        <w:trPr>
          <w:trHeight w:val="380"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7396B">
            <w:pPr>
              <w:widowControl/>
              <w:jc w:val="center"/>
              <w:textAlignment w:val="center"/>
              <w:rPr>
                <w:rFonts w:ascii="仿宋" w:hAnsi="仿宋" w:eastAsia="仿宋" w:cs="仿宋"/>
                <w:b/>
                <w:bCs/>
                <w:color w:val="000000"/>
                <w:sz w:val="18"/>
                <w:szCs w:val="18"/>
              </w:rPr>
            </w:pPr>
            <w:r>
              <w:rPr>
                <w:rFonts w:hint="eastAsia" w:ascii="仿宋" w:hAnsi="仿宋" w:eastAsia="仿宋" w:cs="仿宋"/>
                <w:b/>
                <w:bCs/>
                <w:color w:val="000000"/>
                <w:kern w:val="0"/>
                <w:sz w:val="18"/>
                <w:szCs w:val="18"/>
                <w:lang w:bidi="ar"/>
              </w:rPr>
              <w:t>序号</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2BBD3">
            <w:pPr>
              <w:widowControl/>
              <w:jc w:val="center"/>
              <w:textAlignment w:val="center"/>
              <w:rPr>
                <w:rFonts w:ascii="仿宋" w:hAnsi="仿宋" w:eastAsia="仿宋" w:cs="仿宋"/>
                <w:b/>
                <w:bCs/>
                <w:color w:val="000000"/>
                <w:sz w:val="18"/>
                <w:szCs w:val="18"/>
              </w:rPr>
            </w:pPr>
            <w:r>
              <w:rPr>
                <w:rFonts w:hint="eastAsia" w:ascii="仿宋" w:hAnsi="仿宋" w:eastAsia="仿宋" w:cs="仿宋"/>
                <w:b/>
                <w:bCs/>
                <w:color w:val="000000"/>
                <w:kern w:val="0"/>
                <w:sz w:val="18"/>
                <w:szCs w:val="18"/>
                <w:lang w:bidi="ar"/>
              </w:rPr>
              <w:t>类别</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C7488">
            <w:pPr>
              <w:widowControl/>
              <w:jc w:val="center"/>
              <w:textAlignment w:val="center"/>
              <w:rPr>
                <w:rFonts w:ascii="仿宋" w:hAnsi="仿宋" w:eastAsia="仿宋" w:cs="仿宋"/>
                <w:b/>
                <w:bCs/>
                <w:color w:val="000000"/>
                <w:sz w:val="18"/>
                <w:szCs w:val="18"/>
              </w:rPr>
            </w:pPr>
            <w:r>
              <w:rPr>
                <w:rFonts w:hint="eastAsia" w:ascii="仿宋" w:hAnsi="仿宋" w:eastAsia="仿宋" w:cs="仿宋"/>
                <w:b/>
                <w:bCs/>
                <w:color w:val="000000"/>
                <w:kern w:val="0"/>
                <w:sz w:val="18"/>
                <w:szCs w:val="18"/>
                <w:lang w:bidi="ar"/>
              </w:rPr>
              <w:t>注册号</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F47F1">
            <w:pPr>
              <w:widowControl/>
              <w:jc w:val="center"/>
              <w:textAlignment w:val="center"/>
              <w:rPr>
                <w:rFonts w:ascii="仿宋" w:hAnsi="仿宋" w:eastAsia="仿宋" w:cs="仿宋"/>
                <w:b/>
                <w:bCs/>
                <w:color w:val="000000"/>
                <w:sz w:val="18"/>
                <w:szCs w:val="18"/>
              </w:rPr>
            </w:pPr>
            <w:r>
              <w:rPr>
                <w:rFonts w:hint="eastAsia" w:ascii="仿宋" w:hAnsi="仿宋" w:eastAsia="仿宋" w:cs="仿宋"/>
                <w:b/>
                <w:bCs/>
                <w:color w:val="000000"/>
                <w:kern w:val="0"/>
                <w:sz w:val="18"/>
                <w:szCs w:val="18"/>
                <w:lang w:bidi="ar"/>
              </w:rPr>
              <w:t>商标名称</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7CDC7">
            <w:pPr>
              <w:widowControl/>
              <w:jc w:val="center"/>
              <w:textAlignment w:val="center"/>
              <w:rPr>
                <w:rFonts w:ascii="仿宋" w:hAnsi="仿宋" w:eastAsia="仿宋" w:cs="仿宋"/>
                <w:b/>
                <w:bCs/>
                <w:color w:val="000000"/>
                <w:sz w:val="18"/>
                <w:szCs w:val="18"/>
              </w:rPr>
            </w:pPr>
            <w:r>
              <w:rPr>
                <w:rFonts w:hint="eastAsia" w:ascii="仿宋" w:hAnsi="仿宋" w:eastAsia="仿宋" w:cs="仿宋"/>
                <w:b/>
                <w:bCs/>
                <w:color w:val="000000"/>
                <w:kern w:val="0"/>
                <w:sz w:val="18"/>
                <w:szCs w:val="18"/>
                <w:lang w:bidi="ar"/>
              </w:rPr>
              <w:t>注册有效期</w:t>
            </w:r>
          </w:p>
        </w:tc>
        <w:tc>
          <w:tcPr>
            <w:tcW w:w="12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0AE0EB">
            <w:pPr>
              <w:widowControl/>
              <w:jc w:val="center"/>
              <w:textAlignment w:val="center"/>
              <w:rPr>
                <w:rFonts w:ascii="仿宋" w:hAnsi="仿宋" w:eastAsia="仿宋" w:cs="仿宋"/>
                <w:b/>
                <w:bCs/>
                <w:sz w:val="18"/>
                <w:szCs w:val="18"/>
              </w:rPr>
            </w:pPr>
            <w:r>
              <w:rPr>
                <w:rFonts w:hint="eastAsia" w:ascii="仿宋" w:hAnsi="仿宋" w:eastAsia="仿宋" w:cs="仿宋"/>
                <w:b/>
                <w:bCs/>
                <w:kern w:val="0"/>
                <w:sz w:val="18"/>
                <w:szCs w:val="18"/>
                <w:lang w:bidi="ar"/>
              </w:rPr>
              <w:t>起拍价（元）</w:t>
            </w:r>
          </w:p>
        </w:tc>
        <w:tc>
          <w:tcPr>
            <w:tcW w:w="13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63861D">
            <w:pPr>
              <w:widowControl/>
              <w:jc w:val="center"/>
              <w:textAlignment w:val="center"/>
              <w:rPr>
                <w:rFonts w:ascii="仿宋" w:hAnsi="仿宋" w:eastAsia="仿宋" w:cs="仿宋"/>
                <w:b/>
                <w:bCs/>
                <w:sz w:val="18"/>
                <w:szCs w:val="18"/>
              </w:rPr>
            </w:pPr>
            <w:r>
              <w:rPr>
                <w:rFonts w:hint="eastAsia" w:ascii="仿宋" w:hAnsi="仿宋" w:eastAsia="仿宋" w:cs="仿宋"/>
                <w:b/>
                <w:bCs/>
                <w:kern w:val="0"/>
                <w:sz w:val="18"/>
                <w:szCs w:val="18"/>
                <w:lang w:bidi="ar"/>
              </w:rPr>
              <w:t>保证金（元）</w:t>
            </w:r>
          </w:p>
        </w:tc>
        <w:tc>
          <w:tcPr>
            <w:tcW w:w="14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1CF234">
            <w:pPr>
              <w:widowControl/>
              <w:jc w:val="center"/>
              <w:textAlignment w:val="center"/>
              <w:rPr>
                <w:rFonts w:ascii="仿宋" w:hAnsi="仿宋" w:eastAsia="仿宋" w:cs="仿宋"/>
                <w:b/>
                <w:bCs/>
                <w:sz w:val="18"/>
                <w:szCs w:val="18"/>
              </w:rPr>
            </w:pPr>
            <w:r>
              <w:rPr>
                <w:rFonts w:hint="eastAsia" w:ascii="仿宋" w:hAnsi="仿宋" w:eastAsia="仿宋" w:cs="仿宋"/>
                <w:b/>
                <w:bCs/>
                <w:kern w:val="0"/>
                <w:sz w:val="18"/>
                <w:szCs w:val="18"/>
                <w:lang w:bidi="ar"/>
              </w:rPr>
              <w:t>加价幅度（元）</w:t>
            </w:r>
          </w:p>
        </w:tc>
      </w:tr>
      <w:tr w14:paraId="3FC8A371">
        <w:tblPrEx>
          <w:tblCellMar>
            <w:top w:w="0" w:type="dxa"/>
            <w:left w:w="108" w:type="dxa"/>
            <w:bottom w:w="0" w:type="dxa"/>
            <w:right w:w="108" w:type="dxa"/>
          </w:tblCellMar>
        </w:tblPrEx>
        <w:trPr>
          <w:trHeight w:val="450"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E0A39">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1</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B2DCF">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1</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936C3">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lang w:bidi="ar"/>
              </w:rPr>
              <w:t>14385256</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6CB82">
            <w:pPr>
              <w:widowControl/>
              <w:jc w:val="center"/>
              <w:textAlignment w:val="center"/>
              <w:rPr>
                <w:rFonts w:hint="default" w:ascii="仿宋" w:hAnsi="仿宋" w:eastAsia="仿宋" w:cs="仿宋"/>
                <w:color w:val="000000"/>
                <w:sz w:val="18"/>
                <w:szCs w:val="18"/>
                <w:lang w:val="en-US" w:eastAsia="zh-CN"/>
              </w:rPr>
            </w:pPr>
            <w:r>
              <w:rPr>
                <w:rFonts w:hint="eastAsia" w:ascii="仿宋" w:hAnsi="仿宋" w:eastAsia="仿宋" w:cs="仿宋"/>
                <w:color w:val="000000"/>
                <w:kern w:val="0"/>
                <w:sz w:val="18"/>
                <w:szCs w:val="18"/>
                <w:lang w:bidi="ar"/>
              </w:rPr>
              <w:t>战国轴承</w:t>
            </w:r>
            <w:r>
              <w:rPr>
                <w:rFonts w:hint="eastAsia" w:ascii="仿宋" w:hAnsi="仿宋" w:eastAsia="仿宋" w:cs="仿宋"/>
                <w:color w:val="000000"/>
                <w:kern w:val="0"/>
                <w:sz w:val="18"/>
                <w:szCs w:val="18"/>
                <w:lang w:val="en-US" w:eastAsia="zh-CN" w:bidi="ar"/>
              </w:rPr>
              <w:t>ZHANGUOZHOUCHENG</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9E6A9">
            <w:pPr>
              <w:widowControl/>
              <w:jc w:val="center"/>
              <w:textAlignment w:val="center"/>
              <w:rPr>
                <w:rFonts w:hint="default" w:ascii="仿宋" w:hAnsi="仿宋" w:eastAsia="仿宋" w:cs="仿宋"/>
                <w:color w:val="000000"/>
                <w:sz w:val="18"/>
                <w:szCs w:val="18"/>
                <w:lang w:val="en-US" w:eastAsia="zh-CN"/>
              </w:rPr>
            </w:pPr>
            <w:r>
              <w:rPr>
                <w:rFonts w:hint="eastAsia" w:ascii="仿宋" w:hAnsi="仿宋" w:eastAsia="仿宋" w:cs="仿宋"/>
                <w:color w:val="000000"/>
                <w:kern w:val="0"/>
                <w:sz w:val="18"/>
                <w:szCs w:val="18"/>
                <w:lang w:bidi="ar"/>
              </w:rPr>
              <w:t>202</w:t>
            </w:r>
            <w:r>
              <w:rPr>
                <w:rFonts w:hint="eastAsia" w:ascii="仿宋" w:hAnsi="仿宋" w:eastAsia="仿宋" w:cs="仿宋"/>
                <w:color w:val="000000"/>
                <w:kern w:val="0"/>
                <w:sz w:val="18"/>
                <w:szCs w:val="18"/>
                <w:lang w:val="en-US" w:eastAsia="zh-CN" w:bidi="ar"/>
              </w:rPr>
              <w:t>5</w:t>
            </w:r>
            <w:r>
              <w:rPr>
                <w:rFonts w:hint="eastAsia" w:ascii="仿宋" w:hAnsi="仿宋" w:eastAsia="仿宋" w:cs="仿宋"/>
                <w:color w:val="000000"/>
                <w:kern w:val="0"/>
                <w:sz w:val="18"/>
                <w:szCs w:val="18"/>
                <w:lang w:bidi="ar"/>
              </w:rPr>
              <w:t>/1</w:t>
            </w:r>
            <w:r>
              <w:rPr>
                <w:rFonts w:hint="eastAsia" w:ascii="仿宋" w:hAnsi="仿宋" w:eastAsia="仿宋" w:cs="仿宋"/>
                <w:color w:val="000000"/>
                <w:kern w:val="0"/>
                <w:sz w:val="18"/>
                <w:szCs w:val="18"/>
                <w:lang w:val="en-US" w:eastAsia="zh-CN" w:bidi="ar"/>
              </w:rPr>
              <w:t>0</w:t>
            </w:r>
            <w:r>
              <w:rPr>
                <w:rFonts w:hint="eastAsia" w:ascii="仿宋" w:hAnsi="仿宋" w:eastAsia="仿宋" w:cs="仿宋"/>
                <w:color w:val="000000"/>
                <w:kern w:val="0"/>
                <w:sz w:val="18"/>
                <w:szCs w:val="18"/>
                <w:lang w:bidi="ar"/>
              </w:rPr>
              <w:t>/</w:t>
            </w:r>
            <w:r>
              <w:rPr>
                <w:rFonts w:hint="eastAsia" w:ascii="仿宋" w:hAnsi="仿宋" w:eastAsia="仿宋" w:cs="仿宋"/>
                <w:color w:val="000000"/>
                <w:kern w:val="0"/>
                <w:sz w:val="18"/>
                <w:szCs w:val="18"/>
                <w:lang w:val="en-US" w:eastAsia="zh-CN" w:bidi="ar"/>
              </w:rPr>
              <w:t>20</w:t>
            </w:r>
          </w:p>
        </w:tc>
        <w:tc>
          <w:tcPr>
            <w:tcW w:w="12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EF317A">
            <w:pPr>
              <w:widowControl/>
              <w:jc w:val="center"/>
              <w:textAlignment w:val="center"/>
              <w:rPr>
                <w:rFonts w:hint="eastAsia" w:ascii="仿宋" w:hAnsi="仿宋" w:eastAsia="仿宋" w:cs="仿宋"/>
                <w:sz w:val="18"/>
                <w:szCs w:val="18"/>
                <w:lang w:eastAsia="zh-CN"/>
              </w:rPr>
            </w:pPr>
            <w:r>
              <w:rPr>
                <w:rFonts w:hint="eastAsia" w:ascii="仿宋" w:hAnsi="仿宋" w:eastAsia="仿宋" w:cs="仿宋"/>
                <w:kern w:val="0"/>
                <w:sz w:val="18"/>
                <w:szCs w:val="18"/>
                <w:lang w:val="en-US" w:eastAsia="zh-CN" w:bidi="ar"/>
              </w:rPr>
              <w:t>1</w:t>
            </w:r>
          </w:p>
        </w:tc>
        <w:tc>
          <w:tcPr>
            <w:tcW w:w="13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4A0D0F">
            <w:pPr>
              <w:widowControl/>
              <w:jc w:val="center"/>
              <w:textAlignment w:val="center"/>
              <w:rPr>
                <w:rFonts w:hint="default" w:ascii="仿宋" w:hAnsi="仿宋" w:eastAsia="仿宋" w:cs="仿宋"/>
                <w:sz w:val="18"/>
                <w:szCs w:val="18"/>
                <w:lang w:val="en-US" w:eastAsia="zh-CN"/>
              </w:rPr>
            </w:pPr>
            <w:r>
              <w:rPr>
                <w:rFonts w:hint="eastAsia" w:ascii="仿宋" w:hAnsi="仿宋" w:eastAsia="仿宋" w:cs="仿宋"/>
                <w:sz w:val="18"/>
                <w:szCs w:val="18"/>
                <w:lang w:val="en-US" w:eastAsia="zh-CN"/>
              </w:rPr>
              <w:t>5000</w:t>
            </w:r>
          </w:p>
        </w:tc>
        <w:tc>
          <w:tcPr>
            <w:tcW w:w="14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E3B5F7">
            <w:pPr>
              <w:widowControl/>
              <w:jc w:val="center"/>
              <w:textAlignment w:val="center"/>
              <w:rPr>
                <w:rFonts w:hint="default" w:ascii="仿宋" w:hAnsi="仿宋" w:eastAsia="仿宋" w:cs="仿宋"/>
                <w:sz w:val="18"/>
                <w:szCs w:val="18"/>
                <w:lang w:val="en-US" w:eastAsia="zh-CN"/>
              </w:rPr>
            </w:pPr>
            <w:r>
              <w:rPr>
                <w:rFonts w:hint="eastAsia" w:ascii="仿宋" w:hAnsi="仿宋" w:eastAsia="仿宋" w:cs="仿宋"/>
                <w:kern w:val="0"/>
                <w:sz w:val="18"/>
                <w:szCs w:val="18"/>
                <w:lang w:val="en-US" w:eastAsia="zh-CN" w:bidi="ar"/>
              </w:rPr>
              <w:t>50</w:t>
            </w:r>
          </w:p>
        </w:tc>
      </w:tr>
    </w:tbl>
    <w:p w14:paraId="1FCD68E5">
      <w:pPr>
        <w:pStyle w:val="4"/>
        <w:spacing w:before="0" w:beforeAutospacing="0" w:after="0" w:afterAutospacing="0" w:line="360" w:lineRule="auto"/>
        <w:ind w:firstLine="560" w:firstLineChars="200"/>
        <w:jc w:val="both"/>
        <w:rPr>
          <w:rFonts w:ascii="仿宋" w:hAnsi="仿宋" w:eastAsia="仿宋" w:cs="仿宋"/>
          <w:sz w:val="28"/>
          <w:szCs w:val="28"/>
        </w:rPr>
      </w:pPr>
      <w:r>
        <w:rPr>
          <w:rFonts w:hint="eastAsia" w:ascii="仿宋" w:hAnsi="仿宋" w:eastAsia="仿宋" w:cs="仿宋"/>
          <w:sz w:val="28"/>
          <w:szCs w:val="28"/>
        </w:rPr>
        <w:t>二、咨询、展示看样的时间与方式</w:t>
      </w:r>
    </w:p>
    <w:p w14:paraId="263DE758">
      <w:pPr>
        <w:pStyle w:val="4"/>
        <w:spacing w:before="0" w:beforeAutospacing="0" w:after="0" w:afterAutospacing="0" w:line="360" w:lineRule="auto"/>
        <w:ind w:firstLine="560" w:firstLineChars="200"/>
        <w:jc w:val="both"/>
        <w:rPr>
          <w:rFonts w:ascii="仿宋" w:hAnsi="仿宋" w:eastAsia="仿宋" w:cs="仿宋"/>
          <w:sz w:val="28"/>
          <w:szCs w:val="28"/>
        </w:rPr>
      </w:pPr>
      <w:r>
        <w:rPr>
          <w:rFonts w:hint="eastAsia" w:ascii="仿宋" w:hAnsi="仿宋" w:eastAsia="仿宋" w:cs="仿宋"/>
          <w:sz w:val="28"/>
          <w:szCs w:val="28"/>
        </w:rPr>
        <w:t>自公告之日起接受咨询，联系人：</w:t>
      </w:r>
      <w:r>
        <w:rPr>
          <w:rFonts w:hint="eastAsia" w:ascii="仿宋" w:hAnsi="仿宋" w:eastAsia="仿宋" w:cs="仿宋"/>
          <w:sz w:val="28"/>
          <w:szCs w:val="28"/>
          <w:lang w:val="en-US" w:eastAsia="zh-CN"/>
        </w:rPr>
        <w:t>李艳梅</w:t>
      </w:r>
      <w:r>
        <w:rPr>
          <w:rFonts w:hint="eastAsia" w:ascii="仿宋" w:hAnsi="仿宋" w:eastAsia="仿宋" w:cs="仿宋"/>
          <w:sz w:val="28"/>
          <w:szCs w:val="28"/>
        </w:rPr>
        <w:t xml:space="preserve">，咨询电话： </w:t>
      </w:r>
      <w:r>
        <w:rPr>
          <w:rFonts w:hint="eastAsia" w:ascii="仿宋" w:hAnsi="仿宋" w:eastAsia="仿宋" w:cs="仿宋"/>
          <w:sz w:val="28"/>
          <w:szCs w:val="28"/>
          <w:lang w:val="en-US" w:eastAsia="zh-CN"/>
        </w:rPr>
        <w:t>13230070590</w:t>
      </w:r>
      <w:r>
        <w:rPr>
          <w:rFonts w:hint="eastAsia" w:ascii="仿宋" w:hAnsi="仿宋" w:eastAsia="仿宋" w:cs="仿宋"/>
          <w:sz w:val="28"/>
          <w:szCs w:val="28"/>
        </w:rPr>
        <w:t>。有意者可</w:t>
      </w:r>
      <w:r>
        <w:rPr>
          <w:rFonts w:hint="eastAsia" w:ascii="仿宋" w:hAnsi="仿宋" w:eastAsia="仿宋" w:cs="仿宋"/>
          <w:sz w:val="28"/>
          <w:szCs w:val="28"/>
          <w:lang w:val="en-US" w:eastAsia="zh-CN"/>
        </w:rPr>
        <w:t>与</w:t>
      </w:r>
      <w:r>
        <w:rPr>
          <w:rFonts w:hint="eastAsia" w:ascii="仿宋" w:hAnsi="仿宋" w:eastAsia="仿宋" w:cs="仿宋"/>
          <w:sz w:val="28"/>
          <w:szCs w:val="28"/>
        </w:rPr>
        <w:t>联系人沟通具体看样方式。</w:t>
      </w:r>
    </w:p>
    <w:p w14:paraId="2FE0DFC1">
      <w:pPr>
        <w:pStyle w:val="4"/>
        <w:spacing w:before="0" w:beforeAutospacing="0" w:after="0" w:afterAutospacing="0" w:line="360" w:lineRule="auto"/>
        <w:ind w:firstLine="560" w:firstLineChars="200"/>
        <w:jc w:val="both"/>
        <w:rPr>
          <w:rFonts w:ascii="仿宋" w:hAnsi="仿宋" w:eastAsia="仿宋" w:cs="仿宋"/>
          <w:sz w:val="28"/>
          <w:szCs w:val="28"/>
        </w:rPr>
      </w:pPr>
      <w:r>
        <w:rPr>
          <w:rFonts w:hint="eastAsia" w:ascii="仿宋" w:hAnsi="仿宋" w:eastAsia="仿宋" w:cs="仿宋"/>
          <w:sz w:val="28"/>
          <w:szCs w:val="28"/>
        </w:rPr>
        <w:t>三、标的已知优先购买权人</w:t>
      </w:r>
      <w:r>
        <w:rPr>
          <w:rFonts w:ascii="仿宋" w:hAnsi="仿宋" w:eastAsia="仿宋" w:cs="仿宋"/>
          <w:sz w:val="28"/>
          <w:szCs w:val="28"/>
        </w:rPr>
        <w:t xml:space="preserve"> </w:t>
      </w:r>
    </w:p>
    <w:p w14:paraId="60F4BF36">
      <w:pPr>
        <w:pStyle w:val="4"/>
        <w:spacing w:before="0" w:beforeAutospacing="0" w:after="0" w:afterAutospacing="0" w:line="360" w:lineRule="auto"/>
        <w:ind w:firstLine="560" w:firstLineChars="200"/>
        <w:jc w:val="both"/>
        <w:rPr>
          <w:rFonts w:ascii="仿宋" w:hAnsi="仿宋" w:eastAsia="仿宋" w:cs="仿宋"/>
          <w:sz w:val="28"/>
          <w:szCs w:val="28"/>
        </w:rPr>
      </w:pPr>
      <w:r>
        <w:rPr>
          <w:rFonts w:hint="eastAsia" w:ascii="仿宋" w:hAnsi="仿宋" w:eastAsia="仿宋" w:cs="仿宋"/>
          <w:sz w:val="28"/>
          <w:szCs w:val="28"/>
        </w:rPr>
        <w:t>竞价标的如若存在优先购买权人，优先购买权人参加竞买的，应于</w:t>
      </w:r>
      <w:r>
        <w:rPr>
          <w:rFonts w:hint="eastAsia" w:ascii="仿宋" w:hAnsi="仿宋" w:eastAsia="仿宋" w:cs="仿宋"/>
          <w:b/>
          <w:bCs/>
          <w:sz w:val="28"/>
          <w:szCs w:val="28"/>
        </w:rPr>
        <w:t>竞价活动开始前</w:t>
      </w:r>
      <w:r>
        <w:rPr>
          <w:rFonts w:ascii="仿宋" w:hAnsi="仿宋" w:eastAsia="仿宋" w:cs="仿宋"/>
          <w:b/>
          <w:bCs/>
          <w:sz w:val="28"/>
          <w:szCs w:val="28"/>
        </w:rPr>
        <w:t>5</w:t>
      </w:r>
      <w:r>
        <w:rPr>
          <w:rFonts w:hint="eastAsia" w:ascii="仿宋" w:hAnsi="仿宋" w:eastAsia="仿宋" w:cs="仿宋"/>
          <w:b/>
          <w:bCs/>
          <w:sz w:val="28"/>
          <w:szCs w:val="28"/>
        </w:rPr>
        <w:t>个工作日前</w:t>
      </w:r>
      <w:r>
        <w:rPr>
          <w:rFonts w:hint="eastAsia" w:ascii="仿宋" w:hAnsi="仿宋" w:eastAsia="仿宋" w:cs="仿宋"/>
          <w:sz w:val="28"/>
          <w:szCs w:val="28"/>
        </w:rPr>
        <w:t>向上拍机构或管理人提交合法有效的证明（登记的证件信息必须与京东实名认证相一致），资格经本上拍机构或管理人确认后才能以优先购买权人的身份参与竞买，</w:t>
      </w:r>
      <w:r>
        <w:rPr>
          <w:rFonts w:hint="eastAsia" w:ascii="仿宋" w:hAnsi="仿宋" w:eastAsia="仿宋" w:cs="仿宋"/>
          <w:b/>
          <w:bCs/>
          <w:sz w:val="28"/>
          <w:szCs w:val="28"/>
        </w:rPr>
        <w:t>逾期不提交的，视为放弃对本标的物享有优先购买权。本标的优先购买权人未参加竞价，亦视为放弃优先购买权。</w:t>
      </w:r>
      <w:r>
        <w:rPr>
          <w:rFonts w:hint="eastAsia" w:ascii="仿宋" w:hAnsi="仿宋" w:eastAsia="仿宋" w:cs="仿宋"/>
          <w:b/>
          <w:bCs/>
          <w:sz w:val="28"/>
          <w:szCs w:val="28"/>
        </w:rPr>
        <w:br w:type="textWrapping"/>
      </w:r>
      <w:r>
        <w:rPr>
          <w:rFonts w:hint="eastAsia" w:ascii="仿宋" w:hAnsi="仿宋" w:eastAsia="仿宋" w:cs="仿宋"/>
          <w:sz w:val="28"/>
          <w:szCs w:val="28"/>
        </w:rPr>
        <w:t xml:space="preserve">    四、对上述标的权属有异议者，应于</w:t>
      </w:r>
      <w:r>
        <w:rPr>
          <w:rFonts w:hint="eastAsia" w:ascii="仿宋" w:hAnsi="仿宋" w:eastAsia="仿宋" w:cs="仿宋"/>
          <w:b/>
          <w:bCs/>
          <w:sz w:val="28"/>
          <w:szCs w:val="28"/>
        </w:rPr>
        <w:t>竞价开始前5个工作日前</w:t>
      </w:r>
      <w:r>
        <w:rPr>
          <w:rFonts w:hint="eastAsia" w:ascii="仿宋" w:hAnsi="仿宋" w:eastAsia="仿宋" w:cs="仿宋"/>
          <w:sz w:val="28"/>
          <w:szCs w:val="28"/>
        </w:rPr>
        <w:t>与管理人联系。与本标的物有利害关系的当事人可参加竞价，不参加竞价的请关注本次竞价活动的整个过程。</w:t>
      </w:r>
    </w:p>
    <w:p w14:paraId="28585B20">
      <w:pPr>
        <w:pStyle w:val="4"/>
        <w:spacing w:before="0" w:beforeAutospacing="0" w:after="0" w:afterAutospacing="0" w:line="360" w:lineRule="auto"/>
        <w:ind w:firstLine="560" w:firstLineChars="200"/>
        <w:jc w:val="both"/>
        <w:rPr>
          <w:rFonts w:ascii="仿宋" w:hAnsi="仿宋" w:eastAsia="仿宋" w:cs="仿宋"/>
          <w:sz w:val="28"/>
          <w:szCs w:val="28"/>
        </w:rPr>
      </w:pPr>
      <w:r>
        <w:rPr>
          <w:rFonts w:hint="eastAsia" w:ascii="仿宋" w:hAnsi="仿宋" w:eastAsia="仿宋" w:cs="仿宋"/>
          <w:sz w:val="28"/>
          <w:szCs w:val="28"/>
        </w:rPr>
        <w:t>五、竞价方式</w:t>
      </w:r>
    </w:p>
    <w:p w14:paraId="60ACB2AA">
      <w:pPr>
        <w:pStyle w:val="4"/>
        <w:spacing w:before="0" w:beforeAutospacing="0" w:after="0" w:afterAutospacing="0" w:line="360" w:lineRule="auto"/>
        <w:ind w:firstLine="560" w:firstLineChars="200"/>
        <w:jc w:val="both"/>
        <w:rPr>
          <w:rFonts w:ascii="仿宋" w:hAnsi="仿宋" w:eastAsia="仿宋" w:cs="仿宋"/>
          <w:sz w:val="28"/>
          <w:szCs w:val="28"/>
        </w:rPr>
      </w:pPr>
      <w:r>
        <w:rPr>
          <w:rFonts w:hint="eastAsia" w:ascii="仿宋" w:hAnsi="仿宋" w:eastAsia="仿宋" w:cs="仿宋"/>
          <w:sz w:val="28"/>
          <w:szCs w:val="28"/>
        </w:rPr>
        <w:t>（一）竞价从起拍价开始以递增出价方式竞价，增价幅度5</w:t>
      </w:r>
      <w:r>
        <w:rPr>
          <w:rFonts w:ascii="仿宋" w:hAnsi="仿宋" w:eastAsia="仿宋" w:cs="仿宋"/>
          <w:sz w:val="28"/>
          <w:szCs w:val="28"/>
        </w:rPr>
        <w:t>0</w:t>
      </w:r>
      <w:r>
        <w:rPr>
          <w:rFonts w:hint="eastAsia" w:ascii="仿宋" w:hAnsi="仿宋" w:eastAsia="仿宋" w:cs="仿宋"/>
          <w:sz w:val="28"/>
          <w:szCs w:val="28"/>
        </w:rPr>
        <w:t>元及其整数倍，竞买人以低于起拍价出价的无效。</w:t>
      </w:r>
    </w:p>
    <w:p w14:paraId="5C4F0E01">
      <w:pPr>
        <w:pStyle w:val="4"/>
        <w:spacing w:before="0" w:beforeAutospacing="0" w:after="0" w:afterAutospacing="0" w:line="360" w:lineRule="auto"/>
        <w:ind w:firstLine="560" w:firstLineChars="200"/>
        <w:jc w:val="both"/>
        <w:rPr>
          <w:rFonts w:ascii="仿宋" w:hAnsi="仿宋" w:eastAsia="仿宋" w:cs="仿宋"/>
          <w:sz w:val="28"/>
          <w:szCs w:val="28"/>
        </w:rPr>
      </w:pPr>
      <w:r>
        <w:rPr>
          <w:rFonts w:hint="eastAsia" w:ascii="仿宋" w:hAnsi="仿宋" w:eastAsia="仿宋" w:cs="仿宋"/>
          <w:sz w:val="28"/>
          <w:szCs w:val="28"/>
        </w:rPr>
        <w:t>（二）本次竞价活动设置延时出价功能，在竞价活动结束前，每最后5分钟如果有竞买人出价，就自动延迟5分钟。</w:t>
      </w:r>
    </w:p>
    <w:p w14:paraId="5FD92BEE">
      <w:pPr>
        <w:pStyle w:val="4"/>
        <w:spacing w:before="0" w:beforeAutospacing="0" w:after="0" w:afterAutospacing="0" w:line="360" w:lineRule="auto"/>
        <w:ind w:firstLine="560" w:firstLineChars="200"/>
        <w:jc w:val="both"/>
        <w:rPr>
          <w:rFonts w:ascii="仿宋" w:hAnsi="仿宋" w:eastAsia="仿宋" w:cs="仿宋"/>
          <w:sz w:val="28"/>
          <w:szCs w:val="28"/>
        </w:rPr>
      </w:pPr>
      <w:r>
        <w:rPr>
          <w:rFonts w:hint="eastAsia" w:ascii="仿宋" w:hAnsi="仿宋" w:eastAsia="仿宋" w:cs="仿宋"/>
          <w:sz w:val="28"/>
          <w:szCs w:val="28"/>
        </w:rPr>
        <w:t>（三）本次拍卖保留价为起拍价。</w:t>
      </w:r>
    </w:p>
    <w:p w14:paraId="2977350F">
      <w:pPr>
        <w:pStyle w:val="4"/>
        <w:spacing w:before="0" w:beforeAutospacing="0" w:after="0" w:afterAutospacing="0" w:line="360" w:lineRule="auto"/>
        <w:ind w:firstLine="560" w:firstLineChars="200"/>
        <w:jc w:val="both"/>
        <w:rPr>
          <w:rFonts w:ascii="仿宋" w:hAnsi="仿宋" w:eastAsia="仿宋" w:cs="仿宋"/>
          <w:sz w:val="28"/>
          <w:szCs w:val="28"/>
        </w:rPr>
      </w:pPr>
      <w:r>
        <w:rPr>
          <w:rFonts w:hint="eastAsia" w:ascii="仿宋" w:hAnsi="仿宋" w:eastAsia="仿宋" w:cs="仿宋"/>
          <w:sz w:val="28"/>
          <w:szCs w:val="28"/>
        </w:rPr>
        <w:t>六、保证金与余款交纳</w:t>
      </w:r>
    </w:p>
    <w:p w14:paraId="5D3B53FE">
      <w:pPr>
        <w:pStyle w:val="4"/>
        <w:spacing w:before="0" w:beforeAutospacing="0" w:after="0" w:afterAutospacing="0" w:line="360" w:lineRule="auto"/>
        <w:ind w:firstLine="560" w:firstLineChars="200"/>
        <w:jc w:val="both"/>
        <w:rPr>
          <w:rFonts w:ascii="仿宋" w:hAnsi="仿宋" w:eastAsia="仿宋" w:cs="仿宋"/>
          <w:sz w:val="28"/>
          <w:szCs w:val="28"/>
        </w:rPr>
      </w:pPr>
      <w:r>
        <w:rPr>
          <w:rFonts w:hint="eastAsia" w:ascii="仿宋" w:hAnsi="仿宋" w:eastAsia="仿宋" w:cs="仿宋"/>
          <w:sz w:val="28"/>
          <w:szCs w:val="28"/>
        </w:rPr>
        <w:t>第一次出价前，意向竞买人须在京东注册账号并通过实名认证（已注册京东账号需通过实名认证），在线支付竞买保证金，支付后系统自动冻结该笔保证金。竞价成交的，本标的物竞得者（以下称买受人）冻结的保证金将自动转为部分成交款，由京东结算给管理人指定账户；竞价结束后，未能竞得者的保证金以及竞价未成交的（即流拍的）竞买人的保证金在竞价活动结束后即时解冻，保证金冻结期间不计利息。</w:t>
      </w:r>
    </w:p>
    <w:p w14:paraId="3D92487B">
      <w:pPr>
        <w:widowControl/>
        <w:shd w:val="clear" w:color="auto" w:fill="FFFFFF"/>
        <w:spacing w:line="270" w:lineRule="atLeast"/>
        <w:ind w:firstLine="560" w:firstLineChars="200"/>
        <w:jc w:val="left"/>
        <w:rPr>
          <w:rFonts w:ascii="仿宋" w:hAnsi="仿宋" w:eastAsia="仿宋" w:cs="仿宋"/>
          <w:b/>
          <w:bCs/>
          <w:color w:val="FF0000"/>
          <w:sz w:val="30"/>
          <w:szCs w:val="30"/>
        </w:rPr>
      </w:pPr>
      <w:r>
        <w:rPr>
          <w:rFonts w:hint="eastAsia" w:ascii="仿宋" w:hAnsi="仿宋" w:eastAsia="仿宋" w:cs="仿宋"/>
          <w:sz w:val="28"/>
          <w:szCs w:val="28"/>
        </w:rPr>
        <w:t>竞价成交后，标的物竞得者原锁定的保证金自动转入管理人指定账户。买受人应于</w:t>
      </w:r>
      <w:r>
        <w:rPr>
          <w:rFonts w:hint="eastAsia" w:ascii="仿宋" w:hAnsi="仿宋" w:eastAsia="仿宋" w:cs="仿宋"/>
          <w:b/>
          <w:bCs/>
          <w:sz w:val="28"/>
          <w:szCs w:val="28"/>
        </w:rPr>
        <w:t>成交之时起</w:t>
      </w:r>
      <w:r>
        <w:rPr>
          <w:rFonts w:ascii="仿宋" w:hAnsi="仿宋" w:eastAsia="仿宋" w:cs="仿宋"/>
          <w:b/>
          <w:bCs/>
          <w:sz w:val="28"/>
          <w:szCs w:val="28"/>
        </w:rPr>
        <w:t>5</w:t>
      </w:r>
      <w:r>
        <w:rPr>
          <w:rFonts w:hint="eastAsia" w:ascii="仿宋" w:hAnsi="仿宋" w:eastAsia="仿宋" w:cs="仿宋"/>
          <w:b/>
          <w:bCs/>
          <w:sz w:val="28"/>
          <w:szCs w:val="28"/>
        </w:rPr>
        <w:t>个工作日内</w:t>
      </w:r>
      <w:r>
        <w:rPr>
          <w:rFonts w:hint="eastAsia" w:ascii="仿宋" w:hAnsi="仿宋" w:eastAsia="仿宋" w:cs="仿宋"/>
          <w:sz w:val="28"/>
          <w:szCs w:val="28"/>
        </w:rPr>
        <w:t>将竞价成交价余款（扣除保证金后的余款）缴入管理人指定账户</w:t>
      </w:r>
      <w:r>
        <w:rPr>
          <w:rFonts w:hint="eastAsia" w:ascii="仿宋" w:hAnsi="仿宋" w:eastAsia="仿宋" w:cs="仿宋"/>
          <w:color w:val="000000" w:themeColor="text1"/>
          <w:sz w:val="28"/>
          <w:szCs w:val="28"/>
          <w14:textFill>
            <w14:solidFill>
              <w14:schemeClr w14:val="tx1"/>
            </w14:solidFill>
          </w14:textFill>
        </w:rPr>
        <w:t>（</w:t>
      </w:r>
      <w:r>
        <w:rPr>
          <w:rFonts w:hint="eastAsia" w:ascii="仿宋" w:hAnsi="仿宋" w:eastAsia="仿宋" w:cs="仿宋"/>
          <w:b/>
          <w:bCs/>
          <w:sz w:val="30"/>
          <w:szCs w:val="30"/>
        </w:rPr>
        <w:t>户名：河北紫微星律师事务所</w:t>
      </w:r>
      <w:r>
        <w:rPr>
          <w:rFonts w:hint="eastAsia" w:ascii="仿宋" w:hAnsi="仿宋" w:eastAsia="仿宋" w:cs="仿宋"/>
          <w:b/>
          <w:bCs/>
          <w:color w:val="000000" w:themeColor="text1"/>
          <w:sz w:val="30"/>
          <w:szCs w:val="30"/>
          <w14:textFill>
            <w14:solidFill>
              <w14:schemeClr w14:val="tx1"/>
            </w14:solidFill>
          </w14:textFill>
        </w:rPr>
        <w:t>；账号：100147912411；开户行：中国银行股份有限公司邯郸分行</w:t>
      </w:r>
      <w:r>
        <w:rPr>
          <w:rFonts w:hint="eastAsia" w:ascii="仿宋" w:hAnsi="仿宋" w:eastAsia="仿宋" w:cs="仿宋"/>
          <w:b/>
          <w:bCs/>
          <w:sz w:val="30"/>
          <w:szCs w:val="30"/>
        </w:rPr>
        <w:t>），</w:t>
      </w:r>
      <w:r>
        <w:rPr>
          <w:rFonts w:hint="eastAsia" w:ascii="仿宋" w:hAnsi="仿宋" w:eastAsia="仿宋" w:cs="仿宋"/>
          <w:b/>
          <w:color w:val="000000"/>
          <w:sz w:val="30"/>
          <w:szCs w:val="30"/>
        </w:rPr>
        <w:t>并注明“破产案号：（202</w:t>
      </w:r>
      <w:r>
        <w:rPr>
          <w:rFonts w:hint="eastAsia" w:ascii="仿宋" w:hAnsi="仿宋" w:eastAsia="仿宋" w:cs="仿宋"/>
          <w:b/>
          <w:color w:val="000000"/>
          <w:sz w:val="30"/>
          <w:szCs w:val="30"/>
          <w:lang w:val="en-US" w:eastAsia="zh-CN"/>
        </w:rPr>
        <w:t>4</w:t>
      </w:r>
      <w:r>
        <w:rPr>
          <w:rFonts w:hint="eastAsia" w:ascii="仿宋" w:hAnsi="仿宋" w:eastAsia="仿宋" w:cs="仿宋"/>
          <w:b/>
          <w:color w:val="000000"/>
          <w:sz w:val="30"/>
          <w:szCs w:val="30"/>
        </w:rPr>
        <w:t>）</w:t>
      </w:r>
      <w:r>
        <w:rPr>
          <w:rFonts w:hint="eastAsia" w:ascii="仿宋" w:hAnsi="仿宋" w:eastAsia="仿宋" w:cs="仿宋"/>
          <w:b/>
          <w:color w:val="000000"/>
          <w:sz w:val="30"/>
          <w:szCs w:val="30"/>
          <w:lang w:val="en-US" w:eastAsia="zh-CN"/>
        </w:rPr>
        <w:t>冀</w:t>
      </w:r>
      <w:r>
        <w:rPr>
          <w:rFonts w:hint="eastAsia" w:ascii="仿宋" w:hAnsi="仿宋" w:eastAsia="仿宋" w:cs="仿宋"/>
          <w:b/>
          <w:color w:val="000000"/>
          <w:sz w:val="30"/>
          <w:szCs w:val="30"/>
        </w:rPr>
        <w:t>0</w:t>
      </w:r>
      <w:r>
        <w:rPr>
          <w:rFonts w:hint="eastAsia" w:ascii="仿宋" w:hAnsi="仿宋" w:eastAsia="仿宋" w:cs="仿宋"/>
          <w:b/>
          <w:color w:val="000000"/>
          <w:sz w:val="30"/>
          <w:szCs w:val="30"/>
          <w:lang w:val="en-US" w:eastAsia="zh-CN"/>
        </w:rPr>
        <w:t>4</w:t>
      </w:r>
      <w:r>
        <w:rPr>
          <w:rFonts w:hint="eastAsia" w:ascii="仿宋" w:hAnsi="仿宋" w:eastAsia="仿宋" w:cs="仿宋"/>
          <w:b/>
          <w:color w:val="000000"/>
          <w:sz w:val="30"/>
          <w:szCs w:val="30"/>
        </w:rPr>
        <w:t>破</w:t>
      </w:r>
      <w:r>
        <w:rPr>
          <w:rFonts w:hint="eastAsia" w:ascii="仿宋" w:hAnsi="仿宋" w:eastAsia="仿宋" w:cs="仿宋"/>
          <w:b/>
          <w:color w:val="000000"/>
          <w:sz w:val="30"/>
          <w:szCs w:val="30"/>
          <w:lang w:val="en-US" w:eastAsia="zh-CN"/>
        </w:rPr>
        <w:t>申18</w:t>
      </w:r>
      <w:r>
        <w:rPr>
          <w:rFonts w:hint="eastAsia" w:ascii="仿宋" w:hAnsi="仿宋" w:eastAsia="仿宋" w:cs="仿宋"/>
          <w:b/>
          <w:color w:val="000000"/>
          <w:sz w:val="30"/>
          <w:szCs w:val="30"/>
        </w:rPr>
        <w:t>号</w:t>
      </w:r>
      <w:r>
        <w:rPr>
          <w:rFonts w:hint="eastAsia" w:ascii="仿宋" w:hAnsi="仿宋" w:eastAsia="仿宋" w:cs="仿宋"/>
          <w:b/>
          <w:bCs/>
          <w:color w:val="000000" w:themeColor="text1"/>
          <w:kern w:val="0"/>
          <w:sz w:val="28"/>
          <w:szCs w:val="28"/>
          <w14:textFill>
            <w14:solidFill>
              <w14:schemeClr w14:val="tx1"/>
            </w14:solidFill>
          </w14:textFill>
        </w:rPr>
        <w:t>；</w:t>
      </w:r>
      <w:r>
        <w:rPr>
          <w:rFonts w:hint="eastAsia" w:ascii="仿宋" w:hAnsi="仿宋" w:eastAsia="仿宋" w:cs="仿宋"/>
          <w:b/>
          <w:bCs/>
          <w:color w:val="000000" w:themeColor="text1"/>
          <w:sz w:val="28"/>
          <w:szCs w:val="28"/>
          <w14:textFill>
            <w14:solidFill>
              <w14:schemeClr w14:val="tx1"/>
            </w14:solidFill>
          </w14:textFill>
        </w:rPr>
        <w:t>款项性质：</w:t>
      </w:r>
      <w:r>
        <w:rPr>
          <w:rFonts w:hint="eastAsia" w:ascii="仿宋" w:hAnsi="仿宋" w:eastAsia="仿宋" w:cs="仿宋"/>
          <w:b/>
          <w:bCs/>
          <w:sz w:val="30"/>
          <w:szCs w:val="30"/>
        </w:rPr>
        <w:t>商标拍卖尾款</w:t>
      </w:r>
      <w:r>
        <w:rPr>
          <w:rFonts w:hint="eastAsia" w:ascii="仿宋" w:hAnsi="仿宋" w:eastAsia="仿宋" w:cs="仿宋"/>
          <w:b/>
          <w:bCs/>
          <w:color w:val="000000" w:themeColor="text1"/>
          <w:sz w:val="28"/>
          <w:szCs w:val="28"/>
          <w14:textFill>
            <w14:solidFill>
              <w14:schemeClr w14:val="tx1"/>
            </w14:solidFill>
          </w14:textFill>
        </w:rPr>
        <w:t>”。</w:t>
      </w:r>
      <w:r>
        <w:rPr>
          <w:rFonts w:hint="eastAsia" w:ascii="仿宋" w:hAnsi="仿宋" w:eastAsia="仿宋" w:cs="仿宋"/>
          <w:b/>
          <w:bCs/>
          <w:sz w:val="30"/>
          <w:szCs w:val="30"/>
        </w:rPr>
        <w:t>逾期则视为买受人违约，竞买保证金不予退还。</w:t>
      </w:r>
    </w:p>
    <w:p w14:paraId="7B325428">
      <w:pPr>
        <w:pStyle w:val="4"/>
        <w:shd w:val="clear" w:color="auto" w:fill="FFFFFF"/>
        <w:spacing w:before="0" w:beforeAutospacing="0" w:after="0" w:afterAutospacing="0" w:line="360" w:lineRule="auto"/>
        <w:ind w:firstLine="562" w:firstLineChars="200"/>
        <w:jc w:val="both"/>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买受人逾期未支付拍卖款或者拍卖成交后悔拍的，管理人可重新拍卖，原买受人交纳的竞买保证金不予退还。重新拍卖的费用损失以及重新拍卖成交价低于原拍卖成交价造成的差价损失，由原买受人承担。管理人可以直接从原买受人交纳的竞买保证金中扣除，竞买保证金数额不足以支付重新拍卖产生的费用损失及弥补重新拍卖价款低于原拍卖价款的差价损失的，原买受人应予补足，拒不补足的，管理人有权提起诉讼。</w:t>
      </w:r>
      <w:r>
        <w:rPr>
          <w:rFonts w:hint="eastAsia" w:ascii="仿宋" w:hAnsi="仿宋" w:eastAsia="仿宋" w:cs="仿宋"/>
          <w:color w:val="000000" w:themeColor="text1"/>
          <w:sz w:val="28"/>
          <w:szCs w:val="28"/>
          <w14:textFill>
            <w14:solidFill>
              <w14:schemeClr w14:val="tx1"/>
            </w14:solidFill>
          </w14:textFill>
        </w:rPr>
        <w:t>悔拍后重新拍卖的，原买受人不得参加竞买。</w:t>
      </w:r>
    </w:p>
    <w:p w14:paraId="54D37E03">
      <w:pPr>
        <w:pStyle w:val="4"/>
        <w:spacing w:before="0" w:beforeAutospacing="0" w:after="0" w:afterAutospacing="0" w:line="360" w:lineRule="auto"/>
        <w:ind w:firstLine="560" w:firstLineChars="200"/>
        <w:jc w:val="both"/>
        <w:rPr>
          <w:rFonts w:ascii="仿宋" w:hAnsi="仿宋" w:eastAsia="仿宋" w:cs="仿宋"/>
          <w:sz w:val="28"/>
          <w:szCs w:val="28"/>
        </w:rPr>
      </w:pPr>
      <w:r>
        <w:rPr>
          <w:rFonts w:hint="eastAsia" w:ascii="仿宋" w:hAnsi="仿宋" w:eastAsia="仿宋" w:cs="仿宋"/>
          <w:sz w:val="28"/>
          <w:szCs w:val="28"/>
        </w:rPr>
        <w:t>七、移交与过户</w:t>
      </w:r>
    </w:p>
    <w:p w14:paraId="5096201E">
      <w:pPr>
        <w:pStyle w:val="4"/>
        <w:spacing w:before="0" w:beforeAutospacing="0" w:after="0" w:afterAutospacing="0" w:line="360" w:lineRule="auto"/>
        <w:ind w:firstLine="560" w:firstLineChars="200"/>
        <w:jc w:val="both"/>
        <w:rPr>
          <w:rFonts w:ascii="仿宋" w:hAnsi="仿宋" w:eastAsia="仿宋" w:cs="仿宋"/>
          <w:sz w:val="28"/>
          <w:szCs w:val="28"/>
        </w:rPr>
      </w:pPr>
      <w:r>
        <w:rPr>
          <w:rFonts w:hint="eastAsia" w:ascii="仿宋" w:hAnsi="仿宋" w:eastAsia="仿宋" w:cs="仿宋"/>
          <w:sz w:val="28"/>
          <w:szCs w:val="28"/>
        </w:rPr>
        <w:t>（一）买受人在</w:t>
      </w:r>
      <w:r>
        <w:rPr>
          <w:rFonts w:hint="eastAsia" w:ascii="仿宋" w:hAnsi="仿宋" w:eastAsia="仿宋" w:cs="仿宋"/>
          <w:b/>
          <w:bCs/>
          <w:sz w:val="28"/>
          <w:szCs w:val="28"/>
        </w:rPr>
        <w:t>交齐所有成交款后五个工作日内</w:t>
      </w:r>
      <w:r>
        <w:rPr>
          <w:rFonts w:hint="eastAsia" w:ascii="仿宋" w:hAnsi="仿宋" w:eastAsia="仿宋" w:cs="仿宋"/>
          <w:sz w:val="28"/>
          <w:szCs w:val="28"/>
        </w:rPr>
        <w:t>（凭付款凭证及相关身份材料、委托手续等原件）到管理人处（地址：河北省邯郸市丛台路与东环路口江泉大厦29层</w:t>
      </w:r>
      <w:r>
        <w:rPr>
          <w:rFonts w:hint="eastAsia" w:ascii="仿宋" w:hAnsi="仿宋" w:eastAsia="仿宋" w:cs="仿宋"/>
          <w:sz w:val="28"/>
          <w:szCs w:val="28"/>
          <w:lang w:val="en-US" w:eastAsia="zh-CN"/>
        </w:rPr>
        <w:t>河北紫微星</w:t>
      </w:r>
      <w:r>
        <w:rPr>
          <w:rFonts w:hint="eastAsia" w:ascii="仿宋" w:hAnsi="仿宋" w:eastAsia="仿宋" w:cs="仿宋"/>
          <w:sz w:val="28"/>
          <w:szCs w:val="28"/>
        </w:rPr>
        <w:t>律师事务所）办理</w:t>
      </w:r>
      <w:r>
        <w:rPr>
          <w:rFonts w:hint="eastAsia" w:ascii="仿宋" w:hAnsi="仿宋" w:eastAsia="仿宋" w:cs="仿宋"/>
          <w:sz w:val="28"/>
          <w:szCs w:val="28"/>
          <w:lang w:val="en-US" w:eastAsia="zh-CN"/>
        </w:rPr>
        <w:t>成交</w:t>
      </w:r>
      <w:r>
        <w:rPr>
          <w:rFonts w:hint="eastAsia" w:ascii="仿宋" w:hAnsi="仿宋" w:eastAsia="仿宋" w:cs="仿宋"/>
          <w:sz w:val="28"/>
          <w:szCs w:val="28"/>
        </w:rPr>
        <w:t>手续并签署《拍卖成交确认书》。</w:t>
      </w:r>
    </w:p>
    <w:p w14:paraId="2A5AEF60">
      <w:pPr>
        <w:pStyle w:val="4"/>
        <w:shd w:val="clear" w:color="auto" w:fill="FFFFFF"/>
        <w:spacing w:before="0" w:beforeAutospacing="0" w:after="0" w:afterAutospacing="0" w:line="360" w:lineRule="auto"/>
        <w:ind w:firstLine="560" w:firstLineChars="200"/>
        <w:jc w:val="both"/>
        <w:rPr>
          <w:rFonts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（二）竞价成交后，管理人将</w:t>
      </w:r>
      <w:r>
        <w:rPr>
          <w:rFonts w:hint="eastAsia" w:ascii="仿宋" w:hAnsi="仿宋" w:eastAsia="仿宋" w:cs="仿宋"/>
          <w:color w:val="000000" w:themeColor="text1"/>
          <w:sz w:val="28"/>
          <w:szCs w:val="28"/>
          <w:lang w:val="en-US" w:eastAsia="zh-CN"/>
          <w14:textFill>
            <w14:solidFill>
              <w14:schemeClr w14:val="tx1"/>
            </w14:solidFill>
          </w14:textFill>
        </w:rPr>
        <w:t>成交确认书</w:t>
      </w:r>
      <w:r>
        <w:rPr>
          <w:rFonts w:hint="eastAsia" w:ascii="仿宋" w:hAnsi="仿宋" w:eastAsia="仿宋" w:cs="仿宋"/>
          <w:color w:val="000000" w:themeColor="text1"/>
          <w:sz w:val="28"/>
          <w:szCs w:val="28"/>
          <w14:textFill>
            <w14:solidFill>
              <w14:schemeClr w14:val="tx1"/>
            </w14:solidFill>
          </w14:textFill>
        </w:rPr>
        <w:t>移交买受人即视为</w:t>
      </w:r>
      <w:r>
        <w:rPr>
          <w:rFonts w:hint="eastAsia" w:ascii="仿宋" w:hAnsi="仿宋" w:eastAsia="仿宋" w:cs="仿宋"/>
          <w:color w:val="000000" w:themeColor="text1"/>
          <w:sz w:val="28"/>
          <w:szCs w:val="28"/>
          <w:lang w:eastAsia="zh-CN"/>
          <w14:textFill>
            <w14:solidFill>
              <w14:schemeClr w14:val="tx1"/>
            </w14:solidFill>
          </w14:textFill>
        </w:rPr>
        <w:t>完全履行</w:t>
      </w:r>
      <w:r>
        <w:rPr>
          <w:rFonts w:hint="eastAsia" w:ascii="仿宋" w:hAnsi="仿宋" w:eastAsia="仿宋" w:cs="仿宋"/>
          <w:color w:val="000000" w:themeColor="text1"/>
          <w:sz w:val="28"/>
          <w:szCs w:val="28"/>
          <w14:textFill>
            <w14:solidFill>
              <w14:schemeClr w14:val="tx1"/>
            </w14:solidFill>
          </w14:textFill>
        </w:rPr>
        <w:t>部交付义务。办理完毕拍卖标的现场移交手续后，标的物的一切风险转移至买受人。</w:t>
      </w:r>
      <w:r>
        <w:rPr>
          <w:rFonts w:hint="eastAsia" w:ascii="仿宋" w:hAnsi="仿宋" w:eastAsia="仿宋" w:cs="仿宋"/>
          <w:b/>
          <w:bCs/>
          <w:color w:val="000000" w:themeColor="text1"/>
          <w:sz w:val="28"/>
          <w:szCs w:val="28"/>
          <w14:textFill>
            <w14:solidFill>
              <w14:schemeClr w14:val="tx1"/>
            </w14:solidFill>
          </w14:textFill>
        </w:rPr>
        <w:t>逾期不办理的，买受人应支付由此产生的费用，并自逾期之日起承担拍卖标的可能发生的损毁、灭失等风险。</w:t>
      </w:r>
    </w:p>
    <w:p w14:paraId="7D9DEC7F">
      <w:pPr>
        <w:pStyle w:val="4"/>
        <w:shd w:val="clear" w:color="auto" w:fill="FFFFFF"/>
        <w:spacing w:before="0" w:beforeAutospacing="0" w:after="0" w:afterAutospacing="0" w:line="360" w:lineRule="auto"/>
        <w:ind w:firstLine="560" w:firstLineChars="200"/>
        <w:jc w:val="both"/>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（三）本次竞价活动计价货币为人民币，</w:t>
      </w:r>
      <w:r>
        <w:rPr>
          <w:rFonts w:hint="eastAsia" w:ascii="仿宋" w:hAnsi="仿宋" w:eastAsia="仿宋" w:cs="仿宋"/>
          <w:b/>
          <w:bCs/>
          <w:color w:val="000000" w:themeColor="text1"/>
          <w:sz w:val="28"/>
          <w:szCs w:val="28"/>
          <w14:textFill>
            <w14:solidFill>
              <w14:schemeClr w14:val="tx1"/>
            </w14:solidFill>
          </w14:textFill>
        </w:rPr>
        <w:t>竞价时的起拍价、成交价均不含买受人在竞价标的物交割时所发生的全部费用和税费</w:t>
      </w:r>
      <w:r>
        <w:rPr>
          <w:rFonts w:hint="eastAsia" w:ascii="仿宋" w:hAnsi="仿宋" w:eastAsia="仿宋" w:cs="仿宋"/>
          <w:color w:val="000000" w:themeColor="text1"/>
          <w:sz w:val="28"/>
          <w:szCs w:val="28"/>
          <w14:textFill>
            <w14:solidFill>
              <w14:schemeClr w14:val="tx1"/>
            </w14:solidFill>
          </w14:textFill>
        </w:rPr>
        <w:t>。产生的双方应负担的一切税、费均由买受人承担，具体金额由买受人向相关主管部门自行核定。买受人在承担后不得据此主张竞价无效或向管理人、上拍机构索偿。</w:t>
      </w:r>
    </w:p>
    <w:p w14:paraId="2E86ADF0">
      <w:pPr>
        <w:pStyle w:val="4"/>
        <w:spacing w:before="0" w:beforeAutospacing="0" w:after="0" w:afterAutospacing="0" w:line="360" w:lineRule="auto"/>
        <w:ind w:firstLine="562" w:firstLineChars="200"/>
        <w:jc w:val="both"/>
        <w:rPr>
          <w:rFonts w:ascii="仿宋" w:hAnsi="仿宋" w:eastAsia="仿宋" w:cs="仿宋"/>
          <w:b/>
          <w:bCs/>
          <w:sz w:val="28"/>
          <w:szCs w:val="28"/>
        </w:rPr>
      </w:pPr>
      <w:r>
        <w:rPr>
          <w:rFonts w:hint="eastAsia" w:ascii="仿宋" w:hAnsi="仿宋" w:eastAsia="仿宋" w:cs="仿宋"/>
          <w:b/>
          <w:bCs/>
          <w:sz w:val="28"/>
          <w:szCs w:val="28"/>
        </w:rPr>
        <w:t>八、风险提示</w:t>
      </w:r>
    </w:p>
    <w:p w14:paraId="7FCB95F1">
      <w:pPr>
        <w:pStyle w:val="4"/>
        <w:spacing w:before="0" w:beforeAutospacing="0" w:after="0" w:afterAutospacing="0" w:line="360" w:lineRule="auto"/>
        <w:ind w:firstLine="560" w:firstLineChars="200"/>
        <w:jc w:val="both"/>
        <w:rPr>
          <w:rFonts w:ascii="仿宋" w:hAnsi="仿宋" w:eastAsia="仿宋" w:cs="仿宋"/>
          <w:sz w:val="28"/>
          <w:szCs w:val="28"/>
        </w:rPr>
      </w:pPr>
      <w:r>
        <w:rPr>
          <w:rFonts w:hint="eastAsia" w:ascii="仿宋" w:hAnsi="仿宋" w:eastAsia="仿宋" w:cs="仿宋"/>
          <w:sz w:val="28"/>
          <w:szCs w:val="28"/>
        </w:rPr>
        <w:t>（一）标的物特殊情况说明</w:t>
      </w:r>
    </w:p>
    <w:p w14:paraId="404442E0">
      <w:pPr>
        <w:pStyle w:val="4"/>
        <w:spacing w:before="0" w:beforeAutospacing="0" w:after="0" w:afterAutospacing="0" w:line="360" w:lineRule="auto"/>
        <w:ind w:firstLine="562" w:firstLineChars="200"/>
        <w:jc w:val="both"/>
        <w:rPr>
          <w:rFonts w:ascii="仿宋" w:hAnsi="仿宋" w:eastAsia="仿宋" w:cs="仿宋"/>
          <w:b/>
          <w:bCs/>
          <w:sz w:val="28"/>
          <w:szCs w:val="28"/>
        </w:rPr>
      </w:pPr>
      <w:r>
        <w:rPr>
          <w:rFonts w:hint="eastAsia" w:ascii="仿宋" w:hAnsi="仿宋" w:eastAsia="仿宋" w:cs="仿宋"/>
          <w:b/>
          <w:bCs/>
          <w:sz w:val="28"/>
          <w:szCs w:val="28"/>
        </w:rPr>
        <w:t>1、标的物涉及的转让登记手续由买受人自行办理，交易过程中产生的全部税、费及应补缴的全部</w:t>
      </w:r>
      <w:r>
        <w:rPr>
          <w:rFonts w:hint="eastAsia" w:ascii="仿宋" w:hAnsi="仿宋" w:eastAsia="仿宋" w:cs="仿宋"/>
          <w:b/>
          <w:bCs/>
          <w:sz w:val="28"/>
          <w:szCs w:val="28"/>
          <w:lang w:eastAsia="zh-CN"/>
        </w:rPr>
        <w:t>税</w:t>
      </w:r>
      <w:r>
        <w:rPr>
          <w:rFonts w:hint="eastAsia" w:ascii="仿宋" w:hAnsi="仿宋" w:eastAsia="仿宋" w:cs="仿宋"/>
          <w:b/>
          <w:bCs/>
          <w:sz w:val="28"/>
          <w:szCs w:val="28"/>
        </w:rPr>
        <w:t>、费均由买受人承担，未明确缴费义务人的费用也由买受人承担，管理人仅协助</w:t>
      </w:r>
      <w:r>
        <w:rPr>
          <w:rFonts w:hint="eastAsia" w:ascii="仿宋" w:hAnsi="仿宋" w:eastAsia="仿宋" w:cs="仿宋"/>
          <w:b/>
          <w:bCs/>
          <w:sz w:val="28"/>
          <w:szCs w:val="28"/>
          <w:lang w:val="en-US" w:eastAsia="zh-CN"/>
        </w:rPr>
        <w:t>提供该破产企业相关法律文书</w:t>
      </w:r>
      <w:r>
        <w:rPr>
          <w:rFonts w:hint="eastAsia" w:ascii="仿宋" w:hAnsi="仿宋" w:eastAsia="仿宋" w:cs="仿宋"/>
          <w:b/>
          <w:bCs/>
          <w:sz w:val="28"/>
          <w:szCs w:val="28"/>
        </w:rPr>
        <w:t>。</w:t>
      </w:r>
    </w:p>
    <w:p w14:paraId="15C65CD3">
      <w:pPr>
        <w:pStyle w:val="4"/>
        <w:spacing w:before="0" w:beforeAutospacing="0" w:after="0" w:afterAutospacing="0" w:line="360" w:lineRule="auto"/>
        <w:ind w:firstLine="562" w:firstLineChars="200"/>
        <w:jc w:val="both"/>
        <w:rPr>
          <w:rFonts w:ascii="仿宋" w:hAnsi="仿宋" w:eastAsia="仿宋" w:cs="仿宋"/>
          <w:b/>
          <w:bCs/>
          <w:sz w:val="28"/>
          <w:szCs w:val="28"/>
        </w:rPr>
      </w:pPr>
      <w:r>
        <w:rPr>
          <w:rFonts w:hint="eastAsia" w:ascii="仿宋" w:hAnsi="仿宋" w:eastAsia="仿宋" w:cs="仿宋"/>
          <w:b/>
          <w:bCs/>
          <w:sz w:val="28"/>
          <w:szCs w:val="28"/>
        </w:rPr>
        <w:t xml:space="preserve">2、买受人按规定付清全部款项后，有关商标资料按管理人所掌握资料的为限进行移交。基于该现状能否办理变更登记手续及办理变更登记手续的时间请竞买人在竞买前自行到相关政府部门咨询确认。 </w:t>
      </w:r>
    </w:p>
    <w:p w14:paraId="75E3CF22">
      <w:pPr>
        <w:pStyle w:val="4"/>
        <w:shd w:val="clear" w:color="auto" w:fill="FFFFFF"/>
        <w:spacing w:before="0" w:beforeAutospacing="0" w:after="0" w:afterAutospacing="0" w:line="360" w:lineRule="auto"/>
        <w:ind w:firstLine="562" w:firstLineChars="200"/>
        <w:jc w:val="both"/>
        <w:rPr>
          <w:rFonts w:ascii="仿宋" w:hAnsi="仿宋" w:eastAsia="仿宋" w:cs="仿宋"/>
          <w:b/>
          <w:bCs/>
          <w:color w:val="000000" w:themeColor="text1"/>
          <w:sz w:val="28"/>
          <w:szCs w:val="28"/>
          <w14:textFill>
            <w14:solidFill>
              <w14:schemeClr w14:val="tx1"/>
            </w14:solidFill>
          </w14:textFill>
        </w:rPr>
      </w:pPr>
      <w:r>
        <w:rPr>
          <w:rFonts w:ascii="仿宋" w:hAnsi="仿宋" w:eastAsia="仿宋" w:cs="仿宋"/>
          <w:b/>
          <w:bCs/>
          <w:sz w:val="28"/>
          <w:szCs w:val="28"/>
        </w:rPr>
        <w:t>3</w:t>
      </w:r>
      <w:r>
        <w:rPr>
          <w:rFonts w:hint="eastAsia" w:ascii="仿宋" w:hAnsi="仿宋" w:eastAsia="仿宋" w:cs="仿宋"/>
          <w:b/>
          <w:bCs/>
          <w:sz w:val="28"/>
          <w:szCs w:val="28"/>
        </w:rPr>
        <w:t>、</w:t>
      </w:r>
      <w:r>
        <w:rPr>
          <w:rFonts w:hint="eastAsia" w:ascii="仿宋" w:hAnsi="仿宋" w:eastAsia="仿宋" w:cs="仿宋"/>
          <w:b/>
          <w:bCs/>
          <w:color w:val="000000" w:themeColor="text1"/>
          <w:sz w:val="28"/>
          <w:szCs w:val="28"/>
          <w14:textFill>
            <w14:solidFill>
              <w14:schemeClr w14:val="tx1"/>
            </w14:solidFill>
          </w14:textFill>
        </w:rPr>
        <w:t>管理人均未接收到与该拍卖标的物相关的权属证明以及其他资料，拍卖成交后，无法向买受人交付任何证书资料。</w:t>
      </w:r>
    </w:p>
    <w:p w14:paraId="3F8E4C4E">
      <w:pPr>
        <w:pStyle w:val="4"/>
        <w:shd w:val="clear" w:color="auto" w:fill="FFFFFF"/>
        <w:spacing w:before="0" w:beforeAutospacing="0" w:after="0" w:afterAutospacing="0" w:line="360" w:lineRule="auto"/>
        <w:ind w:firstLine="562" w:firstLineChars="200"/>
        <w:jc w:val="both"/>
        <w:rPr>
          <w:rFonts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4、因评估所需资料不足，评估机构无法对</w:t>
      </w:r>
      <w:r>
        <w:rPr>
          <w:rFonts w:hint="eastAsia" w:ascii="仿宋" w:hAnsi="仿宋" w:eastAsia="仿宋" w:cs="仿宋"/>
          <w:b/>
          <w:bCs/>
          <w:color w:val="000000" w:themeColor="text1"/>
          <w:sz w:val="28"/>
          <w:szCs w:val="28"/>
          <w:lang w:eastAsia="zh-CN"/>
          <w14:textFill>
            <w14:solidFill>
              <w14:schemeClr w14:val="tx1"/>
            </w14:solidFill>
          </w14:textFill>
        </w:rPr>
        <w:t>馆陶县战国轴承有限公司</w:t>
      </w:r>
      <w:r>
        <w:rPr>
          <w:rFonts w:hint="eastAsia" w:ascii="仿宋" w:hAnsi="仿宋" w:eastAsia="仿宋" w:cs="仿宋"/>
          <w:b/>
          <w:bCs/>
          <w:color w:val="000000" w:themeColor="text1"/>
          <w:sz w:val="28"/>
          <w:szCs w:val="28"/>
          <w14:textFill>
            <w14:solidFill>
              <w14:schemeClr w14:val="tx1"/>
            </w14:solidFill>
          </w14:textFill>
        </w:rPr>
        <w:t>名下商标的市场价值进行评估。请竞买人自行了解拍卖标的物状况，自行查证拍卖标的物现状，慎重决定竞买行为，竞买人一旦作出竞买决定，即表明已完全了解并接受标的物的现状和一切已知及未知的瑕疵，并愿意承担一切法律风险，该等风险包括但不限于拍卖标的物公司积欠的各种税费、查封、转让登记及</w:t>
      </w:r>
      <w:r>
        <w:rPr>
          <w:rFonts w:hint="eastAsia" w:ascii="仿宋" w:hAnsi="仿宋" w:eastAsia="仿宋" w:cs="仿宋"/>
          <w:b/>
          <w:bCs/>
          <w:color w:val="000000" w:themeColor="text1"/>
          <w:sz w:val="28"/>
          <w:szCs w:val="28"/>
          <w:lang w:eastAsia="zh-CN"/>
          <w14:textFill>
            <w14:solidFill>
              <w14:schemeClr w14:val="tx1"/>
            </w14:solidFill>
          </w14:textFill>
        </w:rPr>
        <w:t>撤销</w:t>
      </w:r>
      <w:r>
        <w:rPr>
          <w:rFonts w:hint="eastAsia" w:ascii="仿宋" w:hAnsi="仿宋" w:eastAsia="仿宋" w:cs="仿宋"/>
          <w:b/>
          <w:bCs/>
          <w:color w:val="000000" w:themeColor="text1"/>
          <w:sz w:val="28"/>
          <w:szCs w:val="28"/>
          <w14:textFill>
            <w14:solidFill>
              <w14:schemeClr w14:val="tx1"/>
            </w14:solidFill>
          </w14:textFill>
        </w:rPr>
        <w:t>风险等问题。</w:t>
      </w:r>
    </w:p>
    <w:p w14:paraId="5112170A">
      <w:pPr>
        <w:pStyle w:val="4"/>
        <w:spacing w:before="0" w:beforeAutospacing="0" w:after="0" w:afterAutospacing="0" w:line="360" w:lineRule="auto"/>
        <w:ind w:firstLine="562" w:firstLineChars="200"/>
        <w:jc w:val="both"/>
        <w:rPr>
          <w:rFonts w:ascii="仿宋" w:hAnsi="仿宋" w:eastAsia="仿宋" w:cs="仿宋"/>
          <w:b/>
          <w:bCs/>
          <w:sz w:val="28"/>
          <w:szCs w:val="28"/>
        </w:rPr>
      </w:pPr>
      <w:r>
        <w:rPr>
          <w:rFonts w:ascii="仿宋" w:hAnsi="仿宋" w:eastAsia="仿宋" w:cs="仿宋"/>
          <w:b/>
          <w:bCs/>
          <w:sz w:val="28"/>
          <w:szCs w:val="28"/>
        </w:rPr>
        <w:t>5</w:t>
      </w:r>
      <w:r>
        <w:rPr>
          <w:rFonts w:hint="eastAsia" w:ascii="仿宋" w:hAnsi="仿宋" w:eastAsia="仿宋" w:cs="仿宋"/>
          <w:b/>
          <w:bCs/>
          <w:sz w:val="28"/>
          <w:szCs w:val="28"/>
        </w:rPr>
        <w:t>、拍卖标的中的注册商标目前可能存在多家人民法院查封，若存在查封，解除查封需要一定的时间。</w:t>
      </w:r>
    </w:p>
    <w:p w14:paraId="3E0AB825">
      <w:pPr>
        <w:pStyle w:val="4"/>
        <w:spacing w:before="0" w:beforeAutospacing="0" w:after="0" w:afterAutospacing="0" w:line="360" w:lineRule="auto"/>
        <w:ind w:firstLine="562" w:firstLineChars="200"/>
        <w:jc w:val="both"/>
        <w:rPr>
          <w:rFonts w:ascii="仿宋" w:hAnsi="仿宋" w:eastAsia="仿宋" w:cs="仿宋"/>
          <w:b/>
          <w:bCs/>
          <w:sz w:val="28"/>
          <w:szCs w:val="28"/>
        </w:rPr>
      </w:pPr>
      <w:bookmarkStart w:id="0" w:name="_Hlk54710008"/>
      <w:r>
        <w:rPr>
          <w:rFonts w:ascii="仿宋" w:hAnsi="仿宋" w:eastAsia="仿宋" w:cs="仿宋"/>
          <w:b/>
          <w:bCs/>
          <w:sz w:val="28"/>
          <w:szCs w:val="28"/>
        </w:rPr>
        <w:t>6</w:t>
      </w:r>
      <w:r>
        <w:rPr>
          <w:rFonts w:hint="eastAsia" w:ascii="仿宋" w:hAnsi="仿宋" w:eastAsia="仿宋" w:cs="仿宋"/>
          <w:b/>
          <w:bCs/>
          <w:sz w:val="28"/>
          <w:szCs w:val="28"/>
        </w:rPr>
        <w:t>、拍卖标</w:t>
      </w:r>
      <w:bookmarkEnd w:id="0"/>
      <w:r>
        <w:rPr>
          <w:rFonts w:hint="eastAsia" w:ascii="仿宋" w:hAnsi="仿宋" w:eastAsia="仿宋" w:cs="仿宋"/>
          <w:b/>
          <w:bCs/>
          <w:sz w:val="28"/>
          <w:szCs w:val="28"/>
        </w:rPr>
        <w:t>的中的商标的使用期限，请自行在中国商标网、国家知识产权局官网进行查询了解，若网站公告信息与实际不符的，以实际为准，商标使用期即将届满的，请买受人及时办理续展手续。</w:t>
      </w:r>
    </w:p>
    <w:p w14:paraId="3C47314B">
      <w:pPr>
        <w:pStyle w:val="4"/>
        <w:spacing w:before="0" w:beforeAutospacing="0" w:after="0" w:afterAutospacing="0" w:line="360" w:lineRule="auto"/>
        <w:ind w:firstLine="560" w:firstLineChars="200"/>
        <w:jc w:val="both"/>
        <w:rPr>
          <w:rFonts w:ascii="仿宋" w:hAnsi="仿宋" w:eastAsia="仿宋" w:cs="仿宋"/>
          <w:sz w:val="28"/>
          <w:szCs w:val="28"/>
        </w:rPr>
      </w:pPr>
      <w:r>
        <w:rPr>
          <w:rFonts w:hint="eastAsia" w:ascii="仿宋" w:hAnsi="仿宋" w:eastAsia="仿宋" w:cs="仿宋"/>
          <w:sz w:val="28"/>
          <w:szCs w:val="28"/>
        </w:rPr>
        <w:t>（二）竞买人应当具备完全民事行为能力。竞买人也可根据《竞买须知》相关规定委托代理人（具备完全民事行为能力的自然人）进行竞买。</w:t>
      </w:r>
    </w:p>
    <w:p w14:paraId="123AD986">
      <w:pPr>
        <w:pStyle w:val="4"/>
        <w:shd w:val="clear" w:color="auto" w:fill="FFFFFF"/>
        <w:spacing w:before="0" w:beforeAutospacing="0" w:after="0" w:afterAutospacing="0" w:line="360" w:lineRule="auto"/>
        <w:ind w:firstLine="560" w:firstLineChars="200"/>
        <w:jc w:val="both"/>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sz w:val="28"/>
          <w:szCs w:val="28"/>
        </w:rPr>
        <w:t>（三）</w:t>
      </w:r>
      <w:r>
        <w:rPr>
          <w:rFonts w:hint="eastAsia" w:ascii="仿宋" w:hAnsi="仿宋" w:eastAsia="仿宋" w:cs="仿宋"/>
          <w:b/>
          <w:bCs/>
          <w:sz w:val="28"/>
          <w:szCs w:val="28"/>
        </w:rPr>
        <w:t>竞买人竞价前应向工商、税务、外管、商务等政府部门，对标的物的权属、能否过户、过户要求和流程、税费缴付的标准及起止时间、商标是否有效等，以及其他须注意的事项进行咨询，因政策原因或其他原因导致不能过户的风险由竞买人承担。</w:t>
      </w:r>
      <w:r>
        <w:rPr>
          <w:rFonts w:hint="eastAsia" w:ascii="仿宋" w:hAnsi="仿宋" w:eastAsia="仿宋" w:cs="仿宋"/>
          <w:b/>
          <w:bCs/>
          <w:color w:val="000000" w:themeColor="text1"/>
          <w:sz w:val="28"/>
          <w:szCs w:val="28"/>
          <w14:textFill>
            <w14:solidFill>
              <w14:schemeClr w14:val="tx1"/>
            </w14:solidFill>
          </w14:textFill>
        </w:rPr>
        <w:t>因标的物现状及存在瑕疵等原因延迟办理过户手续及办理二次过户造成的费用增加，拍卖人不作任何承诺，不承担过户涉及的一切费用。法院解除查封手续需要一定时间，拍卖标的物相关权证原件无法取得或存在担保物权的，办理标的物权属变更登记时若需办理登报注销手续或注销他项权证、补办原始权属证书等，办理权属变更登记的时间会延长。</w:t>
      </w:r>
    </w:p>
    <w:p w14:paraId="76B7A3E5">
      <w:pPr>
        <w:pStyle w:val="4"/>
        <w:spacing w:before="0" w:beforeAutospacing="0" w:after="0" w:afterAutospacing="0" w:line="360" w:lineRule="auto"/>
        <w:ind w:firstLine="560" w:firstLineChars="200"/>
        <w:jc w:val="both"/>
        <w:rPr>
          <w:rFonts w:ascii="仿宋" w:hAnsi="仿宋" w:eastAsia="仿宋" w:cs="仿宋"/>
          <w:sz w:val="28"/>
          <w:szCs w:val="28"/>
        </w:rPr>
      </w:pPr>
      <w:r>
        <w:rPr>
          <w:rFonts w:hint="eastAsia" w:ascii="仿宋" w:hAnsi="仿宋" w:eastAsia="仿宋" w:cs="仿宋"/>
          <w:sz w:val="28"/>
          <w:szCs w:val="28"/>
        </w:rPr>
        <w:t>（四）</w:t>
      </w:r>
      <w:r>
        <w:rPr>
          <w:rFonts w:hint="eastAsia" w:ascii="仿宋" w:hAnsi="仿宋" w:eastAsia="仿宋" w:cs="仿宋"/>
          <w:b/>
          <w:bCs/>
          <w:sz w:val="28"/>
          <w:szCs w:val="28"/>
        </w:rPr>
        <w:t>本次网络竞价所涉标的物，全部依其现状进行处置。</w:t>
      </w:r>
      <w:r>
        <w:rPr>
          <w:rFonts w:hint="eastAsia" w:ascii="仿宋" w:hAnsi="仿宋" w:eastAsia="仿宋" w:cs="仿宋"/>
          <w:sz w:val="28"/>
          <w:szCs w:val="28"/>
        </w:rPr>
        <w:t>现状是指看样时点标的的质量、数量、新旧程度、使用现状等现实状况，至竞价时点竞买人没有异议，则表示竞买人认可看样时点与竞价时点标的现状一致。请欲报名参与竞价的竞买人充分考虑标的显性和隐性的瑕疵风险以及市场价格的波动，谨慎选择，慎重决定。管理人、上拍机构、京东网络竞价平台不承担标的物的瑕疵保证。</w:t>
      </w:r>
      <w:r>
        <w:rPr>
          <w:rFonts w:hint="eastAsia" w:ascii="仿宋" w:hAnsi="仿宋" w:eastAsia="仿宋" w:cs="仿宋"/>
          <w:b/>
          <w:bCs/>
          <w:sz w:val="28"/>
          <w:szCs w:val="28"/>
        </w:rPr>
        <w:t>有意者请亲自实地看样，未看样的竞买人视为对本标的实物现状的确认，责任自负。</w:t>
      </w:r>
    </w:p>
    <w:p w14:paraId="7E178D8F">
      <w:pPr>
        <w:pStyle w:val="4"/>
        <w:spacing w:before="0" w:beforeAutospacing="0" w:after="0" w:afterAutospacing="0" w:line="360" w:lineRule="auto"/>
        <w:ind w:firstLine="560" w:firstLineChars="200"/>
        <w:jc w:val="both"/>
        <w:rPr>
          <w:rFonts w:ascii="仿宋" w:hAnsi="仿宋" w:eastAsia="仿宋" w:cs="仿宋"/>
          <w:b/>
          <w:bCs/>
          <w:sz w:val="28"/>
          <w:szCs w:val="28"/>
        </w:rPr>
      </w:pPr>
      <w:r>
        <w:rPr>
          <w:rFonts w:hint="eastAsia" w:ascii="仿宋" w:hAnsi="仿宋" w:eastAsia="仿宋" w:cs="仿宋"/>
          <w:sz w:val="28"/>
          <w:szCs w:val="28"/>
        </w:rPr>
        <w:t>（五）</w:t>
      </w:r>
      <w:r>
        <w:rPr>
          <w:rFonts w:hint="eastAsia" w:ascii="仿宋" w:hAnsi="仿宋" w:eastAsia="仿宋" w:cs="仿宋"/>
          <w:b/>
          <w:bCs/>
          <w:sz w:val="28"/>
          <w:szCs w:val="28"/>
        </w:rPr>
        <w:t>本次网络竞价所涉标的物可能存在的查封、转让登记及撤</w:t>
      </w:r>
      <w:r>
        <w:rPr>
          <w:rFonts w:hint="eastAsia" w:ascii="仿宋" w:hAnsi="仿宋" w:eastAsia="仿宋" w:cs="仿宋"/>
          <w:b/>
          <w:bCs/>
          <w:sz w:val="28"/>
          <w:szCs w:val="28"/>
          <w:lang w:eastAsia="zh-CN"/>
        </w:rPr>
        <w:t>销</w:t>
      </w:r>
      <w:r>
        <w:rPr>
          <w:rFonts w:hint="eastAsia" w:ascii="仿宋" w:hAnsi="仿宋" w:eastAsia="仿宋" w:cs="仿宋"/>
          <w:b/>
          <w:bCs/>
          <w:sz w:val="28"/>
          <w:szCs w:val="28"/>
        </w:rPr>
        <w:t>风险等问题由买受人自行核查处理，并承担标的物存在的其他权利瑕疵风险。</w:t>
      </w:r>
      <w:r>
        <w:rPr>
          <w:rFonts w:hint="eastAsia" w:ascii="仿宋" w:hAnsi="仿宋" w:eastAsia="仿宋" w:cs="仿宋"/>
          <w:b/>
          <w:bCs/>
          <w:color w:val="000000" w:themeColor="text1"/>
          <w:sz w:val="28"/>
          <w:szCs w:val="28"/>
          <w14:textFill>
            <w14:solidFill>
              <w14:schemeClr w14:val="tx1"/>
            </w14:solidFill>
          </w14:textFill>
        </w:rPr>
        <w:t>如果标的物本身存在权利瑕疵导致交易行为无法顺利完成的，仅退还买受人支付的全部价款的本金（价款包含保证金），管理人与网络竞价平台不承担任何赔偿责任。</w:t>
      </w:r>
    </w:p>
    <w:p w14:paraId="689EB370">
      <w:pPr>
        <w:pStyle w:val="4"/>
        <w:spacing w:before="0" w:beforeAutospacing="0" w:after="0" w:afterAutospacing="0" w:line="360" w:lineRule="auto"/>
        <w:ind w:firstLine="560" w:firstLineChars="200"/>
        <w:jc w:val="both"/>
        <w:rPr>
          <w:rFonts w:ascii="仿宋" w:hAnsi="仿宋" w:eastAsia="仿宋" w:cs="仿宋"/>
          <w:sz w:val="28"/>
          <w:szCs w:val="28"/>
        </w:rPr>
      </w:pPr>
      <w:r>
        <w:rPr>
          <w:rFonts w:hint="eastAsia" w:ascii="仿宋" w:hAnsi="仿宋" w:eastAsia="仿宋" w:cs="仿宋"/>
          <w:sz w:val="28"/>
          <w:szCs w:val="28"/>
        </w:rPr>
        <w:t>（六）管理人、上拍机构对此次竞价标的物所作的说明和提供的图片、文字资料等，仅供竞买人参考，不构成对标的物的任何担保，不作为对竞买人参与此次竞价的建议，仅提供竞买人参考。（特别提醒：</w:t>
      </w:r>
      <w:r>
        <w:rPr>
          <w:rFonts w:hint="eastAsia" w:ascii="仿宋" w:hAnsi="仿宋" w:eastAsia="仿宋" w:cs="仿宋"/>
          <w:b/>
          <w:bCs/>
          <w:sz w:val="28"/>
          <w:szCs w:val="28"/>
        </w:rPr>
        <w:t>有意者请亲自实地看样，未看样的竞买人视为对本标的物现状的确认，竞买人一旦作出竞买决定，即表明已完全了解，并接受标的物的现状和一切已知及未知的瑕疵，责任自负。</w:t>
      </w:r>
      <w:r>
        <w:rPr>
          <w:rFonts w:hint="eastAsia" w:ascii="仿宋" w:hAnsi="仿宋" w:eastAsia="仿宋" w:cs="仿宋"/>
          <w:sz w:val="28"/>
          <w:szCs w:val="28"/>
        </w:rPr>
        <w:t>）</w:t>
      </w:r>
    </w:p>
    <w:p w14:paraId="2B56BFB5">
      <w:pPr>
        <w:pStyle w:val="4"/>
        <w:spacing w:before="0" w:beforeAutospacing="0" w:after="0" w:afterAutospacing="0" w:line="360" w:lineRule="auto"/>
        <w:ind w:firstLine="560" w:firstLineChars="200"/>
        <w:jc w:val="both"/>
        <w:rPr>
          <w:rFonts w:ascii="仿宋" w:hAnsi="仿宋" w:eastAsia="仿宋" w:cs="仿宋"/>
          <w:sz w:val="28"/>
          <w:szCs w:val="28"/>
        </w:rPr>
      </w:pPr>
      <w:r>
        <w:rPr>
          <w:rFonts w:hint="eastAsia" w:ascii="仿宋" w:hAnsi="仿宋" w:eastAsia="仿宋" w:cs="仿宋"/>
          <w:sz w:val="28"/>
          <w:szCs w:val="28"/>
        </w:rPr>
        <w:t>（七）因标的物本身价值较高，起拍价、保证金、竞价成交数额较大。为避免在在线支付的过程中，因银行限额而导致无法支付的问题，请根据《竞买须知》相关规定进行充分准备。</w:t>
      </w:r>
    </w:p>
    <w:p w14:paraId="3A054B6F">
      <w:pPr>
        <w:pStyle w:val="4"/>
        <w:spacing w:before="0" w:beforeAutospacing="0" w:after="0" w:afterAutospacing="0" w:line="360" w:lineRule="auto"/>
        <w:ind w:firstLine="560" w:firstLineChars="200"/>
        <w:jc w:val="both"/>
        <w:rPr>
          <w:rFonts w:ascii="仿宋" w:hAnsi="仿宋" w:eastAsia="仿宋" w:cs="仿宋"/>
          <w:sz w:val="28"/>
          <w:szCs w:val="28"/>
        </w:rPr>
      </w:pPr>
      <w:r>
        <w:rPr>
          <w:rFonts w:hint="eastAsia" w:ascii="仿宋" w:hAnsi="仿宋" w:eastAsia="仿宋" w:cs="仿宋"/>
          <w:sz w:val="28"/>
          <w:szCs w:val="28"/>
        </w:rPr>
        <w:t>九、本次网上公开竞价《竞买公告</w:t>
      </w:r>
      <w:r>
        <w:rPr>
          <w:rFonts w:hint="eastAsia" w:ascii="仿宋" w:hAnsi="仿宋" w:eastAsia="仿宋" w:cs="仿宋"/>
          <w:sz w:val="28"/>
          <w:szCs w:val="28"/>
          <w:lang w:eastAsia="zh-CN"/>
        </w:rPr>
        <w:t>》《</w:t>
      </w:r>
      <w:r>
        <w:rPr>
          <w:rFonts w:hint="eastAsia" w:ascii="仿宋" w:hAnsi="仿宋" w:eastAsia="仿宋" w:cs="仿宋"/>
          <w:sz w:val="28"/>
          <w:szCs w:val="28"/>
        </w:rPr>
        <w:t>竞买须知</w:t>
      </w:r>
      <w:r>
        <w:rPr>
          <w:rFonts w:hint="eastAsia" w:ascii="仿宋" w:hAnsi="仿宋" w:eastAsia="仿宋" w:cs="仿宋"/>
          <w:sz w:val="28"/>
          <w:szCs w:val="28"/>
          <w:lang w:eastAsia="zh-CN"/>
        </w:rPr>
        <w:t>》《</w:t>
      </w:r>
      <w:r>
        <w:rPr>
          <w:rFonts w:hint="eastAsia" w:ascii="仿宋" w:hAnsi="仿宋" w:eastAsia="仿宋" w:cs="仿宋"/>
          <w:sz w:val="28"/>
          <w:szCs w:val="28"/>
        </w:rPr>
        <w:t>标的物介绍》等标的物相关文件已在京东网络竞价平台公开展示，请仔细阅读。上拍机构已就前述相关标的物相关文件的所有条款向竞买人如实告知并做出详细说明，竞买人知悉并同意接受前述文件的全部条款和内容，竞买人和资产处置方双方不存在任何歧异和误认，竞买人承诺不再对前述文件的条款提出任何异议。</w:t>
      </w:r>
    </w:p>
    <w:p w14:paraId="7DD4026A">
      <w:pPr>
        <w:pStyle w:val="4"/>
        <w:spacing w:before="0" w:beforeAutospacing="0" w:after="0" w:afterAutospacing="0" w:line="360" w:lineRule="auto"/>
        <w:ind w:firstLine="560" w:firstLineChars="200"/>
        <w:jc w:val="both"/>
        <w:rPr>
          <w:rFonts w:hint="eastAsia" w:ascii="仿宋" w:hAnsi="仿宋" w:eastAsia="仿宋" w:cs="仿宋"/>
          <w:sz w:val="28"/>
          <w:szCs w:val="28"/>
        </w:rPr>
      </w:pPr>
      <w:r>
        <w:rPr>
          <w:rFonts w:hint="eastAsia" w:ascii="仿宋" w:hAnsi="仿宋" w:eastAsia="仿宋" w:cs="仿宋"/>
          <w:sz w:val="28"/>
          <w:szCs w:val="28"/>
        </w:rPr>
        <w:t>十、竞买人在竞价前请务必仔细阅读相应标的竞买公告、须知、标的详情。本公告其他未尽事宜，请向管理人咨询。</w:t>
      </w:r>
      <w:r>
        <w:rPr>
          <w:rFonts w:hint="eastAsia" w:ascii="仿宋" w:hAnsi="仿宋" w:eastAsia="仿宋" w:cs="仿宋"/>
          <w:sz w:val="28"/>
          <w:szCs w:val="28"/>
        </w:rPr>
        <w:br w:type="textWrapping"/>
      </w:r>
      <w:r>
        <w:rPr>
          <w:rFonts w:hint="eastAsia" w:ascii="仿宋" w:hAnsi="仿宋" w:eastAsia="仿宋" w:cs="仿宋"/>
          <w:sz w:val="28"/>
          <w:szCs w:val="28"/>
        </w:rPr>
        <w:t xml:space="preserve">    咨询电话：李律师 13230070590 </w:t>
      </w:r>
    </w:p>
    <w:p w14:paraId="3D9296AD">
      <w:pPr>
        <w:pStyle w:val="4"/>
        <w:spacing w:before="0" w:beforeAutospacing="0" w:after="0" w:afterAutospacing="0" w:line="360" w:lineRule="auto"/>
        <w:ind w:firstLine="560" w:firstLineChars="200"/>
        <w:jc w:val="both"/>
        <w:rPr>
          <w:rFonts w:hint="eastAsia" w:ascii="仿宋" w:hAnsi="仿宋" w:eastAsia="仿宋" w:cs="仿宋"/>
          <w:sz w:val="28"/>
          <w:szCs w:val="28"/>
          <w:lang w:eastAsia="zh-CN"/>
        </w:rPr>
      </w:pPr>
      <w:r>
        <w:rPr>
          <w:rFonts w:hint="eastAsia" w:ascii="仿宋" w:hAnsi="仿宋" w:eastAsia="仿宋" w:cs="仿宋"/>
          <w:sz w:val="28"/>
          <w:szCs w:val="28"/>
        </w:rPr>
        <w:t>地址：河北省邯郸市丛台区丛台东路江泉大厦29层（河北紫微星律师事务所）</w:t>
      </w:r>
      <w:r>
        <w:rPr>
          <w:rFonts w:hint="eastAsia" w:ascii="仿宋" w:hAnsi="仿宋" w:eastAsia="仿宋" w:cs="仿宋"/>
          <w:sz w:val="28"/>
          <w:szCs w:val="28"/>
          <w:lang w:eastAsia="zh-CN"/>
        </w:rPr>
        <w:t>。</w:t>
      </w:r>
    </w:p>
    <w:p w14:paraId="26A30C23">
      <w:pPr>
        <w:pStyle w:val="4"/>
        <w:spacing w:before="0" w:beforeAutospacing="0" w:after="0" w:afterAutospacing="0" w:line="360" w:lineRule="auto"/>
        <w:ind w:firstLine="560" w:firstLineChars="200"/>
        <w:jc w:val="both"/>
        <w:rPr>
          <w:rFonts w:ascii="仿宋" w:hAnsi="仿宋" w:eastAsia="仿宋" w:cs="仿宋"/>
          <w:sz w:val="28"/>
          <w:szCs w:val="28"/>
        </w:rPr>
      </w:pPr>
      <w:r>
        <w:rPr>
          <w:rFonts w:hint="eastAsia" w:ascii="仿宋" w:hAnsi="仿宋" w:eastAsia="仿宋" w:cs="仿宋"/>
          <w:sz w:val="28"/>
          <w:szCs w:val="28"/>
        </w:rPr>
        <w:t>凡发现竞价中有违规行为，可如实举报。</w:t>
      </w:r>
    </w:p>
    <w:p w14:paraId="5815674A">
      <w:pPr>
        <w:pStyle w:val="4"/>
        <w:spacing w:before="0" w:beforeAutospacing="0" w:after="0" w:afterAutospacing="0" w:line="360" w:lineRule="auto"/>
        <w:ind w:firstLine="560" w:firstLineChars="200"/>
        <w:jc w:val="both"/>
        <w:rPr>
          <w:rFonts w:ascii="仿宋" w:hAnsi="仿宋" w:eastAsia="仿宋" w:cs="仿宋"/>
          <w:sz w:val="28"/>
          <w:szCs w:val="28"/>
        </w:rPr>
      </w:pPr>
      <w:r>
        <w:rPr>
          <w:rFonts w:hint="eastAsia" w:ascii="仿宋" w:hAnsi="仿宋" w:eastAsia="仿宋" w:cs="仿宋"/>
          <w:sz w:val="28"/>
          <w:szCs w:val="28"/>
        </w:rPr>
        <w:t>京东技术咨询电话：4006229586</w:t>
      </w:r>
    </w:p>
    <w:p w14:paraId="48287426">
      <w:pPr>
        <w:pStyle w:val="4"/>
        <w:spacing w:before="0" w:beforeAutospacing="0" w:after="0" w:afterAutospacing="0" w:line="360" w:lineRule="auto"/>
        <w:ind w:firstLine="560" w:firstLineChars="200"/>
        <w:jc w:val="both"/>
        <w:rPr>
          <w:rFonts w:ascii="仿宋" w:hAnsi="仿宋" w:eastAsia="仿宋" w:cs="仿宋"/>
          <w:sz w:val="28"/>
          <w:szCs w:val="28"/>
        </w:rPr>
      </w:pPr>
      <w:r>
        <w:rPr>
          <w:rFonts w:hint="eastAsia" w:ascii="仿宋" w:hAnsi="仿宋" w:eastAsia="仿宋" w:cs="仿宋"/>
          <w:sz w:val="28"/>
          <w:szCs w:val="28"/>
        </w:rPr>
        <w:t>此公告在“京东网”上发布，网址</w:t>
      </w:r>
      <w:r>
        <w:rPr>
          <w:rFonts w:hint="eastAsia" w:ascii="仿宋" w:hAnsi="仿宋" w:eastAsia="仿宋" w:cs="仿宋"/>
          <w:sz w:val="28"/>
          <w:szCs w:val="28"/>
          <w:lang w:eastAsia="zh-CN"/>
        </w:rPr>
        <w:t>：</w:t>
      </w:r>
      <w:r>
        <w:rPr>
          <w:rFonts w:hint="eastAsia" w:ascii="仿宋" w:hAnsi="仿宋" w:eastAsia="仿宋" w:cs="仿宋"/>
          <w:sz w:val="28"/>
          <w:szCs w:val="28"/>
        </w:rPr>
        <w:t xml:space="preserve"> </w:t>
      </w:r>
    </w:p>
    <w:p w14:paraId="52FCAFB8">
      <w:pPr>
        <w:pStyle w:val="4"/>
        <w:spacing w:before="0" w:beforeAutospacing="0" w:after="0" w:afterAutospacing="0" w:line="360" w:lineRule="auto"/>
        <w:ind w:firstLine="480" w:firstLineChars="200"/>
        <w:jc w:val="both"/>
        <w:rPr>
          <w:rFonts w:ascii="仿宋" w:hAnsi="仿宋" w:eastAsia="仿宋" w:cs="仿宋"/>
          <w:color w:val="000000"/>
          <w:sz w:val="30"/>
          <w:szCs w:val="30"/>
        </w:rPr>
      </w:pPr>
      <w:r>
        <w:fldChar w:fldCharType="begin"/>
      </w:r>
      <w:r>
        <w:instrText xml:space="preserve"> HYPERLINK "https://auction.jd.com/bankrupt.html" </w:instrText>
      </w:r>
      <w:r>
        <w:fldChar w:fldCharType="separate"/>
      </w:r>
      <w:r>
        <w:rPr>
          <w:rStyle w:val="8"/>
          <w:rFonts w:hint="eastAsia" w:ascii="仿宋" w:hAnsi="仿宋" w:eastAsia="仿宋" w:cs="仿宋"/>
          <w:sz w:val="30"/>
          <w:szCs w:val="30"/>
        </w:rPr>
        <w:t>https://auction.jd.com/bankrupt.html</w:t>
      </w:r>
      <w:r>
        <w:rPr>
          <w:rStyle w:val="8"/>
          <w:rFonts w:hint="eastAsia" w:ascii="仿宋" w:hAnsi="仿宋" w:eastAsia="仿宋" w:cs="仿宋"/>
          <w:sz w:val="30"/>
          <w:szCs w:val="30"/>
        </w:rPr>
        <w:fldChar w:fldCharType="end"/>
      </w:r>
      <w:r>
        <w:rPr>
          <w:rFonts w:hint="eastAsia" w:ascii="仿宋" w:hAnsi="仿宋" w:eastAsia="仿宋" w:cs="仿宋"/>
          <w:color w:val="000000"/>
          <w:sz w:val="30"/>
          <w:szCs w:val="30"/>
        </w:rPr>
        <w:t>。</w:t>
      </w:r>
    </w:p>
    <w:p w14:paraId="42EDFE7C">
      <w:pPr>
        <w:pStyle w:val="4"/>
        <w:spacing w:before="0" w:beforeAutospacing="0" w:after="0" w:afterAutospacing="0" w:line="360" w:lineRule="auto"/>
        <w:ind w:firstLine="600" w:firstLineChars="200"/>
        <w:jc w:val="both"/>
        <w:rPr>
          <w:rFonts w:ascii="仿宋" w:hAnsi="仿宋" w:eastAsia="仿宋" w:cs="仿宋"/>
          <w:color w:val="000000"/>
          <w:sz w:val="30"/>
          <w:szCs w:val="30"/>
        </w:rPr>
      </w:pPr>
    </w:p>
    <w:p w14:paraId="3F48B051">
      <w:pPr>
        <w:pStyle w:val="4"/>
        <w:spacing w:before="0" w:beforeAutospacing="0" w:after="0" w:afterAutospacing="0" w:line="360" w:lineRule="auto"/>
        <w:ind w:firstLine="600" w:firstLineChars="200"/>
        <w:jc w:val="both"/>
        <w:rPr>
          <w:rFonts w:ascii="仿宋" w:hAnsi="仿宋" w:eastAsia="仿宋" w:cs="仿宋"/>
          <w:color w:val="000000"/>
          <w:sz w:val="30"/>
          <w:szCs w:val="30"/>
        </w:rPr>
      </w:pPr>
    </w:p>
    <w:p w14:paraId="62A0E206">
      <w:pPr>
        <w:pStyle w:val="4"/>
        <w:spacing w:before="0" w:beforeAutospacing="0" w:after="0" w:afterAutospacing="0" w:line="360" w:lineRule="auto"/>
        <w:ind w:firstLine="600" w:firstLineChars="200"/>
        <w:jc w:val="both"/>
        <w:rPr>
          <w:rFonts w:ascii="仿宋" w:hAnsi="仿宋" w:eastAsia="仿宋" w:cs="仿宋"/>
          <w:color w:val="000000"/>
          <w:sz w:val="30"/>
          <w:szCs w:val="30"/>
        </w:rPr>
      </w:pPr>
    </w:p>
    <w:p w14:paraId="510BEEC6">
      <w:pPr>
        <w:pStyle w:val="4"/>
        <w:spacing w:before="0" w:beforeAutospacing="0" w:after="0" w:afterAutospacing="0" w:line="360" w:lineRule="auto"/>
        <w:ind w:firstLine="602" w:firstLineChars="200"/>
        <w:jc w:val="right"/>
        <w:rPr>
          <w:rFonts w:ascii="仿宋" w:hAnsi="仿宋" w:eastAsia="仿宋" w:cs="仿宋"/>
          <w:b/>
          <w:bCs/>
          <w:color w:val="000000"/>
          <w:sz w:val="30"/>
          <w:szCs w:val="30"/>
        </w:rPr>
      </w:pPr>
      <w:r>
        <w:rPr>
          <w:rFonts w:hint="eastAsia" w:ascii="仿宋" w:hAnsi="仿宋" w:eastAsia="仿宋" w:cs="仿宋"/>
          <w:b/>
          <w:bCs/>
          <w:color w:val="000000"/>
          <w:sz w:val="30"/>
          <w:szCs w:val="30"/>
          <w:lang w:val="en-US" w:eastAsia="zh-CN"/>
        </w:rPr>
        <w:t>馆陶县战国轴承有限公司</w:t>
      </w:r>
      <w:r>
        <w:rPr>
          <w:rFonts w:hint="eastAsia" w:ascii="仿宋" w:hAnsi="仿宋" w:eastAsia="仿宋" w:cs="仿宋"/>
          <w:b/>
          <w:bCs/>
          <w:color w:val="000000"/>
          <w:sz w:val="30"/>
          <w:szCs w:val="30"/>
        </w:rPr>
        <w:t>管理人</w:t>
      </w:r>
    </w:p>
    <w:p w14:paraId="51D3FFAA">
      <w:pPr>
        <w:pStyle w:val="4"/>
        <w:spacing w:beforeAutospacing="0" w:afterAutospacing="0" w:line="500" w:lineRule="exact"/>
        <w:ind w:firstLine="602" w:firstLineChars="200"/>
        <w:jc w:val="right"/>
        <w:rPr>
          <w:rFonts w:ascii="仿宋" w:hAnsi="仿宋" w:eastAsia="仿宋" w:cs="仿宋"/>
          <w:b/>
          <w:bCs/>
          <w:color w:val="000000"/>
          <w:sz w:val="30"/>
          <w:szCs w:val="30"/>
        </w:rPr>
      </w:pPr>
      <w:r>
        <w:rPr>
          <w:rFonts w:hint="eastAsia" w:ascii="仿宋" w:hAnsi="仿宋" w:eastAsia="仿宋" w:cs="仿宋"/>
          <w:b/>
          <w:bCs/>
          <w:color w:val="000000"/>
          <w:sz w:val="30"/>
          <w:szCs w:val="30"/>
        </w:rPr>
        <w:t>二〇二</w:t>
      </w:r>
      <w:r>
        <w:rPr>
          <w:rFonts w:hint="eastAsia" w:ascii="仿宋" w:hAnsi="仿宋" w:eastAsia="仿宋" w:cs="仿宋"/>
          <w:b/>
          <w:bCs/>
          <w:color w:val="000000"/>
          <w:sz w:val="30"/>
          <w:szCs w:val="30"/>
          <w:lang w:val="en-US" w:eastAsia="zh-CN"/>
        </w:rPr>
        <w:t>四</w:t>
      </w:r>
      <w:r>
        <w:rPr>
          <w:rFonts w:hint="eastAsia" w:ascii="仿宋" w:hAnsi="仿宋" w:eastAsia="仿宋" w:cs="仿宋"/>
          <w:b/>
          <w:bCs/>
          <w:color w:val="000000"/>
          <w:sz w:val="30"/>
          <w:szCs w:val="30"/>
        </w:rPr>
        <w:t>年十</w:t>
      </w:r>
      <w:r>
        <w:rPr>
          <w:rFonts w:hint="eastAsia" w:ascii="仿宋" w:hAnsi="仿宋" w:eastAsia="仿宋" w:cs="仿宋"/>
          <w:b/>
          <w:bCs/>
          <w:color w:val="000000"/>
          <w:sz w:val="30"/>
          <w:szCs w:val="30"/>
          <w:lang w:val="en-US" w:eastAsia="zh-CN"/>
        </w:rPr>
        <w:t>二</w:t>
      </w:r>
      <w:r>
        <w:rPr>
          <w:rFonts w:hint="eastAsia" w:ascii="仿宋" w:hAnsi="仿宋" w:eastAsia="仿宋" w:cs="仿宋"/>
          <w:b/>
          <w:bCs/>
          <w:color w:val="000000"/>
          <w:sz w:val="30"/>
          <w:szCs w:val="30"/>
        </w:rPr>
        <w:t>月</w:t>
      </w:r>
      <w:r>
        <w:rPr>
          <w:rFonts w:hint="eastAsia" w:ascii="仿宋" w:hAnsi="仿宋" w:eastAsia="仿宋" w:cs="仿宋"/>
          <w:b/>
          <w:bCs/>
          <w:color w:val="000000"/>
          <w:sz w:val="30"/>
          <w:szCs w:val="30"/>
          <w:lang w:val="en-US" w:eastAsia="zh-CN"/>
        </w:rPr>
        <w:t>六</w:t>
      </w:r>
      <w:r>
        <w:rPr>
          <w:rFonts w:hint="eastAsia" w:ascii="仿宋" w:hAnsi="仿宋" w:eastAsia="仿宋" w:cs="仿宋"/>
          <w:b/>
          <w:bCs/>
          <w:color w:val="000000"/>
          <w:sz w:val="30"/>
          <w:szCs w:val="30"/>
        </w:rPr>
        <w:t xml:space="preserve">日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5E3F"/>
    <w:rsid w:val="00011FA8"/>
    <w:rsid w:val="000371E1"/>
    <w:rsid w:val="00062E4D"/>
    <w:rsid w:val="000E79F1"/>
    <w:rsid w:val="0011225E"/>
    <w:rsid w:val="00121670"/>
    <w:rsid w:val="001376E8"/>
    <w:rsid w:val="00162793"/>
    <w:rsid w:val="0019656B"/>
    <w:rsid w:val="001C20EB"/>
    <w:rsid w:val="001D4F30"/>
    <w:rsid w:val="001E3665"/>
    <w:rsid w:val="001F3DFA"/>
    <w:rsid w:val="00227478"/>
    <w:rsid w:val="00272019"/>
    <w:rsid w:val="002A23B5"/>
    <w:rsid w:val="002C0BD9"/>
    <w:rsid w:val="002C5278"/>
    <w:rsid w:val="002D4291"/>
    <w:rsid w:val="002E053D"/>
    <w:rsid w:val="0030444C"/>
    <w:rsid w:val="00313247"/>
    <w:rsid w:val="00345D5B"/>
    <w:rsid w:val="00392103"/>
    <w:rsid w:val="00393C05"/>
    <w:rsid w:val="003A2DDD"/>
    <w:rsid w:val="003A41A0"/>
    <w:rsid w:val="003B7C5B"/>
    <w:rsid w:val="003D5667"/>
    <w:rsid w:val="003E29F9"/>
    <w:rsid w:val="0042152D"/>
    <w:rsid w:val="004366F3"/>
    <w:rsid w:val="00467927"/>
    <w:rsid w:val="00471763"/>
    <w:rsid w:val="00476CBF"/>
    <w:rsid w:val="00490FF2"/>
    <w:rsid w:val="004C0ECA"/>
    <w:rsid w:val="00501C99"/>
    <w:rsid w:val="00504676"/>
    <w:rsid w:val="00520381"/>
    <w:rsid w:val="005315AC"/>
    <w:rsid w:val="0054753A"/>
    <w:rsid w:val="00551517"/>
    <w:rsid w:val="00562140"/>
    <w:rsid w:val="005A2D35"/>
    <w:rsid w:val="006445AC"/>
    <w:rsid w:val="006624BD"/>
    <w:rsid w:val="006A745F"/>
    <w:rsid w:val="006C2C3E"/>
    <w:rsid w:val="006D5E3F"/>
    <w:rsid w:val="006F100E"/>
    <w:rsid w:val="006F6C6F"/>
    <w:rsid w:val="00710F89"/>
    <w:rsid w:val="007203F3"/>
    <w:rsid w:val="00725A85"/>
    <w:rsid w:val="00735CF7"/>
    <w:rsid w:val="007551C8"/>
    <w:rsid w:val="00793C8F"/>
    <w:rsid w:val="00793DA8"/>
    <w:rsid w:val="007B7405"/>
    <w:rsid w:val="007C4B56"/>
    <w:rsid w:val="007E0BC2"/>
    <w:rsid w:val="007F059D"/>
    <w:rsid w:val="00805878"/>
    <w:rsid w:val="00823C65"/>
    <w:rsid w:val="008275C2"/>
    <w:rsid w:val="008704C2"/>
    <w:rsid w:val="008825E5"/>
    <w:rsid w:val="008A77B8"/>
    <w:rsid w:val="008B307F"/>
    <w:rsid w:val="008C4EC5"/>
    <w:rsid w:val="009006EE"/>
    <w:rsid w:val="00916EB4"/>
    <w:rsid w:val="00927E8E"/>
    <w:rsid w:val="00937866"/>
    <w:rsid w:val="00955D67"/>
    <w:rsid w:val="00981EBF"/>
    <w:rsid w:val="009853E6"/>
    <w:rsid w:val="00994914"/>
    <w:rsid w:val="00A04FDA"/>
    <w:rsid w:val="00A36AA5"/>
    <w:rsid w:val="00A4031C"/>
    <w:rsid w:val="00A56CF8"/>
    <w:rsid w:val="00A63017"/>
    <w:rsid w:val="00A84355"/>
    <w:rsid w:val="00AC00FE"/>
    <w:rsid w:val="00AC5AD2"/>
    <w:rsid w:val="00AF172F"/>
    <w:rsid w:val="00B2133F"/>
    <w:rsid w:val="00B257E7"/>
    <w:rsid w:val="00B33C7C"/>
    <w:rsid w:val="00B3593A"/>
    <w:rsid w:val="00B71378"/>
    <w:rsid w:val="00B760F1"/>
    <w:rsid w:val="00BE1BB8"/>
    <w:rsid w:val="00C006DA"/>
    <w:rsid w:val="00C12B0B"/>
    <w:rsid w:val="00C16DCE"/>
    <w:rsid w:val="00C264B3"/>
    <w:rsid w:val="00C30C9E"/>
    <w:rsid w:val="00C70437"/>
    <w:rsid w:val="00C75EDA"/>
    <w:rsid w:val="00CA299A"/>
    <w:rsid w:val="00CA4C4A"/>
    <w:rsid w:val="00CD44D5"/>
    <w:rsid w:val="00CE51E5"/>
    <w:rsid w:val="00D034FD"/>
    <w:rsid w:val="00D36061"/>
    <w:rsid w:val="00D57ABC"/>
    <w:rsid w:val="00DC6E7B"/>
    <w:rsid w:val="00DF2F6C"/>
    <w:rsid w:val="00E00436"/>
    <w:rsid w:val="00E06B66"/>
    <w:rsid w:val="00E1093B"/>
    <w:rsid w:val="00E122AD"/>
    <w:rsid w:val="00E24808"/>
    <w:rsid w:val="00E62320"/>
    <w:rsid w:val="00E84BB0"/>
    <w:rsid w:val="00E94C03"/>
    <w:rsid w:val="00EA3CEA"/>
    <w:rsid w:val="00EA42C6"/>
    <w:rsid w:val="00EB5AAD"/>
    <w:rsid w:val="00EE7CEE"/>
    <w:rsid w:val="00F14908"/>
    <w:rsid w:val="00F464DC"/>
    <w:rsid w:val="00F51349"/>
    <w:rsid w:val="00F944AE"/>
    <w:rsid w:val="00F97694"/>
    <w:rsid w:val="00FB7F05"/>
    <w:rsid w:val="021E56EF"/>
    <w:rsid w:val="0673298D"/>
    <w:rsid w:val="0ADC353C"/>
    <w:rsid w:val="1143598D"/>
    <w:rsid w:val="11527B04"/>
    <w:rsid w:val="15E062D0"/>
    <w:rsid w:val="166D752F"/>
    <w:rsid w:val="1B1B7D73"/>
    <w:rsid w:val="27245147"/>
    <w:rsid w:val="2CCF74DB"/>
    <w:rsid w:val="303302B2"/>
    <w:rsid w:val="33477738"/>
    <w:rsid w:val="348744FB"/>
    <w:rsid w:val="3A2735F6"/>
    <w:rsid w:val="3B055E6B"/>
    <w:rsid w:val="3D054641"/>
    <w:rsid w:val="3F5B40BB"/>
    <w:rsid w:val="44063E8A"/>
    <w:rsid w:val="44953C52"/>
    <w:rsid w:val="4A263F80"/>
    <w:rsid w:val="50A52646"/>
    <w:rsid w:val="58437133"/>
    <w:rsid w:val="69BD51B7"/>
    <w:rsid w:val="6AD26CB7"/>
    <w:rsid w:val="78076DE7"/>
    <w:rsid w:val="7AF66D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1"/>
    <w:unhideWhenUsed/>
    <w:qFormat/>
    <w:uiPriority w:val="99"/>
    <w:pPr>
      <w:tabs>
        <w:tab w:val="center" w:pos="4153"/>
        <w:tab w:val="right" w:pos="8306"/>
      </w:tabs>
      <w:snapToGrid w:val="0"/>
      <w:jc w:val="left"/>
    </w:pPr>
    <w:rPr>
      <w:sz w:val="18"/>
      <w:szCs w:val="18"/>
    </w:rPr>
  </w:style>
  <w:style w:type="paragraph" w:styleId="3">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rPr>
  </w:style>
  <w:style w:type="character" w:styleId="8">
    <w:name w:val="Hyperlink"/>
    <w:basedOn w:val="6"/>
    <w:unhideWhenUsed/>
    <w:qFormat/>
    <w:uiPriority w:val="99"/>
    <w:rPr>
      <w:color w:val="0563C1" w:themeColor="hyperlink"/>
      <w:u w:val="single"/>
      <w14:textFill>
        <w14:solidFill>
          <w14:schemeClr w14:val="hlink"/>
        </w14:solidFill>
      </w14:textFill>
    </w:rPr>
  </w:style>
  <w:style w:type="character" w:customStyle="1" w:styleId="9">
    <w:name w:val="apple-converted-space"/>
    <w:basedOn w:val="6"/>
    <w:qFormat/>
    <w:uiPriority w:val="0"/>
  </w:style>
  <w:style w:type="character" w:customStyle="1" w:styleId="10">
    <w:name w:val="页眉 字符"/>
    <w:basedOn w:val="6"/>
    <w:link w:val="3"/>
    <w:qFormat/>
    <w:uiPriority w:val="99"/>
    <w:rPr>
      <w:sz w:val="18"/>
      <w:szCs w:val="18"/>
    </w:rPr>
  </w:style>
  <w:style w:type="character" w:customStyle="1" w:styleId="11">
    <w:name w:val="页脚 字符"/>
    <w:basedOn w:val="6"/>
    <w:link w:val="2"/>
    <w:qFormat/>
    <w:uiPriority w:val="99"/>
    <w:rPr>
      <w:sz w:val="18"/>
      <w:szCs w:val="18"/>
    </w:rPr>
  </w:style>
  <w:style w:type="character" w:customStyle="1" w:styleId="12">
    <w:name w:val="未处理的提及1"/>
    <w:basedOn w:val="6"/>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3460</Words>
  <Characters>3625</Characters>
  <Lines>53</Lines>
  <Paragraphs>14</Paragraphs>
  <TotalTime>3</TotalTime>
  <ScaleCrop>false</ScaleCrop>
  <LinksUpToDate>false</LinksUpToDate>
  <CharactersWithSpaces>3652</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2020-10-21T02:12:00Z</dcterms:created>
  <dc:creator>gaochang1</dc:creator>
  <cp:lastModifiedBy>李艳梅律师-紫微星律所</cp:lastModifiedBy>
  <dcterms:modified xsi:type="dcterms:W3CDTF">2024-12-06T07:56:54Z</dcterms:modified>
  <cp:revision>53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4B3EEF29CA324583B02F21070A6E764D_13</vt:lpwstr>
  </property>
</Properties>
</file>