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0006D">
      <w:pPr>
        <w:jc w:val="center"/>
        <w:rPr>
          <w:rFonts w:ascii="黑体" w:hAnsi="黑体" w:eastAsia="黑体"/>
          <w:b/>
          <w:bCs/>
          <w:sz w:val="44"/>
          <w:szCs w:val="44"/>
        </w:rPr>
      </w:pPr>
      <w:r>
        <w:rPr>
          <w:rFonts w:hint="eastAsia" w:ascii="黑体" w:hAnsi="黑体" w:eastAsia="黑体"/>
          <w:b/>
          <w:bCs/>
          <w:sz w:val="44"/>
          <w:szCs w:val="44"/>
        </w:rPr>
        <w:t>竞买须知</w:t>
      </w:r>
    </w:p>
    <w:p w14:paraId="2927F343">
      <w:pPr>
        <w:ind w:firstLine="560" w:firstLineChars="200"/>
        <w:rPr>
          <w:rFonts w:hint="eastAsia" w:ascii="仿宋" w:hAnsi="仿宋" w:eastAsia="仿宋" w:cs="仿宋"/>
          <w:color w:val="000000" w:themeColor="text1"/>
          <w:sz w:val="28"/>
          <w:szCs w:val="28"/>
          <w:lang w:val="en-US" w:eastAsia="zh-CN"/>
          <w14:textFill>
            <w14:solidFill>
              <w14:schemeClr w14:val="tx1"/>
            </w14:solidFill>
          </w14:textFill>
        </w:rPr>
      </w:pPr>
    </w:p>
    <w:p w14:paraId="7CAD1AD4">
      <w:pPr>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馆陶县战国轴承有限公司</w:t>
      </w:r>
      <w:r>
        <w:rPr>
          <w:rFonts w:hint="eastAsia" w:ascii="仿宋" w:hAnsi="仿宋" w:eastAsia="仿宋" w:cs="仿宋"/>
          <w:color w:val="000000" w:themeColor="text1"/>
          <w:sz w:val="28"/>
          <w:szCs w:val="28"/>
          <w14:textFill>
            <w14:solidFill>
              <w14:schemeClr w14:val="tx1"/>
            </w14:solidFill>
          </w14:textFill>
        </w:rPr>
        <w:t>管理人将于</w:t>
      </w:r>
      <w:r>
        <w:rPr>
          <w:rFonts w:hint="eastAsia" w:ascii="仿宋" w:hAnsi="仿宋" w:eastAsia="仿宋" w:cs="仿宋"/>
          <w:b/>
          <w:bCs/>
          <w:color w:val="000000" w:themeColor="text1"/>
          <w:sz w:val="28"/>
          <w:szCs w:val="28"/>
          <w14:textFill>
            <w14:solidFill>
              <w14:schemeClr w14:val="tx1"/>
            </w14:solidFill>
          </w14:textFill>
        </w:rPr>
        <w:t>202</w:t>
      </w:r>
      <w:r>
        <w:rPr>
          <w:rFonts w:hint="eastAsia" w:ascii="仿宋" w:hAnsi="仿宋" w:eastAsia="仿宋" w:cs="仿宋"/>
          <w:b/>
          <w:bCs/>
          <w:color w:val="000000" w:themeColor="text1"/>
          <w:sz w:val="28"/>
          <w:szCs w:val="28"/>
          <w:lang w:val="en-US" w:eastAsia="zh-CN"/>
          <w14:textFill>
            <w14:solidFill>
              <w14:schemeClr w14:val="tx1"/>
            </w14:solidFill>
          </w14:textFill>
        </w:rPr>
        <w:t>4</w:t>
      </w:r>
      <w:r>
        <w:rPr>
          <w:rFonts w:hint="eastAsia" w:ascii="仿宋" w:hAnsi="仿宋" w:eastAsia="仿宋" w:cs="仿宋"/>
          <w:b/>
          <w:bCs/>
          <w:color w:val="000000" w:themeColor="text1"/>
          <w:sz w:val="28"/>
          <w:szCs w:val="28"/>
          <w14:textFill>
            <w14:solidFill>
              <w14:schemeClr w14:val="tx1"/>
            </w14:solidFill>
          </w14:textFill>
        </w:rPr>
        <w:t>年1</w:t>
      </w:r>
      <w:r>
        <w:rPr>
          <w:rFonts w:ascii="仿宋" w:hAnsi="仿宋" w:eastAsia="仿宋" w:cs="仿宋"/>
          <w:b/>
          <w:bCs/>
          <w:color w:val="000000" w:themeColor="text1"/>
          <w:sz w:val="28"/>
          <w:szCs w:val="28"/>
          <w14:textFill>
            <w14:solidFill>
              <w14:schemeClr w14:val="tx1"/>
            </w14:solidFill>
          </w14:textFill>
        </w:rPr>
        <w:t>2</w:t>
      </w:r>
      <w:r>
        <w:rPr>
          <w:rFonts w:hint="eastAsia" w:ascii="仿宋" w:hAnsi="仿宋" w:eastAsia="仿宋" w:cs="仿宋"/>
          <w:b/>
          <w:bCs/>
          <w:color w:val="000000" w:themeColor="text1"/>
          <w:sz w:val="28"/>
          <w:szCs w:val="28"/>
          <w14:textFill>
            <w14:solidFill>
              <w14:schemeClr w14:val="tx1"/>
            </w14:solidFill>
          </w14:textFill>
        </w:rPr>
        <w:t>月</w:t>
      </w:r>
      <w:r>
        <w:rPr>
          <w:rFonts w:hint="eastAsia" w:ascii="仿宋" w:hAnsi="仿宋" w:eastAsia="仿宋" w:cs="仿宋"/>
          <w:b/>
          <w:bCs/>
          <w:color w:val="000000" w:themeColor="text1"/>
          <w:sz w:val="28"/>
          <w:szCs w:val="28"/>
          <w:lang w:val="en-US" w:eastAsia="zh-CN"/>
          <w14:textFill>
            <w14:solidFill>
              <w14:schemeClr w14:val="tx1"/>
            </w14:solidFill>
          </w14:textFill>
        </w:rPr>
        <w:t>23</w:t>
      </w:r>
      <w:r>
        <w:rPr>
          <w:rFonts w:hint="eastAsia" w:ascii="仿宋" w:hAnsi="仿宋" w:eastAsia="仿宋" w:cs="仿宋"/>
          <w:b/>
          <w:bCs/>
          <w:color w:val="000000" w:themeColor="text1"/>
          <w:sz w:val="28"/>
          <w:szCs w:val="28"/>
          <w14:textFill>
            <w14:solidFill>
              <w14:schemeClr w14:val="tx1"/>
            </w14:solidFill>
          </w14:textFill>
        </w:rPr>
        <w:t>日10时至202</w:t>
      </w:r>
      <w:r>
        <w:rPr>
          <w:rFonts w:hint="eastAsia" w:ascii="仿宋" w:hAnsi="仿宋" w:eastAsia="仿宋" w:cs="仿宋"/>
          <w:b/>
          <w:bCs/>
          <w:color w:val="000000" w:themeColor="text1"/>
          <w:sz w:val="28"/>
          <w:szCs w:val="28"/>
          <w:lang w:val="en-US" w:eastAsia="zh-CN"/>
          <w14:textFill>
            <w14:solidFill>
              <w14:schemeClr w14:val="tx1"/>
            </w14:solidFill>
          </w14:textFill>
        </w:rPr>
        <w:t>4</w:t>
      </w:r>
      <w:r>
        <w:rPr>
          <w:rFonts w:hint="eastAsia" w:ascii="仿宋" w:hAnsi="仿宋" w:eastAsia="仿宋" w:cs="仿宋"/>
          <w:b/>
          <w:bCs/>
          <w:color w:val="000000" w:themeColor="text1"/>
          <w:sz w:val="28"/>
          <w:szCs w:val="28"/>
          <w14:textFill>
            <w14:solidFill>
              <w14:schemeClr w14:val="tx1"/>
            </w14:solidFill>
          </w14:textFill>
        </w:rPr>
        <w:t>年1</w:t>
      </w:r>
      <w:r>
        <w:rPr>
          <w:rFonts w:ascii="仿宋" w:hAnsi="仿宋" w:eastAsia="仿宋" w:cs="仿宋"/>
          <w:b/>
          <w:bCs/>
          <w:color w:val="000000" w:themeColor="text1"/>
          <w:sz w:val="28"/>
          <w:szCs w:val="28"/>
          <w14:textFill>
            <w14:solidFill>
              <w14:schemeClr w14:val="tx1"/>
            </w14:solidFill>
          </w14:textFill>
        </w:rPr>
        <w:t>2</w:t>
      </w:r>
      <w:r>
        <w:rPr>
          <w:rFonts w:hint="eastAsia" w:ascii="仿宋" w:hAnsi="仿宋" w:eastAsia="仿宋" w:cs="仿宋"/>
          <w:b/>
          <w:bCs/>
          <w:color w:val="000000" w:themeColor="text1"/>
          <w:sz w:val="28"/>
          <w:szCs w:val="28"/>
          <w14:textFill>
            <w14:solidFill>
              <w14:schemeClr w14:val="tx1"/>
            </w14:solidFill>
          </w14:textFill>
        </w:rPr>
        <w:t>月</w:t>
      </w:r>
      <w:r>
        <w:rPr>
          <w:rFonts w:hint="eastAsia" w:ascii="仿宋" w:hAnsi="仿宋" w:eastAsia="仿宋" w:cs="仿宋"/>
          <w:b/>
          <w:bCs/>
          <w:color w:val="000000" w:themeColor="text1"/>
          <w:sz w:val="28"/>
          <w:szCs w:val="28"/>
          <w:lang w:val="en-US" w:eastAsia="zh-CN"/>
          <w14:textFill>
            <w14:solidFill>
              <w14:schemeClr w14:val="tx1"/>
            </w14:solidFill>
          </w14:textFill>
        </w:rPr>
        <w:t>24</w:t>
      </w:r>
      <w:bookmarkStart w:id="0" w:name="_GoBack"/>
      <w:bookmarkEnd w:id="0"/>
      <w:r>
        <w:rPr>
          <w:rFonts w:hint="eastAsia" w:ascii="仿宋" w:hAnsi="仿宋" w:eastAsia="仿宋" w:cs="仿宋"/>
          <w:b/>
          <w:bCs/>
          <w:color w:val="000000" w:themeColor="text1"/>
          <w:sz w:val="28"/>
          <w:szCs w:val="28"/>
          <w14:textFill>
            <w14:solidFill>
              <w14:schemeClr w14:val="tx1"/>
            </w14:solidFill>
          </w14:textFill>
        </w:rPr>
        <w:t>日10时止</w:t>
      </w:r>
      <w:r>
        <w:rPr>
          <w:rFonts w:hint="eastAsia" w:ascii="仿宋" w:hAnsi="仿宋" w:eastAsia="仿宋" w:cs="仿宋"/>
          <w:color w:val="000000" w:themeColor="text1"/>
          <w:sz w:val="28"/>
          <w:szCs w:val="28"/>
          <w14:textFill>
            <w14:solidFill>
              <w14:schemeClr w14:val="tx1"/>
            </w14:solidFill>
          </w14:textFill>
        </w:rPr>
        <w:t>（延时除外）在京东拍卖破产强清平台（处置单位：</w:t>
      </w:r>
      <w:r>
        <w:rPr>
          <w:rFonts w:hint="eastAsia" w:ascii="仿宋" w:hAnsi="仿宋" w:eastAsia="仿宋" w:cs="仿宋"/>
          <w:color w:val="000000" w:themeColor="text1"/>
          <w:sz w:val="28"/>
          <w:szCs w:val="28"/>
          <w:lang w:val="en-US" w:eastAsia="zh-CN"/>
          <w14:textFill>
            <w14:solidFill>
              <w14:schemeClr w14:val="tx1"/>
            </w14:solidFill>
          </w14:textFill>
        </w:rPr>
        <w:t>馆陶县战国轴承有限公司</w:t>
      </w:r>
      <w:r>
        <w:rPr>
          <w:rFonts w:hint="eastAsia" w:ascii="仿宋" w:hAnsi="仿宋" w:eastAsia="仿宋" w:cs="仿宋"/>
          <w:color w:val="000000" w:themeColor="text1"/>
          <w:sz w:val="28"/>
          <w:szCs w:val="28"/>
          <w14:textFill>
            <w14:solidFill>
              <w14:schemeClr w14:val="tx1"/>
            </w14:solidFill>
          </w14:textFill>
        </w:rPr>
        <w:t>管理人），监督单位：</w:t>
      </w:r>
      <w:r>
        <w:rPr>
          <w:rFonts w:hint="eastAsia" w:ascii="仿宋" w:hAnsi="仿宋" w:eastAsia="仿宋" w:cs="仿宋"/>
          <w:color w:val="000000" w:themeColor="text1"/>
          <w:sz w:val="28"/>
          <w:szCs w:val="28"/>
          <w:lang w:val="en-US" w:eastAsia="zh-CN"/>
          <w14:textFill>
            <w14:solidFill>
              <w14:schemeClr w14:val="tx1"/>
            </w14:solidFill>
          </w14:textFill>
        </w:rPr>
        <w:t>邯郸</w:t>
      </w:r>
      <w:r>
        <w:rPr>
          <w:rFonts w:hint="eastAsia" w:ascii="仿宋" w:hAnsi="仿宋" w:eastAsia="仿宋" w:cs="仿宋"/>
          <w:color w:val="000000" w:themeColor="text1"/>
          <w:sz w:val="28"/>
          <w:szCs w:val="28"/>
          <w14:textFill>
            <w14:solidFill>
              <w14:schemeClr w14:val="tx1"/>
            </w14:solidFill>
          </w14:textFill>
        </w:rPr>
        <w:t>市中级人民法院，网址：https://auction.jd.com/bankrupt.html）进行公开拍卖活动，现就网上拍卖有关事宜敬告各位竞买人：</w:t>
      </w:r>
    </w:p>
    <w:p w14:paraId="17EB30ED">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一、本《竞买须知》根据《中华人民共和国民事诉讼法》等相关法律规定所制订，竞买人应认真仔细阅读，了解本须知的全部内容。</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 xml:space="preserve">    二、本次竞价活动遵循“公开、公平、公正、诚实守信”的原则，竞价活动具备法律效力。参加本次竞价活动的当事人和竞买人必须遵守本须知的各项条款，并对自己的行为承担法律责任。</w:t>
      </w:r>
    </w:p>
    <w:p w14:paraId="34C0BBF4">
      <w:pPr>
        <w:ind w:firstLine="560" w:firstLineChars="200"/>
        <w:rPr>
          <w:rFonts w:ascii="仿宋" w:hAnsi="仿宋" w:eastAsia="仿宋" w:cs="仿宋"/>
          <w:color w:val="FF0000"/>
          <w:sz w:val="28"/>
          <w:szCs w:val="28"/>
        </w:rPr>
      </w:pPr>
      <w:r>
        <w:rPr>
          <w:rFonts w:hint="eastAsia" w:ascii="仿宋" w:hAnsi="仿宋" w:eastAsia="仿宋" w:cs="仿宋"/>
          <w:color w:val="000000"/>
          <w:sz w:val="28"/>
          <w:szCs w:val="28"/>
        </w:rPr>
        <w:t>三、拍卖标的：</w:t>
      </w:r>
      <w:r>
        <w:rPr>
          <w:rFonts w:hint="eastAsia" w:ascii="仿宋" w:hAnsi="仿宋" w:eastAsia="仿宋" w:cs="仿宋"/>
          <w:color w:val="000000"/>
          <w:sz w:val="28"/>
          <w:szCs w:val="28"/>
          <w:lang w:eastAsia="zh-CN"/>
        </w:rPr>
        <w:t>馆陶县战国轴承有限公司</w:t>
      </w:r>
      <w:r>
        <w:rPr>
          <w:rFonts w:hint="eastAsia" w:ascii="仿宋" w:hAnsi="仿宋" w:eastAsia="仿宋" w:cs="仿宋"/>
          <w:color w:val="000000"/>
          <w:sz w:val="28"/>
          <w:szCs w:val="28"/>
        </w:rPr>
        <w:t>名下注册商标，拍卖标的登记状态以</w:t>
      </w:r>
      <w:r>
        <w:rPr>
          <w:rFonts w:hint="eastAsia" w:ascii="仿宋" w:hAnsi="仿宋" w:eastAsia="仿宋" w:cs="仿宋"/>
          <w:color w:val="000000"/>
          <w:sz w:val="28"/>
          <w:szCs w:val="28"/>
          <w:lang w:eastAsia="zh-CN"/>
        </w:rPr>
        <w:t>国家知识产权局</w:t>
      </w:r>
      <w:r>
        <w:rPr>
          <w:rFonts w:hint="eastAsia" w:ascii="仿宋" w:hAnsi="仿宋" w:eastAsia="仿宋" w:cs="仿宋"/>
          <w:color w:val="000000"/>
          <w:sz w:val="28"/>
          <w:szCs w:val="28"/>
          <w:lang w:val="en-US" w:eastAsia="zh-CN"/>
        </w:rPr>
        <w:t>官网公布的“战国商标”为准，</w:t>
      </w:r>
      <w:r>
        <w:rPr>
          <w:rFonts w:hint="eastAsia" w:ascii="仿宋" w:hAnsi="仿宋" w:eastAsia="仿宋" w:cs="仿宋"/>
          <w:b/>
          <w:bCs/>
          <w:color w:val="000000"/>
          <w:sz w:val="28"/>
          <w:szCs w:val="28"/>
          <w:lang w:val="en-US" w:eastAsia="zh-CN"/>
        </w:rPr>
        <w:t>特别提示：成交后，不再</w:t>
      </w:r>
      <w:r>
        <w:rPr>
          <w:rFonts w:hint="eastAsia" w:ascii="仿宋" w:hAnsi="仿宋" w:eastAsia="仿宋" w:cs="仿宋"/>
          <w:b/>
          <w:bCs/>
          <w:color w:val="000000"/>
          <w:sz w:val="28"/>
          <w:szCs w:val="28"/>
        </w:rPr>
        <w:t>移交</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lang w:val="en-US" w:eastAsia="zh-CN"/>
        </w:rPr>
        <w:t>战国商标</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lang w:val="en-US" w:eastAsia="zh-CN"/>
        </w:rPr>
        <w:t>证书等权利证明仅以知识产权局官网记载的现状</w:t>
      </w:r>
      <w:r>
        <w:rPr>
          <w:rFonts w:hint="eastAsia" w:ascii="仿宋" w:hAnsi="仿宋" w:eastAsia="仿宋" w:cs="仿宋"/>
          <w:b/>
          <w:bCs/>
          <w:color w:val="000000"/>
          <w:sz w:val="28"/>
          <w:szCs w:val="28"/>
        </w:rPr>
        <w:t>为准。</w:t>
      </w:r>
      <w:r>
        <w:rPr>
          <w:rFonts w:hint="eastAsia" w:ascii="仿宋" w:hAnsi="仿宋" w:eastAsia="仿宋" w:cs="仿宋"/>
          <w:color w:val="000000"/>
          <w:sz w:val="28"/>
          <w:szCs w:val="28"/>
        </w:rPr>
        <w:br w:type="textWrapping"/>
      </w:r>
      <w:r>
        <w:rPr>
          <w:rFonts w:hint="eastAsia" w:ascii="仿宋" w:hAnsi="仿宋" w:eastAsia="仿宋" w:cs="仿宋"/>
          <w:color w:val="000000"/>
          <w:sz w:val="28"/>
          <w:szCs w:val="28"/>
        </w:rPr>
        <w:t xml:space="preserve">    四、竞买人条件</w:t>
      </w:r>
    </w:p>
    <w:p w14:paraId="60F760E5">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1、凡具备完全民事行为能力的公民、法人和其他组织均可参加竞买。     </w:t>
      </w:r>
    </w:p>
    <w:p w14:paraId="0D4D288E">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6419909F">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w:t>
      </w:r>
      <w:r>
        <w:rPr>
          <w:rFonts w:hint="eastAsia" w:ascii="仿宋" w:hAnsi="仿宋" w:eastAsia="仿宋" w:cs="仿宋"/>
          <w:b/>
          <w:bCs/>
          <w:color w:val="000000"/>
          <w:sz w:val="28"/>
          <w:szCs w:val="28"/>
        </w:rPr>
        <w:t>法律、行政法规和司法解释对本标的物买受人资格或者条件有特殊规定的，买受人应当具备规定的资格或条件。</w:t>
      </w:r>
      <w:r>
        <w:rPr>
          <w:rFonts w:hint="eastAsia" w:ascii="仿宋" w:hAnsi="仿宋" w:eastAsia="仿宋" w:cs="仿宋"/>
          <w:b/>
          <w:bCs/>
          <w:color w:val="000000"/>
          <w:kern w:val="0"/>
          <w:sz w:val="28"/>
          <w:szCs w:val="28"/>
        </w:rPr>
        <w:br w:type="textWrapping"/>
      </w:r>
      <w:r>
        <w:rPr>
          <w:rFonts w:hint="eastAsia" w:ascii="仿宋" w:hAnsi="仿宋" w:eastAsia="仿宋" w:cs="仿宋"/>
          <w:color w:val="000000"/>
          <w:kern w:val="0"/>
          <w:sz w:val="28"/>
          <w:szCs w:val="28"/>
        </w:rPr>
        <w:t xml:space="preserve">    4、因不符合条件参加竞买的，由竞买人自行承担相应的法律责任。</w:t>
      </w:r>
    </w:p>
    <w:p w14:paraId="43CE1714">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五、竞价方式</w:t>
      </w:r>
    </w:p>
    <w:p w14:paraId="545822A5">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竞价从起拍价开始以递增出价方式竞价，</w:t>
      </w:r>
      <w:r>
        <w:rPr>
          <w:rFonts w:hint="eastAsia" w:ascii="仿宋" w:hAnsi="仿宋" w:eastAsia="仿宋" w:cs="仿宋"/>
          <w:kern w:val="0"/>
          <w:sz w:val="28"/>
          <w:szCs w:val="28"/>
        </w:rPr>
        <w:t>增加幅度由管理人确定。竞买人以低于起拍价出价的无效。本次竞价</w:t>
      </w:r>
      <w:r>
        <w:rPr>
          <w:rFonts w:hint="eastAsia" w:ascii="仿宋" w:hAnsi="仿宋" w:eastAsia="仿宋" w:cs="仿宋"/>
          <w:color w:val="000000"/>
          <w:kern w:val="0"/>
          <w:sz w:val="28"/>
          <w:szCs w:val="28"/>
        </w:rPr>
        <w:t>活动设置延时出价功能，在竞价活动结束前，每最后5分钟如果有竞买人出价，就自动延迟5分钟。</w:t>
      </w:r>
    </w:p>
    <w:p w14:paraId="5435FF9D">
      <w:pPr>
        <w:widowControl/>
        <w:shd w:val="clear" w:color="auto" w:fill="FFFFFF"/>
        <w:spacing w:line="270"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六、优先购买人</w:t>
      </w:r>
    </w:p>
    <w:p w14:paraId="369C048D">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kern w:val="0"/>
          <w:sz w:val="28"/>
          <w:szCs w:val="28"/>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r>
        <w:rPr>
          <w:rFonts w:hint="eastAsia" w:ascii="仿宋" w:hAnsi="仿宋" w:eastAsia="仿宋" w:cs="仿宋"/>
          <w:color w:val="000000"/>
          <w:kern w:val="0"/>
          <w:sz w:val="28"/>
          <w:szCs w:val="28"/>
        </w:rPr>
        <w:br w:type="textWrapping"/>
      </w:r>
      <w:r>
        <w:rPr>
          <w:rFonts w:hint="eastAsia" w:ascii="仿宋" w:hAnsi="仿宋" w:eastAsia="仿宋" w:cs="仿宋"/>
          <w:color w:val="000000"/>
          <w:kern w:val="0"/>
          <w:sz w:val="28"/>
          <w:szCs w:val="28"/>
        </w:rPr>
        <w:t xml:space="preserve">    七、保证金</w:t>
      </w:r>
    </w:p>
    <w:p w14:paraId="1A6758E3">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kern w:val="0"/>
          <w:sz w:val="28"/>
          <w:szCs w:val="28"/>
        </w:rPr>
        <w:t>第一次出价前，意向竞买人须在京东注册账号并通过实名认证（已注册京东账号需通过实名认证），在线支付竞买保证金，支付后系统自动冻结该笔保证金，</w:t>
      </w:r>
      <w:r>
        <w:rPr>
          <w:rFonts w:hint="eastAsia" w:ascii="仿宋" w:hAnsi="仿宋" w:eastAsia="仿宋" w:cs="仿宋"/>
          <w:color w:val="000000"/>
          <w:kern w:val="0"/>
          <w:sz w:val="28"/>
          <w:szCs w:val="28"/>
        </w:rPr>
        <w:t>具体要求请阅读竞价页面内的《竞买须知</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rPr>
        <w:t>保证金须知》及京东网络竞价平台告知的竞价流程（竞价前必看）的相关准则。竞价成交的，本标的物竞得者（以下称买受人）冻结的保证金将自动转为部分成交款，由京东结算</w:t>
      </w:r>
      <w:r>
        <w:rPr>
          <w:rFonts w:hint="eastAsia" w:ascii="仿宋" w:hAnsi="仿宋" w:eastAsia="仿宋" w:cs="仿宋"/>
          <w:kern w:val="0"/>
          <w:sz w:val="28"/>
          <w:szCs w:val="28"/>
        </w:rPr>
        <w:t>给管理人指定账户，其他竞买人的保证金在竞价后即时解冻。竞价结束后</w:t>
      </w:r>
      <w:r>
        <w:rPr>
          <w:rFonts w:hint="eastAsia" w:ascii="仿宋" w:hAnsi="仿宋" w:eastAsia="仿宋" w:cs="仿宋"/>
          <w:color w:val="000000"/>
          <w:kern w:val="0"/>
          <w:sz w:val="28"/>
          <w:szCs w:val="28"/>
        </w:rPr>
        <w:t>，未能竞得者的保证金以及竞价未成交的（即流拍的）竞买人的保证金在竞价活动结束后即时解冻，保证金冻结期间不计利息。</w:t>
      </w:r>
    </w:p>
    <w:p w14:paraId="09C9B0C5">
      <w:pPr>
        <w:widowControl/>
        <w:shd w:val="clear" w:color="auto" w:fill="FFFFFF"/>
        <w:spacing w:line="270"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 </w:t>
      </w:r>
    </w:p>
    <w:p w14:paraId="198F20CD">
      <w:pPr>
        <w:widowControl/>
        <w:shd w:val="clear" w:color="auto" w:fill="FFFFFF"/>
        <w:spacing w:line="270"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保证金金额往往数额较大，为避免在线支付的过程中，因银行限额而导致无法支付的问题，建议竞买人提前去相关银行办理提高网银支付限额的业务。如保证金金额超出竞买人开户银行制</w:t>
      </w:r>
      <w:r>
        <w:rPr>
          <w:rFonts w:hint="eastAsia" w:ascii="仿宋" w:hAnsi="仿宋" w:eastAsia="仿宋" w:cs="仿宋"/>
          <w:kern w:val="0"/>
          <w:sz w:val="28"/>
          <w:szCs w:val="28"/>
          <w:lang w:eastAsia="zh-CN"/>
        </w:rPr>
        <w:t>定</w:t>
      </w:r>
      <w:r>
        <w:rPr>
          <w:rFonts w:hint="eastAsia" w:ascii="仿宋" w:hAnsi="仿宋" w:eastAsia="仿宋" w:cs="仿宋"/>
          <w:kern w:val="0"/>
          <w:sz w:val="28"/>
          <w:szCs w:val="28"/>
        </w:rPr>
        <w:t>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22EA2AE5">
      <w:pPr>
        <w:widowControl/>
        <w:shd w:val="clear" w:color="auto" w:fill="FFFFFF"/>
        <w:spacing w:line="270"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银行支付限额：https://help.jd.com/user/issue/359-1659.html</w:t>
      </w:r>
    </w:p>
    <w:p w14:paraId="0C7C658B">
      <w:pPr>
        <w:widowControl/>
        <w:shd w:val="clear" w:color="auto" w:fill="FFFFFF"/>
        <w:spacing w:line="270"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个人/企业参拍流程：https://auction.jd.com/bankrupt.html</w:t>
      </w:r>
    </w:p>
    <w:p w14:paraId="1B502A83">
      <w:pPr>
        <w:widowControl/>
        <w:shd w:val="clear" w:color="auto" w:fill="FFFFFF"/>
        <w:spacing w:line="270" w:lineRule="atLeas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在参拍、缴纳保证金过程中，如有疑问，请拨打京东拍卖服务热线：4006229586。</w:t>
      </w:r>
    </w:p>
    <w:p w14:paraId="6D7BB316">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八、尾款交纳</w:t>
      </w:r>
    </w:p>
    <w:p w14:paraId="3D92487B">
      <w:pPr>
        <w:widowControl/>
        <w:shd w:val="clear" w:color="auto" w:fill="FFFFFF"/>
        <w:spacing w:line="270" w:lineRule="atLeast"/>
        <w:ind w:firstLine="560" w:firstLineChars="200"/>
        <w:jc w:val="left"/>
        <w:rPr>
          <w:rFonts w:ascii="仿宋" w:hAnsi="仿宋" w:eastAsia="仿宋" w:cs="仿宋"/>
          <w:b/>
          <w:bCs/>
          <w:color w:val="FF0000"/>
          <w:sz w:val="30"/>
          <w:szCs w:val="30"/>
        </w:rPr>
      </w:pPr>
      <w:r>
        <w:rPr>
          <w:rFonts w:hint="eastAsia" w:ascii="仿宋" w:hAnsi="仿宋" w:eastAsia="仿宋" w:cs="仿宋"/>
          <w:color w:val="000000"/>
          <w:kern w:val="0"/>
          <w:sz w:val="28"/>
          <w:szCs w:val="28"/>
        </w:rPr>
        <w:t>竞价成交后，标的物竞得者原锁定的保证金自动转入管理人指定账户。</w:t>
      </w:r>
      <w:r>
        <w:rPr>
          <w:rFonts w:hint="eastAsia" w:ascii="仿宋" w:hAnsi="仿宋" w:eastAsia="仿宋" w:cs="仿宋"/>
          <w:color w:val="000000" w:themeColor="text1"/>
          <w:kern w:val="0"/>
          <w:sz w:val="28"/>
          <w:szCs w:val="28"/>
          <w14:textFill>
            <w14:solidFill>
              <w14:schemeClr w14:val="tx1"/>
            </w14:solidFill>
          </w14:textFill>
        </w:rPr>
        <w:t>买受人应于</w:t>
      </w:r>
      <w:r>
        <w:rPr>
          <w:rFonts w:hint="eastAsia" w:ascii="仿宋" w:hAnsi="仿宋" w:eastAsia="仿宋" w:cs="仿宋"/>
          <w:b/>
          <w:bCs/>
          <w:color w:val="000000" w:themeColor="text1"/>
          <w:kern w:val="0"/>
          <w:sz w:val="28"/>
          <w:szCs w:val="28"/>
          <w14:textFill>
            <w14:solidFill>
              <w14:schemeClr w14:val="tx1"/>
            </w14:solidFill>
          </w14:textFill>
        </w:rPr>
        <w:t>成交之时起</w:t>
      </w:r>
      <w:r>
        <w:rPr>
          <w:rFonts w:ascii="仿宋" w:hAnsi="仿宋" w:eastAsia="仿宋" w:cs="仿宋"/>
          <w:b/>
          <w:bCs/>
          <w:color w:val="000000" w:themeColor="text1"/>
          <w:kern w:val="0"/>
          <w:sz w:val="28"/>
          <w:szCs w:val="28"/>
          <w14:textFill>
            <w14:solidFill>
              <w14:schemeClr w14:val="tx1"/>
            </w14:solidFill>
          </w14:textFill>
        </w:rPr>
        <w:t>5</w:t>
      </w:r>
      <w:r>
        <w:rPr>
          <w:rFonts w:hint="eastAsia" w:ascii="仿宋" w:hAnsi="仿宋" w:eastAsia="仿宋" w:cs="仿宋"/>
          <w:b/>
          <w:bCs/>
          <w:color w:val="000000" w:themeColor="text1"/>
          <w:kern w:val="0"/>
          <w:sz w:val="28"/>
          <w:szCs w:val="28"/>
          <w14:textFill>
            <w14:solidFill>
              <w14:schemeClr w14:val="tx1"/>
            </w14:solidFill>
          </w14:textFill>
        </w:rPr>
        <w:t>个工作日</w:t>
      </w:r>
      <w:r>
        <w:rPr>
          <w:rFonts w:hint="eastAsia" w:ascii="仿宋" w:hAnsi="仿宋" w:eastAsia="仿宋" w:cs="仿宋"/>
          <w:color w:val="000000" w:themeColor="text1"/>
          <w:kern w:val="0"/>
          <w:sz w:val="28"/>
          <w:szCs w:val="28"/>
          <w14:textFill>
            <w14:solidFill>
              <w14:schemeClr w14:val="tx1"/>
            </w14:solidFill>
          </w14:textFill>
        </w:rPr>
        <w:t>内将竞价成交价余款（扣除保证金后的余款）缴入管理人指定账户</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b/>
          <w:bCs/>
          <w:sz w:val="30"/>
          <w:szCs w:val="30"/>
        </w:rPr>
        <w:t>户名：河北紫微星律师事务所</w:t>
      </w:r>
      <w:r>
        <w:rPr>
          <w:rFonts w:hint="eastAsia" w:ascii="仿宋" w:hAnsi="仿宋" w:eastAsia="仿宋" w:cs="仿宋"/>
          <w:b/>
          <w:bCs/>
          <w:color w:val="000000" w:themeColor="text1"/>
          <w:sz w:val="30"/>
          <w:szCs w:val="30"/>
          <w14:textFill>
            <w14:solidFill>
              <w14:schemeClr w14:val="tx1"/>
            </w14:solidFill>
          </w14:textFill>
        </w:rPr>
        <w:t>；账号：100147912411；开户行：中国银行股份有限公司邯郸分行</w:t>
      </w:r>
      <w:r>
        <w:rPr>
          <w:rFonts w:hint="eastAsia" w:ascii="仿宋" w:hAnsi="仿宋" w:eastAsia="仿宋" w:cs="仿宋"/>
          <w:b/>
          <w:bCs/>
          <w:sz w:val="30"/>
          <w:szCs w:val="30"/>
        </w:rPr>
        <w:t>），</w:t>
      </w:r>
      <w:r>
        <w:rPr>
          <w:rFonts w:hint="eastAsia" w:ascii="仿宋" w:hAnsi="仿宋" w:eastAsia="仿宋" w:cs="仿宋"/>
          <w:b/>
          <w:color w:val="000000"/>
          <w:sz w:val="30"/>
          <w:szCs w:val="30"/>
        </w:rPr>
        <w:t>并注明“破产案号：（202</w:t>
      </w:r>
      <w:r>
        <w:rPr>
          <w:rFonts w:hint="eastAsia" w:ascii="仿宋" w:hAnsi="仿宋" w:eastAsia="仿宋" w:cs="仿宋"/>
          <w:b/>
          <w:color w:val="000000"/>
          <w:sz w:val="30"/>
          <w:szCs w:val="30"/>
          <w:lang w:val="en-US" w:eastAsia="zh-CN"/>
        </w:rPr>
        <w:t>4</w:t>
      </w:r>
      <w:r>
        <w:rPr>
          <w:rFonts w:hint="eastAsia" w:ascii="仿宋" w:hAnsi="仿宋" w:eastAsia="仿宋" w:cs="仿宋"/>
          <w:b/>
          <w:color w:val="000000"/>
          <w:sz w:val="30"/>
          <w:szCs w:val="30"/>
        </w:rPr>
        <w:t>）</w:t>
      </w:r>
      <w:r>
        <w:rPr>
          <w:rFonts w:hint="eastAsia" w:ascii="仿宋" w:hAnsi="仿宋" w:eastAsia="仿宋" w:cs="仿宋"/>
          <w:b/>
          <w:color w:val="000000"/>
          <w:sz w:val="30"/>
          <w:szCs w:val="30"/>
          <w:lang w:val="en-US" w:eastAsia="zh-CN"/>
        </w:rPr>
        <w:t>冀</w:t>
      </w:r>
      <w:r>
        <w:rPr>
          <w:rFonts w:hint="eastAsia" w:ascii="仿宋" w:hAnsi="仿宋" w:eastAsia="仿宋" w:cs="仿宋"/>
          <w:b/>
          <w:color w:val="000000"/>
          <w:sz w:val="30"/>
          <w:szCs w:val="30"/>
        </w:rPr>
        <w:t>0</w:t>
      </w:r>
      <w:r>
        <w:rPr>
          <w:rFonts w:hint="eastAsia" w:ascii="仿宋" w:hAnsi="仿宋" w:eastAsia="仿宋" w:cs="仿宋"/>
          <w:b/>
          <w:color w:val="000000"/>
          <w:sz w:val="30"/>
          <w:szCs w:val="30"/>
          <w:lang w:val="en-US" w:eastAsia="zh-CN"/>
        </w:rPr>
        <w:t>4</w:t>
      </w:r>
      <w:r>
        <w:rPr>
          <w:rFonts w:hint="eastAsia" w:ascii="仿宋" w:hAnsi="仿宋" w:eastAsia="仿宋" w:cs="仿宋"/>
          <w:b/>
          <w:color w:val="000000"/>
          <w:sz w:val="30"/>
          <w:szCs w:val="30"/>
        </w:rPr>
        <w:t>破</w:t>
      </w:r>
      <w:r>
        <w:rPr>
          <w:rFonts w:hint="eastAsia" w:ascii="仿宋" w:hAnsi="仿宋" w:eastAsia="仿宋" w:cs="仿宋"/>
          <w:b/>
          <w:color w:val="000000"/>
          <w:sz w:val="30"/>
          <w:szCs w:val="30"/>
          <w:lang w:val="en-US" w:eastAsia="zh-CN"/>
        </w:rPr>
        <w:t>申18</w:t>
      </w:r>
      <w:r>
        <w:rPr>
          <w:rFonts w:hint="eastAsia" w:ascii="仿宋" w:hAnsi="仿宋" w:eastAsia="仿宋" w:cs="仿宋"/>
          <w:b/>
          <w:color w:val="000000"/>
          <w:sz w:val="30"/>
          <w:szCs w:val="30"/>
        </w:rPr>
        <w:t>号</w:t>
      </w:r>
      <w:r>
        <w:rPr>
          <w:rFonts w:hint="eastAsia" w:ascii="仿宋" w:hAnsi="仿宋" w:eastAsia="仿宋" w:cs="仿宋"/>
          <w:b/>
          <w:bCs/>
          <w:color w:val="000000" w:themeColor="text1"/>
          <w:kern w:val="0"/>
          <w:sz w:val="28"/>
          <w:szCs w:val="28"/>
          <w14:textFill>
            <w14:solidFill>
              <w14:schemeClr w14:val="tx1"/>
            </w14:solidFill>
          </w14:textFill>
        </w:rPr>
        <w:t>；</w:t>
      </w:r>
      <w:r>
        <w:rPr>
          <w:rFonts w:hint="eastAsia" w:ascii="仿宋" w:hAnsi="仿宋" w:eastAsia="仿宋" w:cs="仿宋"/>
          <w:b/>
          <w:bCs/>
          <w:color w:val="000000" w:themeColor="text1"/>
          <w:sz w:val="28"/>
          <w:szCs w:val="28"/>
          <w14:textFill>
            <w14:solidFill>
              <w14:schemeClr w14:val="tx1"/>
            </w14:solidFill>
          </w14:textFill>
        </w:rPr>
        <w:t>款项性质：</w:t>
      </w:r>
      <w:r>
        <w:rPr>
          <w:rFonts w:hint="eastAsia" w:ascii="仿宋" w:hAnsi="仿宋" w:eastAsia="仿宋" w:cs="仿宋"/>
          <w:b/>
          <w:bCs/>
          <w:sz w:val="30"/>
          <w:szCs w:val="30"/>
        </w:rPr>
        <w:t>商标拍卖尾款</w:t>
      </w:r>
      <w:r>
        <w:rPr>
          <w:rFonts w:hint="eastAsia" w:ascii="仿宋" w:hAnsi="仿宋" w:eastAsia="仿宋" w:cs="仿宋"/>
          <w:b/>
          <w:bCs/>
          <w:color w:val="000000" w:themeColor="text1"/>
          <w:sz w:val="28"/>
          <w:szCs w:val="28"/>
          <w14:textFill>
            <w14:solidFill>
              <w14:schemeClr w14:val="tx1"/>
            </w14:solidFill>
          </w14:textFill>
        </w:rPr>
        <w:t>”。</w:t>
      </w:r>
      <w:r>
        <w:rPr>
          <w:rFonts w:hint="eastAsia" w:ascii="仿宋" w:hAnsi="仿宋" w:eastAsia="仿宋" w:cs="仿宋"/>
          <w:b/>
          <w:bCs/>
          <w:sz w:val="30"/>
          <w:szCs w:val="30"/>
        </w:rPr>
        <w:t>逾期则视为买受人违约，竞买保证金不予退还。</w:t>
      </w:r>
    </w:p>
    <w:p w14:paraId="2FF36955">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九、标的咨询与查看：</w:t>
      </w:r>
    </w:p>
    <w:p w14:paraId="281CA2C5">
      <w:pPr>
        <w:widowControl/>
        <w:shd w:val="clear" w:color="auto" w:fill="FFFFFF"/>
        <w:spacing w:line="270" w:lineRule="atLeast"/>
        <w:ind w:firstLine="562" w:firstLineChars="200"/>
        <w:jc w:val="left"/>
        <w:rPr>
          <w:rFonts w:ascii="仿宋" w:hAnsi="仿宋" w:eastAsia="仿宋" w:cs="仿宋"/>
          <w:color w:val="000000"/>
          <w:kern w:val="0"/>
          <w:sz w:val="28"/>
          <w:szCs w:val="28"/>
        </w:rPr>
      </w:pPr>
      <w:r>
        <w:rPr>
          <w:rFonts w:hint="eastAsia" w:ascii="仿宋" w:hAnsi="仿宋" w:eastAsia="仿宋" w:cs="仿宋"/>
          <w:b/>
          <w:bCs/>
          <w:color w:val="000000"/>
          <w:kern w:val="0"/>
          <w:sz w:val="28"/>
          <w:szCs w:val="28"/>
        </w:rPr>
        <w:t>本次竞价是经法定公告期和展示期后才举行的，竞价标的物已知及可能存在的瑕疵已在本次竞价资料中作了详尽的说明。</w:t>
      </w:r>
      <w:r>
        <w:rPr>
          <w:rFonts w:hint="eastAsia" w:ascii="仿宋" w:hAnsi="仿宋" w:eastAsia="仿宋" w:cs="仿宋"/>
          <w:b/>
          <w:bCs/>
          <w:color w:val="auto"/>
          <w:kern w:val="0"/>
          <w:sz w:val="28"/>
          <w:szCs w:val="28"/>
        </w:rPr>
        <w:t>管理人对竞价标的物所作的说明，仅供竞买人参考，不构成对标的物的任何担保。所以请竞买人在竞价前必须仔细</w:t>
      </w:r>
      <w:r>
        <w:rPr>
          <w:rFonts w:hint="eastAsia" w:ascii="仿宋" w:hAnsi="仿宋" w:eastAsia="仿宋" w:cs="仿宋"/>
          <w:b/>
          <w:bCs/>
          <w:color w:val="auto"/>
          <w:kern w:val="0"/>
          <w:sz w:val="28"/>
          <w:szCs w:val="28"/>
          <w:lang w:val="en-US" w:eastAsia="zh-CN"/>
        </w:rPr>
        <w:t>通过国家知识产权局官网</w:t>
      </w:r>
      <w:r>
        <w:rPr>
          <w:rFonts w:hint="eastAsia" w:ascii="仿宋" w:hAnsi="仿宋" w:eastAsia="仿宋" w:cs="仿宋"/>
          <w:b/>
          <w:bCs/>
          <w:color w:val="000000"/>
          <w:kern w:val="0"/>
          <w:sz w:val="28"/>
          <w:szCs w:val="28"/>
        </w:rPr>
        <w:t>审查竞价标的物，调查是否存在瑕疵，认真研究查看所竞买标的物的实际情况，有意者请亲自向管理人咨询，未咨询的竞买人视为对本标的现状认可，责任自负。竞买人慎重决定竞买行为，竞买人一旦作出竞买决定，即表明已完全了解，并接受标的物现状和一切已知及未知的瑕疵。</w:t>
      </w:r>
      <w:r>
        <w:rPr>
          <w:rFonts w:hint="eastAsia" w:ascii="仿宋" w:hAnsi="仿宋" w:eastAsia="仿宋" w:cs="仿宋"/>
          <w:b/>
          <w:bCs/>
          <w:color w:val="000000"/>
          <w:kern w:val="0"/>
          <w:sz w:val="28"/>
          <w:szCs w:val="28"/>
        </w:rPr>
        <w:br w:type="textWrapping"/>
      </w:r>
      <w:r>
        <w:rPr>
          <w:rFonts w:hint="eastAsia" w:ascii="仿宋" w:hAnsi="仿宋" w:eastAsia="仿宋" w:cs="仿宋"/>
          <w:color w:val="000000"/>
          <w:kern w:val="0"/>
          <w:sz w:val="28"/>
          <w:szCs w:val="28"/>
        </w:rPr>
        <w:t xml:space="preserve">     十、标的移交</w:t>
      </w:r>
    </w:p>
    <w:p w14:paraId="6D9D1E94">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对竞价标的能否办理过户手续、办理时间、限购等情况，请竞买人在竞买前自行向管理人或有关部门咨询确认，因标的物现状及存在瑕疵等原因不能或者延迟办理过户手续及办理二次过户造成费用增加的后果，由竞买人自负，管理人不作过户的任何承诺，不承担过户涉及的应由买受人承担的费用。</w:t>
      </w:r>
    </w:p>
    <w:p w14:paraId="3FAB0AC1">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竞价成交后，买受人将竞价成交价余款缴纳完毕，管理人确认该款项到账后，</w:t>
      </w:r>
      <w:r>
        <w:rPr>
          <w:rFonts w:hint="eastAsia" w:ascii="仿宋" w:hAnsi="仿宋" w:eastAsia="仿宋" w:cs="仿宋"/>
          <w:color w:val="auto"/>
          <w:kern w:val="0"/>
          <w:sz w:val="28"/>
          <w:szCs w:val="28"/>
        </w:rPr>
        <w:t>买受人（自然人的应携带身份证原件，单位的应委托代理人携带营业执照、授权委托书及代理人身份证件原件等相关证明材料）到管理人处办理有关移交手续</w:t>
      </w:r>
      <w:r>
        <w:rPr>
          <w:rFonts w:hint="eastAsia" w:ascii="仿宋" w:hAnsi="仿宋" w:eastAsia="仿宋" w:cs="仿宋"/>
          <w:color w:val="auto"/>
          <w:kern w:val="0"/>
          <w:sz w:val="28"/>
          <w:szCs w:val="28"/>
          <w:lang w:eastAsia="zh-CN"/>
        </w:rPr>
        <w:t>（</w:t>
      </w:r>
      <w:r>
        <w:rPr>
          <w:rFonts w:hint="eastAsia" w:ascii="仿宋" w:hAnsi="仿宋" w:eastAsia="仿宋" w:cs="仿宋"/>
          <w:color w:val="auto"/>
          <w:kern w:val="0"/>
          <w:sz w:val="28"/>
          <w:szCs w:val="28"/>
          <w:lang w:val="en-US" w:eastAsia="zh-CN"/>
        </w:rPr>
        <w:t>特别说明：管理人只协助买受人办理成交确认书</w:t>
      </w:r>
      <w:r>
        <w:rPr>
          <w:rFonts w:hint="eastAsia" w:ascii="仿宋" w:hAnsi="仿宋" w:eastAsia="仿宋" w:cs="仿宋"/>
          <w:color w:val="auto"/>
          <w:kern w:val="0"/>
          <w:sz w:val="28"/>
          <w:szCs w:val="28"/>
          <w:lang w:eastAsia="zh-CN"/>
        </w:rPr>
        <w:t>）</w:t>
      </w:r>
      <w:r>
        <w:rPr>
          <w:rFonts w:hint="eastAsia" w:ascii="仿宋" w:hAnsi="仿宋" w:eastAsia="仿宋" w:cs="仿宋"/>
          <w:color w:val="auto"/>
          <w:kern w:val="0"/>
          <w:sz w:val="28"/>
          <w:szCs w:val="28"/>
        </w:rPr>
        <w:t>。</w:t>
      </w:r>
      <w:r>
        <w:rPr>
          <w:rFonts w:hint="eastAsia" w:ascii="仿宋" w:hAnsi="仿宋" w:eastAsia="仿宋" w:cs="仿宋"/>
          <w:color w:val="000000"/>
          <w:kern w:val="0"/>
          <w:sz w:val="28"/>
          <w:szCs w:val="28"/>
        </w:rPr>
        <w:t>买受人支付完全部竞价成交价款后，管理人与买受人</w:t>
      </w:r>
      <w:r>
        <w:rPr>
          <w:rFonts w:hint="eastAsia" w:ascii="仿宋" w:hAnsi="仿宋" w:eastAsia="仿宋" w:cs="仿宋"/>
          <w:color w:val="000000"/>
          <w:kern w:val="0"/>
          <w:sz w:val="28"/>
          <w:szCs w:val="28"/>
          <w:lang w:val="en-US" w:eastAsia="zh-CN"/>
        </w:rPr>
        <w:t>签订成交确认书</w:t>
      </w:r>
      <w:r>
        <w:rPr>
          <w:rFonts w:hint="eastAsia" w:ascii="仿宋" w:hAnsi="仿宋" w:eastAsia="仿宋" w:cs="仿宋"/>
          <w:color w:val="000000"/>
          <w:kern w:val="0"/>
          <w:sz w:val="28"/>
          <w:szCs w:val="28"/>
        </w:rPr>
        <w:t>后</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即确认买受人已经取得该商标权利（</w:t>
      </w:r>
      <w:r>
        <w:rPr>
          <w:rFonts w:hint="eastAsia" w:ascii="仿宋" w:hAnsi="仿宋" w:eastAsia="仿宋" w:cs="仿宋"/>
          <w:b/>
          <w:bCs/>
          <w:color w:val="000000"/>
          <w:kern w:val="0"/>
          <w:sz w:val="28"/>
          <w:szCs w:val="28"/>
          <w:lang w:val="en-US" w:eastAsia="zh-CN"/>
        </w:rPr>
        <w:t>特别提示：管理人不再协助更名手续，请买受人自己到相关部门咨询、办理</w:t>
      </w:r>
      <w:r>
        <w:rPr>
          <w:rFonts w:hint="eastAsia" w:ascii="仿宋" w:hAnsi="仿宋" w:eastAsia="仿宋" w:cs="仿宋"/>
          <w:color w:val="000000"/>
          <w:kern w:val="0"/>
          <w:sz w:val="28"/>
          <w:szCs w:val="28"/>
          <w:lang w:val="en-US" w:eastAsia="zh-CN"/>
        </w:rPr>
        <w:t>）</w:t>
      </w:r>
      <w:r>
        <w:rPr>
          <w:rFonts w:hint="eastAsia" w:ascii="仿宋" w:hAnsi="仿宋" w:eastAsia="仿宋" w:cs="仿宋"/>
          <w:color w:val="000000"/>
          <w:kern w:val="0"/>
          <w:sz w:val="28"/>
          <w:szCs w:val="28"/>
        </w:rPr>
        <w:t>。</w:t>
      </w:r>
    </w:p>
    <w:p w14:paraId="1FC852AD">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十一、税费承担</w:t>
      </w:r>
    </w:p>
    <w:p w14:paraId="6318720A">
      <w:pPr>
        <w:pStyle w:val="4"/>
        <w:shd w:val="clear" w:color="auto" w:fill="FFFFFF"/>
        <w:spacing w:before="0" w:beforeAutospacing="0" w:after="0" w:afterAutospacing="0" w:line="360" w:lineRule="auto"/>
        <w:ind w:firstLine="560" w:firstLineChars="200"/>
        <w:jc w:val="both"/>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sz w:val="28"/>
          <w:szCs w:val="28"/>
        </w:rPr>
        <w:t>本次竞价活动计价货币为人民币，竞价时的起拍价、成交价均不含买受人在竞价标的物交割、过户时所发生的全部费用和税费。标的物交付手续由买受人自行办理，所有涉及的税费及办理权证所需费用均由买受人承担。</w:t>
      </w:r>
      <w:r>
        <w:rPr>
          <w:rFonts w:hint="eastAsia" w:ascii="仿宋" w:hAnsi="仿宋" w:eastAsia="仿宋" w:cs="仿宋"/>
          <w:color w:val="000000" w:themeColor="text1"/>
          <w:sz w:val="28"/>
          <w:szCs w:val="28"/>
          <w14:textFill>
            <w14:solidFill>
              <w14:schemeClr w14:val="tx1"/>
            </w14:solidFill>
          </w14:textFill>
        </w:rPr>
        <w:t>买受人在</w:t>
      </w:r>
      <w:r>
        <w:rPr>
          <w:rFonts w:hint="eastAsia" w:ascii="仿宋" w:hAnsi="仿宋" w:eastAsia="仿宋" w:cs="仿宋"/>
          <w:color w:val="000000" w:themeColor="text1"/>
          <w:sz w:val="28"/>
          <w:szCs w:val="28"/>
          <w:lang w:val="en-US" w:eastAsia="zh-CN"/>
          <w14:textFill>
            <w14:solidFill>
              <w14:schemeClr w14:val="tx1"/>
            </w14:solidFill>
          </w14:textFill>
        </w:rPr>
        <w:t>成交</w:t>
      </w:r>
      <w:r>
        <w:rPr>
          <w:rFonts w:hint="eastAsia" w:ascii="仿宋" w:hAnsi="仿宋" w:eastAsia="仿宋" w:cs="仿宋"/>
          <w:color w:val="000000" w:themeColor="text1"/>
          <w:sz w:val="28"/>
          <w:szCs w:val="28"/>
          <w14:textFill>
            <w14:solidFill>
              <w14:schemeClr w14:val="tx1"/>
            </w14:solidFill>
          </w14:textFill>
        </w:rPr>
        <w:t>后不得据此主张竞价无效或向管理人、上拍机构索偿。</w:t>
      </w:r>
    </w:p>
    <w:p w14:paraId="3BDBD681">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kern w:val="0"/>
          <w:sz w:val="28"/>
          <w:szCs w:val="28"/>
        </w:rPr>
        <w:t>十二、买受人及时处理竞价后事宜</w:t>
      </w:r>
    </w:p>
    <w:p w14:paraId="7BC0E9C7">
      <w:pPr>
        <w:widowControl/>
        <w:shd w:val="clear" w:color="auto" w:fill="FFFFFF"/>
        <w:spacing w:line="360" w:lineRule="auto"/>
        <w:ind w:firstLine="562" w:firstLineChars="200"/>
        <w:jc w:val="left"/>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kern w:val="0"/>
          <w:sz w:val="28"/>
          <w:szCs w:val="28"/>
          <w14:textFill>
            <w14:solidFill>
              <w14:schemeClr w14:val="tx1"/>
            </w14:solidFill>
          </w14:textFill>
        </w:rPr>
        <w:t>买受人逾期未支付竞价款或未办理交接手续是悔拍行为。买受人悔拍的，管理人可重新拍卖，原买受人交纳的竞买保证金不予退还。重新拍卖的费用损失以及重新拍卖成交价低于原拍卖成交价造成的差价损失，由原买受人承担。</w:t>
      </w:r>
      <w:r>
        <w:rPr>
          <w:rFonts w:hint="eastAsia" w:ascii="仿宋" w:hAnsi="仿宋" w:eastAsia="仿宋" w:cs="仿宋"/>
          <w:b/>
          <w:bCs/>
          <w:kern w:val="0"/>
          <w:sz w:val="28"/>
          <w:szCs w:val="28"/>
        </w:rPr>
        <w:t>管理人可以直接从原买受人交纳的竞买保证金中扣除，竞买保证金数额不足以支付重新拍卖产生的费用损失及弥补重新拍卖价款低于原拍卖价款的差价损失的，原买受人应予补足，拒不补足的，管理人有权提起诉讼</w:t>
      </w:r>
      <w:r>
        <w:rPr>
          <w:rFonts w:hint="eastAsia" w:ascii="仿宋" w:hAnsi="仿宋" w:eastAsia="仿宋" w:cs="仿宋"/>
          <w:b/>
          <w:bCs/>
          <w:color w:val="000000" w:themeColor="text1"/>
          <w:kern w:val="0"/>
          <w:sz w:val="28"/>
          <w:szCs w:val="28"/>
          <w14:textFill>
            <w14:solidFill>
              <w14:schemeClr w14:val="tx1"/>
            </w14:solidFill>
          </w14:textFill>
        </w:rPr>
        <w:t>。</w:t>
      </w:r>
    </w:p>
    <w:p w14:paraId="32D56C1B">
      <w:pPr>
        <w:widowControl/>
        <w:shd w:val="clear" w:color="auto" w:fill="FFFFFF"/>
        <w:spacing w:line="270" w:lineRule="atLeast"/>
        <w:ind w:firstLine="560" w:firstLineChars="200"/>
        <w:jc w:val="left"/>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悔拍后重新竞价的，原买受人不得参加竞价。</w:t>
      </w:r>
    </w:p>
    <w:p w14:paraId="40A1288B">
      <w:pPr>
        <w:widowControl/>
        <w:shd w:val="clear" w:color="auto" w:fill="FFFFFF"/>
        <w:spacing w:line="270" w:lineRule="atLeast"/>
        <w:ind w:firstLine="560" w:firstLineChars="200"/>
        <w:jc w:val="left"/>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买受人付款后应及时办理交接手续，逾期不办理的，买受人应支付由此产生的费用，并承担本标的物可能发生的损毁、灭失等后果。</w:t>
      </w:r>
      <w:r>
        <w:rPr>
          <w:rFonts w:hint="eastAsia" w:ascii="仿宋" w:hAnsi="仿宋" w:eastAsia="仿宋" w:cs="仿宋"/>
          <w:color w:val="000000"/>
          <w:kern w:val="0"/>
          <w:sz w:val="28"/>
          <w:szCs w:val="28"/>
        </w:rPr>
        <w:br w:type="textWrapping"/>
      </w:r>
      <w:r>
        <w:rPr>
          <w:rFonts w:hint="eastAsia" w:ascii="仿宋" w:hAnsi="仿宋" w:eastAsia="仿宋" w:cs="仿宋"/>
          <w:color w:val="000000"/>
          <w:kern w:val="0"/>
          <w:sz w:val="28"/>
          <w:szCs w:val="28"/>
        </w:rPr>
        <w:t xml:space="preserve">    十三、参加竞买的人应当遵守《竞买须知》的规定，不得阻挠其他竞买人竞价，不得操纵、垄断竞价价格，严禁竞买人恶意串标，上述行为一经发现，将取消其竞买资格，并追究相关的法律责任。</w:t>
      </w:r>
      <w:r>
        <w:rPr>
          <w:rFonts w:hint="eastAsia" w:ascii="仿宋" w:hAnsi="仿宋" w:eastAsia="仿宋" w:cs="仿宋"/>
          <w:color w:val="000000"/>
          <w:kern w:val="0"/>
          <w:sz w:val="28"/>
          <w:szCs w:val="28"/>
        </w:rPr>
        <w:br w:type="textWrapping"/>
      </w:r>
      <w:r>
        <w:rPr>
          <w:rFonts w:hint="eastAsia" w:ascii="仿宋" w:hAnsi="仿宋" w:eastAsia="仿宋" w:cs="仿宋"/>
          <w:color w:val="000000"/>
          <w:kern w:val="0"/>
          <w:sz w:val="28"/>
          <w:szCs w:val="28"/>
        </w:rPr>
        <w:t xml:space="preserve">    十四、</w:t>
      </w:r>
      <w:r>
        <w:rPr>
          <w:rFonts w:hint="eastAsia" w:ascii="仿宋" w:hAnsi="仿宋" w:eastAsia="仿宋" w:cs="仿宋"/>
          <w:b/>
          <w:bCs/>
          <w:color w:val="000000"/>
          <w:kern w:val="0"/>
          <w:sz w:val="28"/>
          <w:szCs w:val="28"/>
        </w:rPr>
        <w:t>根据法律规定，破产受理法院与管理人有权在竞价开始前、竞价过程中，撤回、暂缓</w:t>
      </w:r>
      <w:r>
        <w:rPr>
          <w:rFonts w:hint="eastAsia" w:ascii="仿宋" w:hAnsi="仿宋" w:eastAsia="仿宋" w:cs="仿宋"/>
          <w:b/>
          <w:bCs/>
          <w:color w:val="000000"/>
          <w:kern w:val="0"/>
          <w:sz w:val="28"/>
          <w:szCs w:val="28"/>
          <w:lang w:eastAsia="zh-CN"/>
        </w:rPr>
        <w:t>或</w:t>
      </w:r>
      <w:r>
        <w:rPr>
          <w:rFonts w:hint="eastAsia" w:ascii="仿宋" w:hAnsi="仿宋" w:eastAsia="仿宋" w:cs="仿宋"/>
          <w:b/>
          <w:bCs/>
          <w:color w:val="000000"/>
          <w:kern w:val="0"/>
          <w:sz w:val="28"/>
          <w:szCs w:val="28"/>
        </w:rPr>
        <w:t>中止竞价。</w:t>
      </w:r>
      <w:r>
        <w:rPr>
          <w:rFonts w:hint="eastAsia" w:ascii="仿宋" w:hAnsi="仿宋" w:eastAsia="仿宋" w:cs="仿宋"/>
          <w:color w:val="000000"/>
          <w:kern w:val="0"/>
          <w:sz w:val="28"/>
          <w:szCs w:val="28"/>
        </w:rPr>
        <w:t>因网络或其他不可抗力导致竞价无法正常进行的，管理人待以上因素消除后视</w:t>
      </w:r>
      <w:r>
        <w:rPr>
          <w:rFonts w:hint="eastAsia" w:ascii="仿宋" w:hAnsi="仿宋" w:eastAsia="仿宋" w:cs="仿宋"/>
          <w:color w:val="000000"/>
          <w:kern w:val="0"/>
          <w:sz w:val="28"/>
          <w:szCs w:val="28"/>
          <w:lang w:eastAsia="zh-CN"/>
        </w:rPr>
        <w:t>情况</w:t>
      </w:r>
      <w:r>
        <w:rPr>
          <w:rFonts w:hint="eastAsia" w:ascii="仿宋" w:hAnsi="仿宋" w:eastAsia="仿宋" w:cs="仿宋"/>
          <w:color w:val="000000"/>
          <w:kern w:val="0"/>
          <w:sz w:val="28"/>
          <w:szCs w:val="28"/>
        </w:rPr>
        <w:t>决定重新竞价，并不承担因此造成的损失。</w:t>
      </w:r>
      <w:r>
        <w:rPr>
          <w:rFonts w:hint="eastAsia" w:ascii="仿宋" w:hAnsi="仿宋" w:eastAsia="仿宋" w:cs="仿宋"/>
          <w:color w:val="000000"/>
          <w:kern w:val="0"/>
          <w:sz w:val="28"/>
          <w:szCs w:val="28"/>
        </w:rPr>
        <w:br w:type="textWrapping"/>
      </w:r>
      <w:r>
        <w:rPr>
          <w:rFonts w:hint="eastAsia" w:ascii="仿宋" w:hAnsi="仿宋" w:eastAsia="仿宋" w:cs="仿宋"/>
          <w:color w:val="000000"/>
          <w:kern w:val="0"/>
          <w:sz w:val="28"/>
          <w:szCs w:val="28"/>
        </w:rPr>
        <w:t xml:space="preserve">    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r>
        <w:rPr>
          <w:rFonts w:hint="eastAsia" w:ascii="仿宋" w:hAnsi="仿宋" w:eastAsia="仿宋" w:cs="仿宋"/>
          <w:color w:val="000000"/>
          <w:kern w:val="0"/>
          <w:sz w:val="28"/>
          <w:szCs w:val="28"/>
        </w:rPr>
        <w:br w:type="textWrapping"/>
      </w:r>
      <w:r>
        <w:rPr>
          <w:rFonts w:hint="eastAsia" w:ascii="仿宋" w:hAnsi="仿宋" w:eastAsia="仿宋" w:cs="仿宋"/>
          <w:color w:val="000000"/>
          <w:kern w:val="0"/>
          <w:sz w:val="28"/>
          <w:szCs w:val="28"/>
        </w:rPr>
        <w:t xml:space="preserve">    十六、竞买人在竞价前请务必仔细阅读公告、须知、标的详情。本规则其他未尽事宜，请予咨询。</w:t>
      </w:r>
    </w:p>
    <w:p w14:paraId="019D2315">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凡发现竞价中有违规行为，可如实举报。</w:t>
      </w:r>
    </w:p>
    <w:p w14:paraId="04579428">
      <w:pPr>
        <w:widowControl/>
        <w:shd w:val="clear" w:color="auto" w:fill="FFFFFF"/>
        <w:spacing w:line="27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京东技术咨询电话：4006229586。</w:t>
      </w:r>
    </w:p>
    <w:p w14:paraId="2EDB6680">
      <w:pPr>
        <w:widowControl/>
        <w:shd w:val="clear" w:color="auto" w:fill="FFFFFF"/>
        <w:spacing w:line="270" w:lineRule="atLeast"/>
        <w:ind w:firstLine="560" w:firstLineChars="200"/>
        <w:jc w:val="left"/>
        <w:rPr>
          <w:rFonts w:ascii="仿宋" w:hAnsi="仿宋" w:eastAsia="仿宋" w:cs="仿宋"/>
          <w:color w:val="000000"/>
          <w:kern w:val="0"/>
          <w:sz w:val="28"/>
          <w:szCs w:val="28"/>
        </w:rPr>
      </w:pPr>
    </w:p>
    <w:p w14:paraId="31F802AB">
      <w:pPr>
        <w:pStyle w:val="4"/>
        <w:spacing w:beforeAutospacing="0" w:afterAutospacing="0" w:line="500" w:lineRule="exact"/>
        <w:ind w:firstLine="602" w:firstLineChars="200"/>
        <w:jc w:val="right"/>
        <w:rPr>
          <w:rFonts w:ascii="仿宋" w:hAnsi="仿宋" w:eastAsia="仿宋" w:cs="仿宋"/>
          <w:b/>
          <w:bCs/>
          <w:color w:val="000000"/>
          <w:sz w:val="30"/>
          <w:szCs w:val="30"/>
        </w:rPr>
      </w:pPr>
      <w:r>
        <w:rPr>
          <w:rFonts w:hint="eastAsia" w:ascii="仿宋" w:hAnsi="仿宋" w:eastAsia="仿宋" w:cs="仿宋"/>
          <w:b/>
          <w:bCs/>
          <w:color w:val="000000"/>
          <w:sz w:val="30"/>
          <w:szCs w:val="30"/>
          <w:lang w:eastAsia="zh-CN"/>
        </w:rPr>
        <w:t>馆陶县战国轴承有限公司</w:t>
      </w:r>
      <w:r>
        <w:rPr>
          <w:rFonts w:hint="eastAsia" w:ascii="仿宋" w:hAnsi="仿宋" w:eastAsia="仿宋" w:cs="仿宋"/>
          <w:b/>
          <w:bCs/>
          <w:color w:val="000000"/>
          <w:sz w:val="30"/>
          <w:szCs w:val="30"/>
        </w:rPr>
        <w:t>管理人</w:t>
      </w:r>
    </w:p>
    <w:p w14:paraId="128B1D39">
      <w:pPr>
        <w:pStyle w:val="4"/>
        <w:shd w:val="clear" w:color="auto" w:fill="FFFFFF"/>
        <w:spacing w:before="0" w:beforeAutospacing="0" w:after="0" w:afterAutospacing="0" w:line="450" w:lineRule="atLeast"/>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sz w:val="30"/>
          <w:szCs w:val="30"/>
        </w:rPr>
        <w:t>二〇二</w:t>
      </w:r>
      <w:r>
        <w:rPr>
          <w:rFonts w:hint="eastAsia" w:ascii="仿宋" w:hAnsi="仿宋" w:eastAsia="仿宋" w:cs="仿宋"/>
          <w:b/>
          <w:bCs/>
          <w:color w:val="000000"/>
          <w:sz w:val="30"/>
          <w:szCs w:val="30"/>
          <w:lang w:val="en-US" w:eastAsia="zh-CN"/>
        </w:rPr>
        <w:t>四</w:t>
      </w:r>
      <w:r>
        <w:rPr>
          <w:rFonts w:hint="eastAsia" w:ascii="仿宋" w:hAnsi="仿宋" w:eastAsia="仿宋" w:cs="仿宋"/>
          <w:b/>
          <w:bCs/>
          <w:color w:val="000000"/>
          <w:sz w:val="30"/>
          <w:szCs w:val="30"/>
        </w:rPr>
        <w:t>年十</w:t>
      </w:r>
      <w:r>
        <w:rPr>
          <w:rFonts w:hint="eastAsia" w:ascii="仿宋" w:hAnsi="仿宋" w:eastAsia="仿宋" w:cs="仿宋"/>
          <w:b/>
          <w:bCs/>
          <w:color w:val="000000"/>
          <w:sz w:val="30"/>
          <w:szCs w:val="30"/>
          <w:lang w:val="en-US" w:eastAsia="zh-CN"/>
        </w:rPr>
        <w:t>二</w:t>
      </w:r>
      <w:r>
        <w:rPr>
          <w:rFonts w:hint="eastAsia" w:ascii="仿宋" w:hAnsi="仿宋" w:eastAsia="仿宋" w:cs="仿宋"/>
          <w:b/>
          <w:bCs/>
          <w:color w:val="000000"/>
          <w:sz w:val="30"/>
          <w:szCs w:val="30"/>
        </w:rPr>
        <w:t>月</w:t>
      </w:r>
      <w:r>
        <w:rPr>
          <w:rFonts w:hint="eastAsia" w:ascii="仿宋" w:hAnsi="仿宋" w:eastAsia="仿宋" w:cs="仿宋"/>
          <w:b/>
          <w:bCs/>
          <w:color w:val="000000"/>
          <w:sz w:val="30"/>
          <w:szCs w:val="30"/>
          <w:lang w:val="en-US" w:eastAsia="zh-CN"/>
        </w:rPr>
        <w:t>六</w:t>
      </w:r>
      <w:r>
        <w:rPr>
          <w:rFonts w:hint="eastAsia" w:ascii="仿宋" w:hAnsi="仿宋" w:eastAsia="仿宋" w:cs="仿宋"/>
          <w:b/>
          <w:bCs/>
          <w:color w:val="000000"/>
          <w:sz w:val="30"/>
          <w:szCs w:val="30"/>
        </w:rPr>
        <w:t xml:space="preserve">日 </w:t>
      </w:r>
    </w:p>
    <w:p w14:paraId="7DECCD49">
      <w:pPr>
        <w:widowControl/>
        <w:shd w:val="clear" w:color="auto" w:fill="FFFFFF"/>
        <w:spacing w:line="270" w:lineRule="atLeast"/>
        <w:ind w:firstLine="600" w:firstLineChars="200"/>
        <w:jc w:val="left"/>
        <w:rPr>
          <w:rFonts w:ascii="仿宋" w:hAnsi="仿宋" w:eastAsia="仿宋" w:cs="仿宋"/>
          <w:color w:val="000000"/>
          <w:kern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03979"/>
    <w:rsid w:val="000465C0"/>
    <w:rsid w:val="00052B63"/>
    <w:rsid w:val="00081441"/>
    <w:rsid w:val="000A3F0B"/>
    <w:rsid w:val="000D345A"/>
    <w:rsid w:val="000E2A38"/>
    <w:rsid w:val="000E564B"/>
    <w:rsid w:val="000E6BAB"/>
    <w:rsid w:val="000E782F"/>
    <w:rsid w:val="00171861"/>
    <w:rsid w:val="0018709C"/>
    <w:rsid w:val="001A1521"/>
    <w:rsid w:val="001E1851"/>
    <w:rsid w:val="00291D81"/>
    <w:rsid w:val="00297A89"/>
    <w:rsid w:val="002A600A"/>
    <w:rsid w:val="002B282B"/>
    <w:rsid w:val="002C721B"/>
    <w:rsid w:val="002D1BEB"/>
    <w:rsid w:val="002D5768"/>
    <w:rsid w:val="002E05AC"/>
    <w:rsid w:val="002E76C1"/>
    <w:rsid w:val="0030462B"/>
    <w:rsid w:val="00345D5B"/>
    <w:rsid w:val="003D54CE"/>
    <w:rsid w:val="00404ACF"/>
    <w:rsid w:val="00441201"/>
    <w:rsid w:val="00456484"/>
    <w:rsid w:val="004739B7"/>
    <w:rsid w:val="004C0ECA"/>
    <w:rsid w:val="004C382F"/>
    <w:rsid w:val="005828A4"/>
    <w:rsid w:val="005955CD"/>
    <w:rsid w:val="005961F9"/>
    <w:rsid w:val="00597AA2"/>
    <w:rsid w:val="005A3E5B"/>
    <w:rsid w:val="005B17B1"/>
    <w:rsid w:val="005B37D8"/>
    <w:rsid w:val="005B3F03"/>
    <w:rsid w:val="005E7B3A"/>
    <w:rsid w:val="005F4E66"/>
    <w:rsid w:val="00612339"/>
    <w:rsid w:val="006131A1"/>
    <w:rsid w:val="00630DEA"/>
    <w:rsid w:val="00661CE6"/>
    <w:rsid w:val="006B397B"/>
    <w:rsid w:val="006D5E3F"/>
    <w:rsid w:val="006F297A"/>
    <w:rsid w:val="006F4D4A"/>
    <w:rsid w:val="007E349F"/>
    <w:rsid w:val="00845DAB"/>
    <w:rsid w:val="00855FA3"/>
    <w:rsid w:val="00894564"/>
    <w:rsid w:val="00894E8B"/>
    <w:rsid w:val="009166C1"/>
    <w:rsid w:val="0092365D"/>
    <w:rsid w:val="00930FEE"/>
    <w:rsid w:val="0094009C"/>
    <w:rsid w:val="009B2A35"/>
    <w:rsid w:val="009B3DB5"/>
    <w:rsid w:val="00A00525"/>
    <w:rsid w:val="00A317DC"/>
    <w:rsid w:val="00A55CD5"/>
    <w:rsid w:val="00A81E5E"/>
    <w:rsid w:val="00A928F2"/>
    <w:rsid w:val="00A95C70"/>
    <w:rsid w:val="00AB4B8E"/>
    <w:rsid w:val="00AB56FB"/>
    <w:rsid w:val="00B67011"/>
    <w:rsid w:val="00B829F9"/>
    <w:rsid w:val="00B877A1"/>
    <w:rsid w:val="00BC7675"/>
    <w:rsid w:val="00BE6B5B"/>
    <w:rsid w:val="00C372F8"/>
    <w:rsid w:val="00C87801"/>
    <w:rsid w:val="00CB41C1"/>
    <w:rsid w:val="00CD0008"/>
    <w:rsid w:val="00CF3C0E"/>
    <w:rsid w:val="00D14ECF"/>
    <w:rsid w:val="00D33778"/>
    <w:rsid w:val="00D8364B"/>
    <w:rsid w:val="00D8394F"/>
    <w:rsid w:val="00DD19F5"/>
    <w:rsid w:val="00E02BCB"/>
    <w:rsid w:val="00E1099C"/>
    <w:rsid w:val="00E31B02"/>
    <w:rsid w:val="00F06D4B"/>
    <w:rsid w:val="00F138AA"/>
    <w:rsid w:val="00F86503"/>
    <w:rsid w:val="00FC071C"/>
    <w:rsid w:val="00FE7769"/>
    <w:rsid w:val="00FF467E"/>
    <w:rsid w:val="05361773"/>
    <w:rsid w:val="0CE25B7D"/>
    <w:rsid w:val="13A715C4"/>
    <w:rsid w:val="18A7470C"/>
    <w:rsid w:val="1D770734"/>
    <w:rsid w:val="242D6AB5"/>
    <w:rsid w:val="349E0BBF"/>
    <w:rsid w:val="35C81209"/>
    <w:rsid w:val="3AFF66D9"/>
    <w:rsid w:val="3C112BC2"/>
    <w:rsid w:val="408666F6"/>
    <w:rsid w:val="46AA52E1"/>
    <w:rsid w:val="4D031008"/>
    <w:rsid w:val="577D06DA"/>
    <w:rsid w:val="59067871"/>
    <w:rsid w:val="643A1416"/>
    <w:rsid w:val="68EB4ACA"/>
    <w:rsid w:val="6C062EF1"/>
    <w:rsid w:val="6E9C258C"/>
    <w:rsid w:val="6FAC0CCA"/>
    <w:rsid w:val="700D77D1"/>
    <w:rsid w:val="732079E8"/>
    <w:rsid w:val="73701819"/>
    <w:rsid w:val="77BE72A7"/>
    <w:rsid w:val="786A644A"/>
    <w:rsid w:val="7BAD5A02"/>
    <w:rsid w:val="7EE10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3300</Words>
  <Characters>3462</Characters>
  <Lines>24</Lines>
  <Paragraphs>6</Paragraphs>
  <TotalTime>19</TotalTime>
  <ScaleCrop>false</ScaleCrop>
  <LinksUpToDate>false</LinksUpToDate>
  <CharactersWithSpaces>3506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2019-11-01T10:44:00Z</dcterms:created>
  <dc:creator>gaochang1</dc:creator>
  <cp:lastModifiedBy>李艳梅律师-紫微星律所</cp:lastModifiedBy>
  <dcterms:modified xsi:type="dcterms:W3CDTF">2024-12-06T07:55:31Z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74BA96BDE2924235921F3E6C27DE5FDF_13</vt:lpwstr>
  </property>
</Properties>
</file>