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1FAC1">
      <w:pPr>
        <w:jc w:val="center"/>
        <w:rPr>
          <w:rFonts w:hint="eastAsia" w:ascii="方正黑体-简" w:hAnsi="方正黑体-简" w:eastAsia="方正黑体-简" w:cs="方正黑体-简"/>
          <w:sz w:val="36"/>
          <w:szCs w:val="44"/>
        </w:rPr>
      </w:pPr>
      <w:r>
        <w:rPr>
          <w:rFonts w:hint="eastAsia" w:ascii="方正黑体-简" w:hAnsi="方正黑体-简" w:eastAsia="方正黑体-简" w:cs="方正黑体-简"/>
          <w:sz w:val="36"/>
          <w:szCs w:val="44"/>
        </w:rPr>
        <w:t>债权申报须知</w:t>
      </w:r>
    </w:p>
    <w:p w14:paraId="4274255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各位债权人:</w:t>
      </w:r>
    </w:p>
    <w:p w14:paraId="6618184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rPr>
        <w:t>为明确债权申报的有关事项</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帮助债权人顺利申报债权</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管理人现就债权申报</w:t>
      </w:r>
      <w:r>
        <w:rPr>
          <w:rFonts w:hint="eastAsia" w:ascii="方正黑体-简" w:hAnsi="方正黑体-简" w:eastAsia="方正黑体-简" w:cs="方正黑体-简"/>
          <w:sz w:val="24"/>
          <w:szCs w:val="24"/>
          <w:lang w:val="en-US" w:eastAsia="zh-CN"/>
        </w:rPr>
        <w:t>材</w:t>
      </w:r>
      <w:r>
        <w:rPr>
          <w:rFonts w:hint="eastAsia" w:ascii="方正黑体-简" w:hAnsi="方正黑体-简" w:eastAsia="方正黑体-简" w:cs="方正黑体-简"/>
          <w:sz w:val="24"/>
          <w:szCs w:val="24"/>
        </w:rPr>
        <w:t>料及相关注意事项等说明如下</w:t>
      </w:r>
      <w:r>
        <w:rPr>
          <w:rFonts w:hint="eastAsia" w:ascii="方正黑体-简" w:hAnsi="方正黑体-简" w:eastAsia="方正黑体-简" w:cs="方正黑体-简"/>
          <w:sz w:val="24"/>
          <w:szCs w:val="24"/>
          <w:lang w:eastAsia="zh-CN"/>
        </w:rPr>
        <w:t>：</w:t>
      </w:r>
    </w:p>
    <w:p w14:paraId="6445BE0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lang w:val="en-US" w:eastAsia="zh-CN"/>
        </w:rPr>
        <w:t>一</w:t>
      </w:r>
      <w:r>
        <w:rPr>
          <w:rFonts w:hint="eastAsia" w:ascii="方正黑体-简" w:hAnsi="方正黑体-简" w:eastAsia="方正黑体-简" w:cs="方正黑体-简"/>
          <w:sz w:val="24"/>
          <w:szCs w:val="24"/>
        </w:rPr>
        <w:t>、债权申报表的填写</w:t>
      </w:r>
    </w:p>
    <w:p w14:paraId="1C7A7DB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请各位债权人在管理人所提供的《债权申报表》中填写申报的债权金额、债权</w:t>
      </w:r>
      <w:r>
        <w:rPr>
          <w:rFonts w:hint="eastAsia" w:ascii="方正黑体-简" w:hAnsi="方正黑体-简" w:eastAsia="方正黑体-简" w:cs="方正黑体-简"/>
          <w:sz w:val="24"/>
          <w:szCs w:val="24"/>
          <w:lang w:val="en-US" w:eastAsia="zh-CN"/>
        </w:rPr>
        <w:t>形成</w:t>
      </w:r>
      <w:r>
        <w:rPr>
          <w:rFonts w:hint="eastAsia" w:ascii="方正黑体-简" w:hAnsi="方正黑体-简" w:eastAsia="方正黑体-简" w:cs="方正黑体-简"/>
          <w:sz w:val="24"/>
          <w:szCs w:val="24"/>
        </w:rPr>
        <w:t>原</w:t>
      </w:r>
      <w:r>
        <w:rPr>
          <w:rFonts w:hint="eastAsia" w:ascii="方正黑体-简" w:hAnsi="方正黑体-简" w:eastAsia="方正黑体-简" w:cs="方正黑体-简"/>
          <w:sz w:val="24"/>
          <w:szCs w:val="24"/>
          <w:lang w:val="en-US" w:eastAsia="zh-CN"/>
        </w:rPr>
        <w:t>因</w:t>
      </w:r>
      <w:r>
        <w:rPr>
          <w:rFonts w:hint="eastAsia" w:ascii="方正黑体-简" w:hAnsi="方正黑体-简" w:eastAsia="方正黑体-简" w:cs="方正黑体-简"/>
          <w:sz w:val="24"/>
          <w:szCs w:val="24"/>
        </w:rPr>
        <w:t>、是否有财产担保及是否是连带债权等事项。债权人在“需要说明的事项”一栏中可以详细说明</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债权人、债务人、保证人、连带权利人、连带义务人等主体的具体情况及债权的发生、変更、担保及保证、转移、履行、抵销、清偿或部分清偿、诉讼、仲裁</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调解、保全、执行的时间和发生数额</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包括债权原始数额、余额、各种利息、罚息、违约金、案件受理费、保全费、执行费等构成事项</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等全部情况。</w:t>
      </w:r>
    </w:p>
    <w:p w14:paraId="3139DD1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请各位债权人如实填写《债权申报表》后附的申报材料目录</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并准备相应的证据材料。</w:t>
      </w:r>
    </w:p>
    <w:p w14:paraId="75092EE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企业法人等单位的债权</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须在《债权申报表》上由法定代表人或负责人签字并加盖公章</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个人债权</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须在《债权申报表》由债权人本人或其代理人签名。</w:t>
      </w:r>
    </w:p>
    <w:p w14:paraId="2BDA5DA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各位债权人如认为该表填写空间不够的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可后附续表。</w:t>
      </w:r>
    </w:p>
    <w:p w14:paraId="0785224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二、证明债权人主体资格的材料</w:t>
      </w:r>
    </w:p>
    <w:p w14:paraId="3F103A5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企业法人等单位债权人须提交的材料</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有效的企业法人营业执照、事业和社团法人登记证书等原件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核对后归还</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及复印件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加盖单位公章</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、法定代表人或负责人身份证明</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并附身份证复印件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如果是金融机构的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还需提供有效的《金融许可证》《经营金融业务许可证》等金融业资格的证明</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如发生单位名称变更或法定代表人变更</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导致其与申报的债权材料记载不符的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必须提交变更的法律文件和证明文件。</w:t>
      </w:r>
    </w:p>
    <w:p w14:paraId="16F0A6D9">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rPr>
        <w:t>个人债权人须提交的材料</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债权人身份证等个人有效证件原件(核对后归还)及复印件</w:t>
      </w:r>
      <w:r>
        <w:rPr>
          <w:rFonts w:hint="eastAsia" w:ascii="方正黑体-简" w:hAnsi="方正黑体-简" w:eastAsia="方正黑体-简" w:cs="方正黑体-简"/>
          <w:sz w:val="24"/>
          <w:szCs w:val="24"/>
          <w:lang w:eastAsia="zh-CN"/>
        </w:rPr>
        <w:t>。</w:t>
      </w:r>
    </w:p>
    <w:p w14:paraId="1E9ACB5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委托代理人进行申报的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还须提交的材料</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单位债权人委托代理人申报的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还须根据样本提交授权委托书</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法定代表人或负责人签字并加盖单位公章</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、代理人的身份证等个人有效证件原件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核对后归还</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及复印件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个人债权人委托他人申报的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还需提交经公证的授权委托书和代理人的身份证等个人有效证件原件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核对后归还</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及复印件。</w:t>
      </w:r>
    </w:p>
    <w:p w14:paraId="054F52F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rPr>
      </w:pPr>
      <w:r>
        <w:rPr>
          <w:rFonts w:hint="eastAsia" w:ascii="方正黑体-简" w:hAnsi="方正黑体-简" w:eastAsia="方正黑体-简" w:cs="方正黑体-简"/>
          <w:sz w:val="24"/>
          <w:szCs w:val="24"/>
        </w:rPr>
        <w:t>三、证明债权发生事实及其数额的材料</w:t>
      </w:r>
    </w:p>
    <w:p w14:paraId="75E62B0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val="en-US" w:eastAsia="zh-CN"/>
        </w:rPr>
        <w:t>1.</w:t>
      </w:r>
      <w:r>
        <w:rPr>
          <w:rFonts w:hint="eastAsia" w:ascii="方正黑体-简" w:hAnsi="方正黑体-简" w:eastAsia="方正黑体-简" w:cs="方正黑体-简"/>
          <w:sz w:val="24"/>
          <w:szCs w:val="24"/>
        </w:rPr>
        <w:t>合同</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包括但不限于借、贷款合同</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购、销货合同等</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、协议、备忘录等证明存在合同债权关系文件原件(核对后归还)及复印件</w:t>
      </w:r>
      <w:r>
        <w:rPr>
          <w:rFonts w:hint="eastAsia" w:ascii="方正黑体-简" w:hAnsi="方正黑体-简" w:eastAsia="方正黑体-简" w:cs="方正黑体-简"/>
          <w:sz w:val="24"/>
          <w:szCs w:val="24"/>
          <w:lang w:eastAsia="zh-CN"/>
        </w:rPr>
        <w:t>；</w:t>
      </w:r>
    </w:p>
    <w:p w14:paraId="714A2A4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val="en-US" w:eastAsia="zh-CN"/>
        </w:rPr>
        <w:t>2.</w:t>
      </w:r>
      <w:r>
        <w:rPr>
          <w:rFonts w:hint="eastAsia" w:ascii="方正黑体-简" w:hAnsi="方正黑体-简" w:eastAsia="方正黑体-简" w:cs="方正黑体-简"/>
          <w:sz w:val="24"/>
          <w:szCs w:val="24"/>
        </w:rPr>
        <w:t>各类</w:t>
      </w:r>
      <w:r>
        <w:rPr>
          <w:rFonts w:hint="eastAsia" w:ascii="方正黑体-简" w:hAnsi="方正黑体-简" w:eastAsia="方正黑体-简" w:cs="方正黑体-简"/>
          <w:sz w:val="24"/>
          <w:szCs w:val="24"/>
          <w:lang w:val="en-US" w:eastAsia="zh-CN"/>
        </w:rPr>
        <w:t>票</w:t>
      </w:r>
      <w:r>
        <w:rPr>
          <w:rFonts w:hint="eastAsia" w:ascii="方正黑体-简" w:hAnsi="方正黑体-简" w:eastAsia="方正黑体-简" w:cs="方正黑体-简"/>
          <w:sz w:val="24"/>
          <w:szCs w:val="24"/>
        </w:rPr>
        <w:t>据、划账单</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汇款单、对账单、检斤单、验收单、提货单</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以及工程类商务中标书、工程预</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结</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算书等合同履行凭证的原件</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核对后归还</w:t>
      </w:r>
      <w:r>
        <w:rPr>
          <w:rFonts w:hint="eastAsia" w:ascii="方正黑体-简" w:hAnsi="方正黑体-简" w:eastAsia="方正黑体-简" w:cs="方正黑体-简"/>
          <w:sz w:val="24"/>
          <w:szCs w:val="24"/>
          <w:lang w:eastAsia="zh-CN"/>
        </w:rPr>
        <w:t>）</w:t>
      </w:r>
      <w:r>
        <w:rPr>
          <w:rFonts w:hint="eastAsia" w:ascii="方正黑体-简" w:hAnsi="方正黑体-简" w:eastAsia="方正黑体-简" w:cs="方正黑体-简"/>
          <w:sz w:val="24"/>
          <w:szCs w:val="24"/>
        </w:rPr>
        <w:t>及复印件</w:t>
      </w:r>
      <w:r>
        <w:rPr>
          <w:rFonts w:hint="eastAsia" w:ascii="方正黑体-简" w:hAnsi="方正黑体-简" w:eastAsia="方正黑体-简" w:cs="方正黑体-简"/>
          <w:sz w:val="24"/>
          <w:szCs w:val="24"/>
          <w:lang w:eastAsia="zh-CN"/>
        </w:rPr>
        <w:t>；</w:t>
      </w:r>
    </w:p>
    <w:p w14:paraId="4E88C34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3.债权如有担保的，还须提交抵押合同、质押合同、保证合同等相关合同及相关的登记证件（包括但不限于他项权利证）等担保原始材料原件（核对后归还）和复印件；</w:t>
      </w:r>
    </w:p>
    <w:p w14:paraId="048979C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4.债权的发生及变更（包括但不限于债权转移、债务承担、合同转让、债权债务重组、抵销、清偿）等原始材料原件（核对后归还）和复印件；</w:t>
      </w:r>
    </w:p>
    <w:p w14:paraId="179C4B8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5.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w:t>
      </w:r>
    </w:p>
    <w:p w14:paraId="0A354CD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6.债权如涉及对建筑工程的争议，须提交建筑工程审计报告原件（核对后归还）及复印件；</w:t>
      </w:r>
    </w:p>
    <w:p w14:paraId="5140A2E4">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方正黑体-简" w:hAnsi="方正黑体-简" w:eastAsia="方正黑体-简" w:cs="方正黑体-简"/>
          <w:b/>
          <w:bCs/>
          <w:sz w:val="24"/>
          <w:szCs w:val="24"/>
          <w:u w:val="single"/>
          <w:lang w:val="en-US" w:eastAsia="zh-CN"/>
        </w:rPr>
      </w:pPr>
      <w:r>
        <w:rPr>
          <w:rFonts w:hint="eastAsia" w:ascii="方正黑体-简" w:hAnsi="方正黑体-简" w:eastAsia="方正黑体-简" w:cs="方正黑体-简"/>
          <w:b/>
          <w:bCs/>
          <w:sz w:val="24"/>
          <w:szCs w:val="24"/>
          <w:u w:val="single"/>
          <w:lang w:val="en-US" w:eastAsia="zh-CN"/>
        </w:rPr>
        <w:t>7.利息计算方法及计算过程的书面说明，管理人特别提示，根据《中华人民共和国企业破产法》第四十六条第二款，附利息的债权自破产申请受理时停止计息，请各位债权人在申报债权时注意利息计算截止日期为2024年10月10日；</w:t>
      </w:r>
      <w:bookmarkStart w:id="0" w:name="_GoBack"/>
      <w:bookmarkEnd w:id="0"/>
    </w:p>
    <w:p w14:paraId="5E94F41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8.债权人主张债权的相关证明资料，如催款、催收通知等；</w:t>
      </w:r>
    </w:p>
    <w:p w14:paraId="63680C1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val="en-US" w:eastAsia="zh-CN"/>
        </w:rPr>
      </w:pPr>
      <w:r>
        <w:rPr>
          <w:rFonts w:hint="eastAsia" w:ascii="方正黑体-简" w:hAnsi="方正黑体-简" w:eastAsia="方正黑体-简" w:cs="方正黑体-简"/>
          <w:sz w:val="24"/>
          <w:szCs w:val="24"/>
          <w:lang w:val="en-US" w:eastAsia="zh-CN"/>
        </w:rPr>
        <w:t>9.债权公证文书或相关公证文书（如有）；</w:t>
      </w:r>
    </w:p>
    <w:p w14:paraId="2082424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10.能够证明债权发生、变更、存续、诉讼时效中止、中断、延长及其金额等情况的其他材料原件（核对后归还）及复印件。</w:t>
      </w:r>
    </w:p>
    <w:p w14:paraId="7B32EED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债权人与债务人出现会计账面金额不一致时，债权人要提供会计明细账复印件和证明材料原件（核对后归还）及复印件。</w:t>
      </w:r>
    </w:p>
    <w:p w14:paraId="18D8C2B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11.债权人提交申报债权材料一式二份，请在每页材料上进行签字或盖章（骑缝章）。</w:t>
      </w:r>
    </w:p>
    <w:p w14:paraId="5370858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12.债权人认为需要提交的其他材料。</w:t>
      </w:r>
    </w:p>
    <w:p w14:paraId="6233FDB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四、提交材料时的有关注意事项</w:t>
      </w:r>
    </w:p>
    <w:p w14:paraId="0646A6D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1.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w:t>
      </w:r>
    </w:p>
    <w:p w14:paraId="77F573C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2.债权人无法提供原件核对的，需在复印件材料中签注“复印件与原件一致，否则一切法律后果自负”字样。</w:t>
      </w:r>
    </w:p>
    <w:p w14:paraId="01E6545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3.债权人向管理人提供的外文材料，应当附有中文译本。</w:t>
      </w:r>
    </w:p>
    <w:p w14:paraId="7C9B88E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 xml:space="preserve">4.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  </w:t>
      </w:r>
    </w:p>
    <w:p w14:paraId="102F4F2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5.债权人向管理人提供的资料如在中华人民共和国领域外形成的，该资料应当经所在国公证机关予以证明，并经中华人民共和国驻该国使领馆予以认证，</w:t>
      </w:r>
    </w:p>
    <w:p w14:paraId="26BF929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或者履行中华人民共和国与该所在国订立的有关条约中规定的证明手续。债权人向人民法院提供的证据是在香港、澳门、台湾地区形成的，应当履行相关的证明手续。</w:t>
      </w:r>
    </w:p>
    <w:p w14:paraId="22A825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6.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w:t>
      </w:r>
    </w:p>
    <w:p w14:paraId="0342644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7.提供材料纸张统一为复印纸A4型。</w:t>
      </w:r>
    </w:p>
    <w:p w14:paraId="3C31307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8.债权申报登记完毕后，管理人将向债权人发放债权登记回执。</w:t>
      </w:r>
    </w:p>
    <w:p w14:paraId="1AA1853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特此说明</w:t>
      </w:r>
    </w:p>
    <w:p w14:paraId="4E83AF1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p>
    <w:p w14:paraId="5ECCA24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黑体-简" w:hAnsi="方正黑体-简" w:eastAsia="方正黑体-简" w:cs="方正黑体-简"/>
          <w:sz w:val="24"/>
          <w:szCs w:val="24"/>
          <w:lang w:eastAsia="zh-CN"/>
        </w:rPr>
      </w:pPr>
      <w:r>
        <w:rPr>
          <w:rFonts w:hint="eastAsia" w:ascii="方正黑体-简" w:hAnsi="方正黑体-简" w:eastAsia="方正黑体-简" w:cs="方正黑体-简"/>
          <w:sz w:val="24"/>
          <w:szCs w:val="24"/>
          <w:lang w:eastAsia="zh-CN"/>
        </w:rPr>
        <w:t xml:space="preserve">                                               2024年11月</w:t>
      </w:r>
      <w:r>
        <w:rPr>
          <w:rFonts w:hint="eastAsia" w:ascii="方正黑体-简" w:hAnsi="方正黑体-简" w:eastAsia="方正黑体-简" w:cs="方正黑体-简"/>
          <w:sz w:val="24"/>
          <w:szCs w:val="24"/>
          <w:lang w:val="en-US" w:eastAsia="zh-CN"/>
        </w:rPr>
        <w:t>24</w:t>
      </w:r>
      <w:r>
        <w:rPr>
          <w:rFonts w:hint="eastAsia" w:ascii="方正黑体-简" w:hAnsi="方正黑体-简" w:eastAsia="方正黑体-简" w:cs="方正黑体-简"/>
          <w:sz w:val="24"/>
          <w:szCs w:val="24"/>
          <w:lang w:eastAsia="zh-CN"/>
        </w:rPr>
        <w:t>日</w:t>
      </w:r>
    </w:p>
    <w:p w14:paraId="5A2BD24B">
      <w:pPr>
        <w:ind w:firstLine="420" w:firstLineChars="200"/>
        <w:rPr>
          <w:rFonts w:hint="default"/>
          <w:lang w:eastAsia="zh-CN"/>
        </w:rPr>
      </w:pPr>
    </w:p>
    <w:p w14:paraId="64761186">
      <w:pPr>
        <w:ind w:firstLine="420" w:firstLineChars="200"/>
        <w:rPr>
          <w:rFonts w:hint="default"/>
          <w:lang w:eastAsia="zh-CN"/>
        </w:rPr>
      </w:pPr>
    </w:p>
    <w:p w14:paraId="023F1776">
      <w:pPr>
        <w:ind w:firstLine="420" w:firstLineChars="200"/>
        <w:rPr>
          <w:rFonts w:hint="default"/>
          <w:lang w:eastAsia="zh-CN"/>
        </w:rPr>
      </w:pPr>
    </w:p>
    <w:p w14:paraId="4BFB8CB7">
      <w:pPr>
        <w:ind w:firstLine="420" w:firstLineChars="200"/>
        <w:rPr>
          <w:rFonts w:hint="default"/>
          <w:lang w:eastAsia="zh-CN"/>
        </w:rPr>
      </w:pPr>
    </w:p>
    <w:p w14:paraId="2EB457B2">
      <w:pPr>
        <w:ind w:firstLine="420" w:firstLineChars="200"/>
        <w:rPr>
          <w:rFonts w:hint="default"/>
          <w:lang w:eastAsia="zh-CN"/>
        </w:rPr>
      </w:pPr>
    </w:p>
    <w:p w14:paraId="36B782F3">
      <w:pPr>
        <w:ind w:firstLine="420" w:firstLineChars="200"/>
        <w:rPr>
          <w:rFonts w:hint="default"/>
          <w:lang w:eastAsia="zh-CN"/>
        </w:rPr>
      </w:pPr>
    </w:p>
    <w:p w14:paraId="0582F9BC">
      <w:pPr>
        <w:ind w:firstLine="420" w:firstLineChars="200"/>
        <w:rPr>
          <w:rFonts w:hint="default"/>
          <w:lang w:eastAsia="zh-CN"/>
        </w:rPr>
      </w:pPr>
    </w:p>
    <w:p w14:paraId="135BCBF4">
      <w:pPr>
        <w:ind w:firstLine="420" w:firstLineChars="200"/>
        <w:rPr>
          <w:rFonts w:hint="default"/>
          <w:lang w:eastAsia="zh-CN"/>
        </w:rPr>
      </w:pPr>
    </w:p>
    <w:p w14:paraId="771D6F10">
      <w:pPr>
        <w:ind w:firstLine="420" w:firstLineChars="200"/>
        <w:rPr>
          <w:rFonts w:hint="default"/>
          <w:lang w:eastAsia="zh-CN"/>
        </w:rPr>
      </w:pPr>
    </w:p>
    <w:p w14:paraId="691063B2">
      <w:pPr>
        <w:ind w:firstLine="420" w:firstLineChars="200"/>
        <w:rPr>
          <w:rFonts w:hint="default"/>
          <w:lang w:eastAsia="zh-CN"/>
        </w:rPr>
      </w:pPr>
    </w:p>
    <w:p w14:paraId="7E4729F2">
      <w:pPr>
        <w:ind w:firstLine="420" w:firstLineChars="200"/>
        <w:rPr>
          <w:rFonts w:hint="default"/>
          <w:lang w:eastAsia="zh-CN"/>
        </w:rPr>
      </w:pPr>
    </w:p>
    <w:p w14:paraId="20219D71">
      <w:pPr>
        <w:ind w:firstLine="420" w:firstLineChars="200"/>
        <w:rPr>
          <w:rFonts w:hint="default"/>
          <w:lang w:eastAsia="zh-CN"/>
        </w:rPr>
      </w:pPr>
    </w:p>
    <w:p w14:paraId="74ABD679">
      <w:pPr>
        <w:ind w:firstLine="420" w:firstLineChars="200"/>
        <w:rPr>
          <w:rFonts w:hint="default"/>
          <w:lang w:eastAsia="zh-CN"/>
        </w:rPr>
      </w:pPr>
    </w:p>
    <w:p w14:paraId="1059B74E">
      <w:pPr>
        <w:ind w:firstLine="420" w:firstLineChars="200"/>
        <w:rPr>
          <w:rFonts w:hint="default"/>
          <w:lang w:eastAsia="zh-CN"/>
        </w:rPr>
      </w:pPr>
    </w:p>
    <w:p w14:paraId="05748969">
      <w:pPr>
        <w:ind w:firstLine="420" w:firstLineChars="200"/>
        <w:rPr>
          <w:rFonts w:hint="default"/>
          <w:lang w:eastAsia="zh-CN"/>
        </w:rPr>
      </w:pPr>
    </w:p>
    <w:p w14:paraId="627DBF99">
      <w:pPr>
        <w:ind w:firstLine="420" w:firstLineChars="200"/>
        <w:rPr>
          <w:rFonts w:hint="default"/>
          <w:lang w:eastAsia="zh-CN"/>
        </w:rPr>
      </w:pPr>
    </w:p>
    <w:p w14:paraId="301A5C90">
      <w:pPr>
        <w:rPr>
          <w:rFonts w:hint="default"/>
          <w:lang w:eastAsia="zh-CN"/>
        </w:rPr>
      </w:pPr>
    </w:p>
    <w:p w14:paraId="01F66C48">
      <w:pPr>
        <w:jc w:val="center"/>
        <w:rPr>
          <w:rFonts w:hint="eastAsia" w:ascii="方正黑体-简" w:hAnsi="方正黑体-简" w:eastAsia="方正黑体-简" w:cs="方正黑体-简"/>
          <w:sz w:val="36"/>
          <w:szCs w:val="44"/>
          <w:lang w:eastAsia="zh-CN"/>
        </w:rPr>
      </w:pPr>
      <w:r>
        <w:rPr>
          <w:rFonts w:hint="eastAsia" w:ascii="方正黑体-简" w:hAnsi="方正黑体-简" w:eastAsia="方正黑体-简" w:cs="方正黑体-简"/>
          <w:sz w:val="36"/>
          <w:szCs w:val="44"/>
          <w:lang w:eastAsia="zh-CN"/>
        </w:rPr>
        <w:t>债权申报表</w:t>
      </w:r>
    </w:p>
    <w:tbl>
      <w:tblPr>
        <w:tblStyle w:val="5"/>
        <w:tblW w:w="8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1932"/>
        <w:gridCol w:w="1263"/>
        <w:gridCol w:w="1066"/>
        <w:gridCol w:w="2372"/>
      </w:tblGrid>
      <w:tr w14:paraId="3DB2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0830028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债权人名称</w:t>
            </w:r>
          </w:p>
        </w:tc>
        <w:tc>
          <w:tcPr>
            <w:tcW w:w="1932" w:type="dxa"/>
          </w:tcPr>
          <w:p w14:paraId="65954C0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2329" w:type="dxa"/>
            <w:gridSpan w:val="2"/>
          </w:tcPr>
          <w:p w14:paraId="3DE5C9B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电话（固定、移动）</w:t>
            </w:r>
          </w:p>
        </w:tc>
        <w:tc>
          <w:tcPr>
            <w:tcW w:w="2372" w:type="dxa"/>
          </w:tcPr>
          <w:p w14:paraId="0108FEC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r>
      <w:tr w14:paraId="5443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29" w:type="dxa"/>
          </w:tcPr>
          <w:p w14:paraId="5A622A4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详细地址</w:t>
            </w:r>
          </w:p>
        </w:tc>
        <w:tc>
          <w:tcPr>
            <w:tcW w:w="6633" w:type="dxa"/>
            <w:gridSpan w:val="4"/>
          </w:tcPr>
          <w:p w14:paraId="198FDBC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r>
      <w:tr w14:paraId="1938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20C9E41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法定代表人/负责人</w:t>
            </w:r>
          </w:p>
        </w:tc>
        <w:tc>
          <w:tcPr>
            <w:tcW w:w="1932" w:type="dxa"/>
          </w:tcPr>
          <w:p w14:paraId="67FADD9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2329" w:type="dxa"/>
            <w:gridSpan w:val="2"/>
          </w:tcPr>
          <w:p w14:paraId="1DCED6C4">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法定代表人身份证号码</w:t>
            </w:r>
          </w:p>
        </w:tc>
        <w:tc>
          <w:tcPr>
            <w:tcW w:w="2372" w:type="dxa"/>
          </w:tcPr>
          <w:p w14:paraId="36E3A3E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r>
      <w:tr w14:paraId="32F7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67D0D63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委托代理人</w:t>
            </w:r>
          </w:p>
        </w:tc>
        <w:tc>
          <w:tcPr>
            <w:tcW w:w="1932" w:type="dxa"/>
          </w:tcPr>
          <w:p w14:paraId="2AA9594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2329" w:type="dxa"/>
            <w:gridSpan w:val="2"/>
          </w:tcPr>
          <w:p w14:paraId="2FCF8C1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委托代理人身份证等证件号码</w:t>
            </w:r>
          </w:p>
        </w:tc>
        <w:tc>
          <w:tcPr>
            <w:tcW w:w="2372" w:type="dxa"/>
          </w:tcPr>
          <w:p w14:paraId="5BAE033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r>
      <w:tr w14:paraId="4750A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05FABEA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债权人性质</w:t>
            </w:r>
          </w:p>
        </w:tc>
        <w:tc>
          <w:tcPr>
            <w:tcW w:w="6633" w:type="dxa"/>
            <w:gridSpan w:val="4"/>
          </w:tcPr>
          <w:p w14:paraId="6AF1951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4"/>
                <w:szCs w:val="24"/>
                <w:vertAlign w:val="baseline"/>
                <w:lang w:eastAsia="zh-CN"/>
              </w:rPr>
            </w:pPr>
            <w:r>
              <w:rPr>
                <w:rFonts w:hint="default"/>
                <w:sz w:val="24"/>
                <w:szCs w:val="24"/>
                <w:vertAlign w:val="baseline"/>
                <w:lang w:eastAsia="zh-CN"/>
              </w:rPr>
              <w:t>1.自然人（）  2.机构（）</w:t>
            </w:r>
          </w:p>
        </w:tc>
      </w:tr>
      <w:tr w14:paraId="42E34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129" w:type="dxa"/>
            <w:vMerge w:val="restart"/>
          </w:tcPr>
          <w:p w14:paraId="6E6ABA2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有无担保</w:t>
            </w:r>
          </w:p>
        </w:tc>
        <w:tc>
          <w:tcPr>
            <w:tcW w:w="1932" w:type="dxa"/>
            <w:vMerge w:val="restart"/>
          </w:tcPr>
          <w:p w14:paraId="5FCB000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1.无（）2.有（）</w:t>
            </w:r>
          </w:p>
        </w:tc>
        <w:tc>
          <w:tcPr>
            <w:tcW w:w="4701" w:type="dxa"/>
            <w:gridSpan w:val="3"/>
          </w:tcPr>
          <w:p w14:paraId="1A9FB7C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担保人名称：</w:t>
            </w:r>
          </w:p>
        </w:tc>
      </w:tr>
      <w:tr w14:paraId="2D4A2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129" w:type="dxa"/>
            <w:vMerge w:val="continue"/>
          </w:tcPr>
          <w:p w14:paraId="085D3A6F">
            <w:pPr>
              <w:keepNext w:val="0"/>
              <w:keepLines w:val="0"/>
              <w:pageBreakBefore w:val="0"/>
              <w:widowControl w:val="0"/>
              <w:kinsoku/>
              <w:wordWrap/>
              <w:overflowPunct/>
              <w:topLinePunct w:val="0"/>
              <w:autoSpaceDE/>
              <w:autoSpaceDN/>
              <w:bidi w:val="0"/>
              <w:adjustRightInd/>
              <w:snapToGrid/>
              <w:spacing w:line="480" w:lineRule="exact"/>
              <w:textAlignment w:val="auto"/>
              <w:rPr>
                <w:sz w:val="24"/>
                <w:szCs w:val="24"/>
              </w:rPr>
            </w:pPr>
          </w:p>
        </w:tc>
        <w:tc>
          <w:tcPr>
            <w:tcW w:w="1932" w:type="dxa"/>
            <w:vMerge w:val="continue"/>
          </w:tcPr>
          <w:p w14:paraId="11250BBC">
            <w:pPr>
              <w:keepNext w:val="0"/>
              <w:keepLines w:val="0"/>
              <w:pageBreakBefore w:val="0"/>
              <w:widowControl w:val="0"/>
              <w:kinsoku/>
              <w:wordWrap/>
              <w:overflowPunct/>
              <w:topLinePunct w:val="0"/>
              <w:autoSpaceDE/>
              <w:autoSpaceDN/>
              <w:bidi w:val="0"/>
              <w:adjustRightInd/>
              <w:snapToGrid/>
              <w:spacing w:line="480" w:lineRule="exact"/>
              <w:textAlignment w:val="auto"/>
              <w:rPr>
                <w:sz w:val="24"/>
                <w:szCs w:val="24"/>
              </w:rPr>
            </w:pPr>
          </w:p>
        </w:tc>
        <w:tc>
          <w:tcPr>
            <w:tcW w:w="4701" w:type="dxa"/>
            <w:gridSpan w:val="3"/>
          </w:tcPr>
          <w:p w14:paraId="4C92A2D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rPr>
            </w:pPr>
            <w:r>
              <w:rPr>
                <w:sz w:val="24"/>
                <w:szCs w:val="24"/>
              </w:rPr>
              <w:t>担保人金额：</w:t>
            </w:r>
          </w:p>
        </w:tc>
      </w:tr>
      <w:tr w14:paraId="2C0D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129" w:type="dxa"/>
            <w:vMerge w:val="continue"/>
          </w:tcPr>
          <w:p w14:paraId="1B14ACA6">
            <w:pPr>
              <w:keepNext w:val="0"/>
              <w:keepLines w:val="0"/>
              <w:pageBreakBefore w:val="0"/>
              <w:widowControl w:val="0"/>
              <w:kinsoku/>
              <w:wordWrap/>
              <w:overflowPunct/>
              <w:topLinePunct w:val="0"/>
              <w:autoSpaceDE/>
              <w:autoSpaceDN/>
              <w:bidi w:val="0"/>
              <w:adjustRightInd/>
              <w:snapToGrid/>
              <w:spacing w:line="480" w:lineRule="exact"/>
              <w:textAlignment w:val="auto"/>
              <w:rPr>
                <w:sz w:val="24"/>
                <w:szCs w:val="24"/>
              </w:rPr>
            </w:pPr>
          </w:p>
        </w:tc>
        <w:tc>
          <w:tcPr>
            <w:tcW w:w="1932" w:type="dxa"/>
            <w:vMerge w:val="continue"/>
          </w:tcPr>
          <w:p w14:paraId="593C09C7">
            <w:pPr>
              <w:keepNext w:val="0"/>
              <w:keepLines w:val="0"/>
              <w:pageBreakBefore w:val="0"/>
              <w:widowControl w:val="0"/>
              <w:kinsoku/>
              <w:wordWrap/>
              <w:overflowPunct/>
              <w:topLinePunct w:val="0"/>
              <w:autoSpaceDE/>
              <w:autoSpaceDN/>
              <w:bidi w:val="0"/>
              <w:adjustRightInd/>
              <w:snapToGrid/>
              <w:spacing w:line="480" w:lineRule="exact"/>
              <w:textAlignment w:val="auto"/>
              <w:rPr>
                <w:sz w:val="24"/>
                <w:szCs w:val="24"/>
              </w:rPr>
            </w:pPr>
          </w:p>
        </w:tc>
        <w:tc>
          <w:tcPr>
            <w:tcW w:w="4701" w:type="dxa"/>
            <w:gridSpan w:val="3"/>
          </w:tcPr>
          <w:p w14:paraId="0147034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rPr>
            </w:pPr>
            <w:r>
              <w:rPr>
                <w:sz w:val="24"/>
                <w:szCs w:val="24"/>
              </w:rPr>
              <w:t>担保形式：</w:t>
            </w:r>
            <w:r>
              <w:rPr>
                <w:rFonts w:hint="default"/>
                <w:sz w:val="24"/>
                <w:szCs w:val="24"/>
              </w:rPr>
              <w:t>1.保证（）2.抵押（）3.质押（）</w:t>
            </w:r>
          </w:p>
        </w:tc>
      </w:tr>
      <w:tr w14:paraId="683B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03D1C0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有无诉讼、仲裁文书或公证文件</w:t>
            </w:r>
          </w:p>
        </w:tc>
        <w:tc>
          <w:tcPr>
            <w:tcW w:w="6633" w:type="dxa"/>
            <w:gridSpan w:val="4"/>
          </w:tcPr>
          <w:p w14:paraId="30B2D75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1.无（）  2.有（）</w:t>
            </w:r>
          </w:p>
        </w:tc>
      </w:tr>
      <w:tr w14:paraId="31714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29" w:type="dxa"/>
            <w:vMerge w:val="restart"/>
          </w:tcPr>
          <w:p w14:paraId="33E95FB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申报债权金额</w:t>
            </w:r>
          </w:p>
        </w:tc>
        <w:tc>
          <w:tcPr>
            <w:tcW w:w="1932" w:type="dxa"/>
            <w:vMerge w:val="restart"/>
          </w:tcPr>
          <w:p w14:paraId="10DC2E8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总金额</w:t>
            </w:r>
          </w:p>
          <w:p w14:paraId="703B666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p w14:paraId="3D0BF28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4701" w:type="dxa"/>
            <w:gridSpan w:val="3"/>
          </w:tcPr>
          <w:p w14:paraId="0F415C9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 xml:space="preserve">    </w:t>
            </w:r>
          </w:p>
          <w:p w14:paraId="3193CD0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sz w:val="24"/>
                <w:szCs w:val="24"/>
                <w:vertAlign w:val="baseline"/>
                <w:lang w:eastAsia="zh-CN"/>
              </w:rPr>
            </w:pPr>
            <w:r>
              <w:rPr>
                <w:rFonts w:hint="default"/>
                <w:sz w:val="24"/>
                <w:szCs w:val="24"/>
                <w:vertAlign w:val="baseline"/>
                <w:lang w:eastAsia="zh-CN"/>
              </w:rPr>
              <w:t xml:space="preserve">                     （大写/币种）</w:t>
            </w:r>
          </w:p>
        </w:tc>
      </w:tr>
      <w:tr w14:paraId="58E89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29" w:type="dxa"/>
            <w:vMerge w:val="continue"/>
          </w:tcPr>
          <w:p w14:paraId="73646621">
            <w:pPr>
              <w:keepNext w:val="0"/>
              <w:keepLines w:val="0"/>
              <w:pageBreakBefore w:val="0"/>
              <w:widowControl w:val="0"/>
              <w:kinsoku/>
              <w:wordWrap/>
              <w:overflowPunct/>
              <w:topLinePunct w:val="0"/>
              <w:autoSpaceDE/>
              <w:autoSpaceDN/>
              <w:bidi w:val="0"/>
              <w:adjustRightInd/>
              <w:snapToGrid/>
              <w:spacing w:line="480" w:lineRule="exact"/>
              <w:textAlignment w:val="auto"/>
              <w:rPr>
                <w:sz w:val="24"/>
                <w:szCs w:val="24"/>
              </w:rPr>
            </w:pPr>
          </w:p>
        </w:tc>
        <w:tc>
          <w:tcPr>
            <w:tcW w:w="1932" w:type="dxa"/>
            <w:vMerge w:val="continue"/>
          </w:tcPr>
          <w:p w14:paraId="1457B8C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4701" w:type="dxa"/>
            <w:gridSpan w:val="3"/>
          </w:tcPr>
          <w:p w14:paraId="2A6FD2FA">
            <w:pPr>
              <w:keepNext w:val="0"/>
              <w:keepLines w:val="0"/>
              <w:pageBreakBefore w:val="0"/>
              <w:widowControl w:val="0"/>
              <w:kinsoku/>
              <w:wordWrap/>
              <w:overflowPunct/>
              <w:topLinePunct w:val="0"/>
              <w:autoSpaceDE/>
              <w:autoSpaceDN/>
              <w:bidi w:val="0"/>
              <w:adjustRightInd/>
              <w:snapToGrid/>
              <w:spacing w:line="480" w:lineRule="exact"/>
              <w:ind w:firstLine="3000" w:firstLineChars="1250"/>
              <w:textAlignment w:val="auto"/>
              <w:rPr>
                <w:rFonts w:hint="default"/>
                <w:sz w:val="24"/>
                <w:szCs w:val="24"/>
                <w:vertAlign w:val="baseline"/>
                <w:lang w:eastAsia="zh-CN"/>
              </w:rPr>
            </w:pPr>
            <w:r>
              <w:rPr>
                <w:rFonts w:hint="default"/>
                <w:sz w:val="24"/>
                <w:szCs w:val="24"/>
                <w:vertAlign w:val="baseline"/>
                <w:lang w:eastAsia="zh-CN"/>
              </w:rPr>
              <w:t>（小写/币种）</w:t>
            </w:r>
          </w:p>
        </w:tc>
      </w:tr>
      <w:tr w14:paraId="77E19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29" w:type="dxa"/>
            <w:vMerge w:val="continue"/>
          </w:tcPr>
          <w:p w14:paraId="42B2D37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3195" w:type="dxa"/>
            <w:gridSpan w:val="2"/>
          </w:tcPr>
          <w:p w14:paraId="01CD7D4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本金：        （小写/币种）</w:t>
            </w:r>
          </w:p>
        </w:tc>
        <w:tc>
          <w:tcPr>
            <w:tcW w:w="3438" w:type="dxa"/>
            <w:gridSpan w:val="2"/>
          </w:tcPr>
          <w:p w14:paraId="6D479BF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利息：          （小写/币种）</w:t>
            </w:r>
          </w:p>
        </w:tc>
      </w:tr>
      <w:tr w14:paraId="19BF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29" w:type="dxa"/>
            <w:vMerge w:val="continue"/>
          </w:tcPr>
          <w:p w14:paraId="465DA5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c>
          <w:tcPr>
            <w:tcW w:w="6633" w:type="dxa"/>
            <w:gridSpan w:val="4"/>
          </w:tcPr>
          <w:p w14:paraId="5A51FF4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其他（如罚息、违约金、滞纳金等）：</w:t>
            </w:r>
          </w:p>
          <w:p w14:paraId="2F6F0AF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p w14:paraId="131C2DF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 xml:space="preserve">                                    （类别/小写/币种）</w:t>
            </w:r>
          </w:p>
        </w:tc>
      </w:tr>
      <w:tr w14:paraId="597D0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03C4BDB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债权形成基本情况（包括但不限于债权形成的时间、原因、过程、利息及申报债权中其他类别的计算方法等，可专门附件说明）：</w:t>
            </w:r>
          </w:p>
        </w:tc>
        <w:tc>
          <w:tcPr>
            <w:tcW w:w="6633" w:type="dxa"/>
            <w:gridSpan w:val="4"/>
          </w:tcPr>
          <w:p w14:paraId="4ABFCED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p>
        </w:tc>
      </w:tr>
      <w:tr w14:paraId="635C6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14:paraId="027930B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备注</w:t>
            </w:r>
          </w:p>
        </w:tc>
        <w:tc>
          <w:tcPr>
            <w:tcW w:w="6633" w:type="dxa"/>
            <w:gridSpan w:val="4"/>
          </w:tcPr>
          <w:p w14:paraId="5D46B3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1.本债权申报表不构成无效债权（包括但不限于已过诉讼时效的债权等）的重新有效确认；</w:t>
            </w:r>
          </w:p>
          <w:p w14:paraId="314C08F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2.债权申报人已全面、完整知晓本次债权登记的有关要求并保证提供资料及情况的真实、合法、完整，否则，一切法律责任和后果由债权申报人承担；</w:t>
            </w:r>
          </w:p>
          <w:p w14:paraId="413C0AC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3.请填写本债权申报表所附的申报材料目录并提供相应的材料，仅提交本申报表而无任何证据材料的，将无法完成债权申报；</w:t>
            </w:r>
          </w:p>
          <w:p w14:paraId="134D472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vertAlign w:val="baseline"/>
                <w:lang w:eastAsia="zh-CN"/>
              </w:rPr>
            </w:pPr>
            <w:r>
              <w:rPr>
                <w:rFonts w:hint="default"/>
                <w:sz w:val="24"/>
                <w:szCs w:val="24"/>
                <w:vertAlign w:val="baseline"/>
                <w:lang w:eastAsia="zh-CN"/>
              </w:rPr>
              <w:t>4.债权申报人需预留有效通讯方式（电话、地址及邮箱等），管理人将相关文件邮寄到指定地址、通过传真发送至指定号码或以电子邮件方式发送至指定邮箱均视为有效送达，因债权申报人未正确填写通讯方式导致的相关文件无法送达的一切法律责任和后果由债权申报人自行承担。</w:t>
            </w:r>
          </w:p>
        </w:tc>
      </w:tr>
    </w:tbl>
    <w:p w14:paraId="1AEA874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r>
        <w:rPr>
          <w:rFonts w:hint="default"/>
          <w:sz w:val="24"/>
          <w:szCs w:val="24"/>
          <w:lang w:eastAsia="zh-CN"/>
        </w:rPr>
        <w:t>债权人或委托代理人签名/盖章：                 申报日期：     年  月  日</w:t>
      </w:r>
    </w:p>
    <w:p w14:paraId="27717E7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60C97F1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r>
        <w:rPr>
          <w:rFonts w:hint="default"/>
          <w:sz w:val="24"/>
          <w:szCs w:val="24"/>
          <w:lang w:eastAsia="zh-CN"/>
        </w:rPr>
        <w:t>后附：1.债权申报文件清单</w:t>
      </w:r>
    </w:p>
    <w:p w14:paraId="39E388B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r>
        <w:rPr>
          <w:rFonts w:hint="default"/>
          <w:sz w:val="24"/>
          <w:szCs w:val="24"/>
          <w:lang w:eastAsia="zh-CN"/>
        </w:rPr>
        <w:t xml:space="preserve">      2.授权委托书</w:t>
      </w:r>
    </w:p>
    <w:p w14:paraId="477448B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5E85C98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432CC56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520A07C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32A0A5E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02FC4654">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737FB7F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6A4E2A4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7468CF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576EC19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6C16F9E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5B3760D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p>
    <w:p w14:paraId="566961E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sz w:val="24"/>
          <w:szCs w:val="24"/>
          <w:lang w:eastAsia="zh-CN"/>
        </w:rPr>
      </w:pPr>
      <w:r>
        <w:rPr>
          <w:rFonts w:hint="default"/>
          <w:sz w:val="24"/>
          <w:szCs w:val="24"/>
          <w:lang w:eastAsia="zh-CN"/>
        </w:rPr>
        <w:t>附件1</w:t>
      </w:r>
    </w:p>
    <w:p w14:paraId="3A9EDD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黑体-简" w:hAnsi="方正黑体-简" w:eastAsia="方正黑体-简" w:cs="方正黑体-简"/>
          <w:sz w:val="36"/>
          <w:szCs w:val="36"/>
          <w:lang w:eastAsia="zh-CN"/>
        </w:rPr>
      </w:pPr>
      <w:r>
        <w:rPr>
          <w:rFonts w:hint="eastAsia" w:ascii="方正黑体-简" w:hAnsi="方正黑体-简" w:eastAsia="方正黑体-简" w:cs="方正黑体-简"/>
          <w:sz w:val="36"/>
          <w:szCs w:val="36"/>
          <w:lang w:eastAsia="zh-CN"/>
        </w:rPr>
        <w:t>债权申报文件清单</w:t>
      </w:r>
    </w:p>
    <w:p w14:paraId="2E8AD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黑体-简" w:hAnsi="方正黑体-简" w:eastAsia="方正黑体-简" w:cs="方正黑体-简"/>
          <w:sz w:val="36"/>
          <w:szCs w:val="36"/>
          <w:lang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1939"/>
        <w:gridCol w:w="2131"/>
        <w:gridCol w:w="2131"/>
      </w:tblGrid>
      <w:tr w14:paraId="26635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5BBA444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债权人：</w:t>
            </w:r>
          </w:p>
        </w:tc>
      </w:tr>
      <w:tr w14:paraId="2C0CB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3A81C97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申报债权文件目录</w:t>
            </w:r>
          </w:p>
        </w:tc>
        <w:tc>
          <w:tcPr>
            <w:tcW w:w="1939" w:type="dxa"/>
          </w:tcPr>
          <w:p w14:paraId="53E4DDA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份数</w:t>
            </w:r>
          </w:p>
        </w:tc>
        <w:tc>
          <w:tcPr>
            <w:tcW w:w="2131" w:type="dxa"/>
          </w:tcPr>
          <w:p w14:paraId="3E85FD6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页数</w:t>
            </w:r>
          </w:p>
        </w:tc>
        <w:tc>
          <w:tcPr>
            <w:tcW w:w="2131" w:type="dxa"/>
          </w:tcPr>
          <w:p w14:paraId="78D82E3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原件或复印件</w:t>
            </w:r>
          </w:p>
        </w:tc>
      </w:tr>
      <w:tr w14:paraId="0704C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66205DA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5B9DDDE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33BE14B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77980F5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12B6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0D46BE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41F049F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76CB604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189560F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1796F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2EB6CA7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615D13E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6648C3D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48CA21C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26E2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56CC9E3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6A29635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7B46CB6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081AC44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531D1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0AD8643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7DD36F6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083169D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55E64FA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4831B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40BC608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0CD0430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2701E90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1C1F660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4114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1A72D8C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7C6DA76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2169806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23E3AEF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23AF0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24190FD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6E222AE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3642514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0872822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05690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02DACB2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3EB3239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26A2D9A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56B25C7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21E6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tcPr>
          <w:p w14:paraId="46C637C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1939" w:type="dxa"/>
          </w:tcPr>
          <w:p w14:paraId="3B21AE6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7334B80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c>
          <w:tcPr>
            <w:tcW w:w="2131" w:type="dxa"/>
          </w:tcPr>
          <w:p w14:paraId="578A855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p>
        </w:tc>
      </w:tr>
      <w:tr w14:paraId="59E6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6EDC0DC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提交人声明：本次提交的所有申报债权文件与原件相一致，不存在变造、伪造等情形，否则愿意承担由此产生的法律责任。</w:t>
            </w:r>
          </w:p>
          <w:p w14:paraId="5BCB4F6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vertAlign w:val="baseline"/>
                <w:lang w:eastAsia="zh-CN"/>
              </w:rPr>
            </w:pPr>
            <w:r>
              <w:rPr>
                <w:rFonts w:hint="default"/>
                <w:sz w:val="24"/>
                <w:szCs w:val="24"/>
                <w:vertAlign w:val="baseline"/>
                <w:lang w:eastAsia="zh-CN"/>
              </w:rPr>
              <w:t>签收人声明：本次申报债权文件的牵手并不代表签收人对其申报债权以及提交文件资料真实性、合法性及关联性的确认。</w:t>
            </w:r>
          </w:p>
        </w:tc>
      </w:tr>
    </w:tbl>
    <w:p w14:paraId="6847CD2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lang w:eastAsia="zh-CN"/>
        </w:rPr>
      </w:pPr>
    </w:p>
    <w:p w14:paraId="23671A8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lang w:eastAsia="zh-CN"/>
        </w:rPr>
      </w:pPr>
    </w:p>
    <w:p w14:paraId="46DBB78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lang w:eastAsia="zh-CN"/>
        </w:rPr>
      </w:pPr>
    </w:p>
    <w:p w14:paraId="5CB608E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u w:val="single"/>
          <w:lang w:eastAsia="zh-CN"/>
        </w:rPr>
      </w:pPr>
      <w:r>
        <w:rPr>
          <w:rFonts w:hint="default"/>
          <w:sz w:val="24"/>
          <w:szCs w:val="24"/>
          <w:lang w:eastAsia="zh-CN"/>
        </w:rPr>
        <w:t>提交人（签字）：</w:t>
      </w:r>
      <w:r>
        <w:rPr>
          <w:rFonts w:hint="default"/>
          <w:sz w:val="24"/>
          <w:szCs w:val="24"/>
          <w:u w:val="single"/>
          <w:lang w:eastAsia="zh-CN"/>
        </w:rPr>
        <w:t xml:space="preserve">              </w:t>
      </w:r>
      <w:r>
        <w:rPr>
          <w:rFonts w:hint="default"/>
          <w:sz w:val="24"/>
          <w:szCs w:val="24"/>
          <w:lang w:eastAsia="zh-CN"/>
        </w:rPr>
        <w:t xml:space="preserve">             签收人（签字）：</w:t>
      </w:r>
      <w:r>
        <w:rPr>
          <w:rFonts w:hint="default"/>
          <w:sz w:val="24"/>
          <w:szCs w:val="24"/>
          <w:u w:val="single"/>
          <w:lang w:eastAsia="zh-CN"/>
        </w:rPr>
        <w:t xml:space="preserve">                   </w:t>
      </w:r>
    </w:p>
    <w:p w14:paraId="6FCC56B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u w:val="single"/>
          <w:lang w:eastAsia="zh-CN"/>
        </w:rPr>
      </w:pPr>
      <w:r>
        <w:rPr>
          <w:rFonts w:hint="default"/>
          <w:sz w:val="24"/>
          <w:szCs w:val="24"/>
          <w:lang w:eastAsia="zh-CN"/>
        </w:rPr>
        <w:t>提交时间：</w:t>
      </w:r>
      <w:r>
        <w:rPr>
          <w:rFonts w:hint="default"/>
          <w:sz w:val="24"/>
          <w:szCs w:val="24"/>
          <w:u w:val="single"/>
          <w:lang w:eastAsia="zh-CN"/>
        </w:rPr>
        <w:t xml:space="preserve">                   </w:t>
      </w:r>
      <w:r>
        <w:rPr>
          <w:rFonts w:hint="default"/>
          <w:sz w:val="24"/>
          <w:szCs w:val="24"/>
          <w:lang w:eastAsia="zh-CN"/>
        </w:rPr>
        <w:t xml:space="preserve">                   签收时间：</w:t>
      </w:r>
      <w:r>
        <w:rPr>
          <w:rFonts w:hint="default"/>
          <w:sz w:val="24"/>
          <w:szCs w:val="24"/>
          <w:u w:val="single"/>
          <w:lang w:eastAsia="zh-CN"/>
        </w:rPr>
        <w:t xml:space="preserve">                     </w:t>
      </w:r>
    </w:p>
    <w:p w14:paraId="5C20B8D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sz w:val="24"/>
          <w:szCs w:val="24"/>
          <w:u w:val="single"/>
          <w:lang w:eastAsia="zh-CN"/>
        </w:rPr>
      </w:pPr>
    </w:p>
    <w:p w14:paraId="0042C560">
      <w:pPr>
        <w:jc w:val="center"/>
        <w:rPr>
          <w:rFonts w:hint="default"/>
          <w:sz w:val="36"/>
          <w:szCs w:val="36"/>
          <w:u w:val="none"/>
          <w:lang w:eastAsia="zh-CN"/>
        </w:rPr>
      </w:pPr>
    </w:p>
    <w:p w14:paraId="1D317101">
      <w:pPr>
        <w:jc w:val="both"/>
        <w:rPr>
          <w:rFonts w:hint="default"/>
          <w:sz w:val="36"/>
          <w:szCs w:val="36"/>
          <w:u w:val="none"/>
          <w:lang w:eastAsia="zh-CN"/>
        </w:rPr>
      </w:pPr>
    </w:p>
    <w:p w14:paraId="4E2B4FC4">
      <w:pPr>
        <w:jc w:val="both"/>
        <w:rPr>
          <w:rFonts w:hint="default"/>
          <w:sz w:val="24"/>
          <w:szCs w:val="24"/>
          <w:u w:val="none"/>
          <w:lang w:eastAsia="zh-CN"/>
        </w:rPr>
      </w:pPr>
    </w:p>
    <w:p w14:paraId="3A0C3E1A">
      <w:pPr>
        <w:jc w:val="both"/>
        <w:rPr>
          <w:rFonts w:hint="default"/>
          <w:sz w:val="24"/>
          <w:szCs w:val="24"/>
          <w:u w:val="none"/>
          <w:lang w:eastAsia="zh-CN"/>
        </w:rPr>
      </w:pPr>
      <w:r>
        <w:rPr>
          <w:rFonts w:hint="default"/>
          <w:sz w:val="24"/>
          <w:szCs w:val="24"/>
          <w:u w:val="none"/>
          <w:lang w:eastAsia="zh-CN"/>
        </w:rPr>
        <w:t>附件2</w:t>
      </w:r>
    </w:p>
    <w:p w14:paraId="59DAB306">
      <w:pPr>
        <w:jc w:val="center"/>
        <w:rPr>
          <w:rFonts w:hint="default"/>
          <w:sz w:val="36"/>
          <w:szCs w:val="36"/>
          <w:u w:val="none"/>
          <w:lang w:eastAsia="zh-CN"/>
        </w:rPr>
      </w:pPr>
      <w:r>
        <w:rPr>
          <w:rFonts w:hint="default"/>
          <w:sz w:val="36"/>
          <w:szCs w:val="36"/>
          <w:u w:val="none"/>
          <w:lang w:eastAsia="zh-CN"/>
        </w:rPr>
        <w:t>授权委托书</w:t>
      </w:r>
    </w:p>
    <w:p w14:paraId="19D3F86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sz w:val="28"/>
          <w:szCs w:val="28"/>
          <w:u w:val="none"/>
          <w:lang w:eastAsia="zh-CN"/>
        </w:rPr>
      </w:pPr>
    </w:p>
    <w:p w14:paraId="3DDFDE78">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委托人：                           法定代表人（负责人）：</w:t>
      </w:r>
    </w:p>
    <w:p w14:paraId="7B588BA8">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住所地：                           联系方式：</w:t>
      </w:r>
    </w:p>
    <w:p w14:paraId="057CD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p>
    <w:p w14:paraId="3676D65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受托人：                           身份证号码：</w:t>
      </w:r>
    </w:p>
    <w:p w14:paraId="7274B37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工作单位：                         联系方式：</w:t>
      </w:r>
    </w:p>
    <w:p w14:paraId="298E1CEA">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p>
    <w:p w14:paraId="5258CEB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受托人就</w:t>
      </w:r>
      <w:r>
        <w:rPr>
          <w:rFonts w:hint="eastAsia" w:ascii="方正仿宋-简" w:hAnsi="方正仿宋-简" w:eastAsia="方正仿宋-简" w:cs="方正仿宋-简"/>
          <w:sz w:val="28"/>
          <w:szCs w:val="28"/>
          <w:u w:val="none"/>
          <w:lang w:val="en-US" w:eastAsia="zh-CN"/>
        </w:rPr>
        <w:t>博爱县隆升科技有限公司</w:t>
      </w:r>
      <w:r>
        <w:rPr>
          <w:rFonts w:hint="eastAsia" w:ascii="方正仿宋-简" w:hAnsi="方正仿宋-简" w:eastAsia="方正仿宋-简" w:cs="方正仿宋-简"/>
          <w:sz w:val="28"/>
          <w:szCs w:val="28"/>
          <w:u w:val="none"/>
          <w:lang w:eastAsia="zh-CN"/>
        </w:rPr>
        <w:t>破产清算一案（以下简称“本案”），特委托上述受托人作为代理人，参加本案的破产清算程序。受托人的代理权限为特别授权，包括但不限于：</w:t>
      </w:r>
    </w:p>
    <w:p w14:paraId="0DFF2F2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向本案管理人申报债权、提交相关证明文件及资料，并处理与债权申报相关事宜；</w:t>
      </w:r>
    </w:p>
    <w:p w14:paraId="29C9864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签署、递交、接收和转送有关本案破产清算程序内的各类法律文件及其他文件资料；</w:t>
      </w:r>
    </w:p>
    <w:p w14:paraId="7371510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参加本案的债权人会议并代表委托人发表意见和行使表决权；</w:t>
      </w:r>
    </w:p>
    <w:p w14:paraId="259E35E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处理与本案相关的其他法律事务。</w:t>
      </w:r>
    </w:p>
    <w:p w14:paraId="29B8D04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p>
    <w:p w14:paraId="03B036B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p>
    <w:p w14:paraId="3BB44E8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p>
    <w:p w14:paraId="6CE1D6F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 xml:space="preserve">                              委托人签章：</w:t>
      </w:r>
    </w:p>
    <w:p w14:paraId="7B8E566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 xml:space="preserve">          法定代表人或负责人（如有）签字：</w:t>
      </w:r>
    </w:p>
    <w:p w14:paraId="407C234A">
      <w:pPr>
        <w:keepNext w:val="0"/>
        <w:keepLines w:val="0"/>
        <w:pageBreakBefore w:val="0"/>
        <w:widowControl w:val="0"/>
        <w:kinsoku/>
        <w:wordWrap/>
        <w:overflowPunct/>
        <w:topLinePunct w:val="0"/>
        <w:autoSpaceDE/>
        <w:autoSpaceDN/>
        <w:bidi w:val="0"/>
        <w:adjustRightInd/>
        <w:snapToGrid/>
        <w:spacing w:line="520" w:lineRule="exact"/>
        <w:ind w:firstLine="1260" w:firstLineChars="450"/>
        <w:jc w:val="both"/>
        <w:textAlignment w:val="auto"/>
        <w:rPr>
          <w:rFonts w:hint="eastAsia" w:ascii="方正仿宋-简" w:hAnsi="方正仿宋-简" w:eastAsia="方正仿宋-简" w:cs="方正仿宋-简"/>
          <w:sz w:val="28"/>
          <w:szCs w:val="28"/>
          <w:u w:val="none"/>
          <w:lang w:eastAsia="zh-CN"/>
        </w:rPr>
      </w:pPr>
    </w:p>
    <w:p w14:paraId="520D2BE1">
      <w:pPr>
        <w:keepNext w:val="0"/>
        <w:keepLines w:val="0"/>
        <w:pageBreakBefore w:val="0"/>
        <w:widowControl w:val="0"/>
        <w:kinsoku/>
        <w:wordWrap/>
        <w:overflowPunct/>
        <w:topLinePunct w:val="0"/>
        <w:autoSpaceDE/>
        <w:autoSpaceDN/>
        <w:bidi w:val="0"/>
        <w:adjustRightInd/>
        <w:snapToGrid/>
        <w:spacing w:line="520" w:lineRule="exact"/>
        <w:ind w:firstLine="1260" w:firstLineChars="450"/>
        <w:jc w:val="both"/>
        <w:textAlignment w:val="auto"/>
        <w:rPr>
          <w:rFonts w:hint="eastAsia" w:ascii="方正仿宋-简" w:hAnsi="方正仿宋-简" w:eastAsia="方正仿宋-简" w:cs="方正仿宋-简"/>
          <w:sz w:val="28"/>
          <w:szCs w:val="28"/>
          <w:u w:val="none"/>
          <w:lang w:eastAsia="zh-CN"/>
        </w:rPr>
      </w:pPr>
      <w:r>
        <w:rPr>
          <w:rFonts w:hint="eastAsia" w:ascii="方正仿宋-简" w:hAnsi="方正仿宋-简" w:eastAsia="方正仿宋-简" w:cs="方正仿宋-简"/>
          <w:sz w:val="28"/>
          <w:szCs w:val="28"/>
          <w:u w:val="none"/>
          <w:lang w:eastAsia="zh-CN"/>
        </w:rPr>
        <w:t xml:space="preserve">                                 年  月  日</w:t>
      </w:r>
    </w:p>
    <w:p w14:paraId="6F976CAC">
      <w:pPr>
        <w:jc w:val="both"/>
        <w:rPr>
          <w:rFonts w:hint="default" w:ascii="方正黑体-简" w:hAnsi="方正黑体-简" w:eastAsia="方正黑体-简" w:cs="方正黑体-简"/>
          <w:sz w:val="28"/>
          <w:szCs w:val="28"/>
          <w:u w:val="none"/>
          <w:lang w:eastAsia="zh-CN"/>
        </w:rPr>
      </w:pPr>
    </w:p>
    <w:p w14:paraId="0137C716">
      <w:pPr>
        <w:jc w:val="center"/>
        <w:rPr>
          <w:rFonts w:hint="default" w:ascii="方正黑体-简" w:hAnsi="方正黑体-简" w:eastAsia="方正黑体-简" w:cs="方正黑体-简"/>
          <w:sz w:val="44"/>
          <w:szCs w:val="44"/>
          <w:u w:val="none"/>
          <w:lang w:eastAsia="zh-CN"/>
        </w:rPr>
      </w:pPr>
      <w:r>
        <w:rPr>
          <w:rFonts w:hint="default" w:ascii="方正黑体-简" w:hAnsi="方正黑体-简" w:eastAsia="方正黑体-简" w:cs="方正黑体-简"/>
          <w:sz w:val="44"/>
          <w:szCs w:val="44"/>
          <w:u w:val="none"/>
          <w:lang w:eastAsia="zh-CN"/>
        </w:rPr>
        <w:t>债权人送达地址确认书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7133"/>
      </w:tblGrid>
      <w:tr w14:paraId="02C27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9" w:type="dxa"/>
          </w:tcPr>
          <w:p w14:paraId="3DD4CD92">
            <w:pPr>
              <w:jc w:val="center"/>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债权人</w:t>
            </w:r>
          </w:p>
        </w:tc>
        <w:tc>
          <w:tcPr>
            <w:tcW w:w="7133" w:type="dxa"/>
          </w:tcPr>
          <w:p w14:paraId="224BBCD7">
            <w:pPr>
              <w:jc w:val="both"/>
              <w:rPr>
                <w:rFonts w:hint="default" w:ascii="方正黑体-简" w:hAnsi="方正黑体-简" w:eastAsia="方正黑体-简" w:cs="方正黑体-简"/>
                <w:sz w:val="21"/>
                <w:szCs w:val="21"/>
                <w:u w:val="none"/>
                <w:vertAlign w:val="baseline"/>
                <w:lang w:eastAsia="zh-CN"/>
              </w:rPr>
            </w:pPr>
          </w:p>
        </w:tc>
      </w:tr>
      <w:tr w14:paraId="72349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9" w:type="dxa"/>
          </w:tcPr>
          <w:p w14:paraId="726EE032">
            <w:pPr>
              <w:jc w:val="both"/>
              <w:rPr>
                <w:rFonts w:hint="default" w:ascii="方正黑体-简" w:hAnsi="方正黑体-简" w:eastAsia="方正黑体-简" w:cs="方正黑体-简"/>
                <w:sz w:val="21"/>
                <w:szCs w:val="21"/>
                <w:u w:val="none"/>
                <w:vertAlign w:val="baseline"/>
                <w:lang w:eastAsia="zh-CN"/>
              </w:rPr>
            </w:pPr>
          </w:p>
          <w:p w14:paraId="6C4AC5EB">
            <w:pPr>
              <w:jc w:val="both"/>
              <w:rPr>
                <w:rFonts w:hint="default" w:ascii="方正黑体-简" w:hAnsi="方正黑体-简" w:eastAsia="方正黑体-简" w:cs="方正黑体-简"/>
                <w:sz w:val="21"/>
                <w:szCs w:val="21"/>
                <w:u w:val="none"/>
                <w:vertAlign w:val="baseline"/>
                <w:lang w:eastAsia="zh-CN"/>
              </w:rPr>
            </w:pPr>
          </w:p>
          <w:p w14:paraId="0BB1D9C8">
            <w:pPr>
              <w:jc w:val="both"/>
              <w:rPr>
                <w:rFonts w:hint="default" w:ascii="方正黑体-简" w:hAnsi="方正黑体-简" w:eastAsia="方正黑体-简" w:cs="方正黑体-简"/>
                <w:sz w:val="21"/>
                <w:szCs w:val="21"/>
                <w:u w:val="none"/>
                <w:vertAlign w:val="baseline"/>
                <w:lang w:eastAsia="zh-CN"/>
              </w:rPr>
            </w:pPr>
          </w:p>
          <w:p w14:paraId="522F9472">
            <w:pPr>
              <w:jc w:val="center"/>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管理人对债权人填写送达地址确认书的告知事项</w:t>
            </w:r>
          </w:p>
        </w:tc>
        <w:tc>
          <w:tcPr>
            <w:tcW w:w="7133" w:type="dxa"/>
          </w:tcPr>
          <w:p w14:paraId="22349A1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1.为了便于债权人及时收到法院、管理人各项文书，保证破产程序顺利进行，债权人应当如实提供确切的送达地址。</w:t>
            </w:r>
          </w:p>
          <w:p w14:paraId="01AEF78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2.确认的送达地址适用于破产工作的各个阶段及各项事宜。</w:t>
            </w:r>
          </w:p>
          <w:p w14:paraId="0B7DA63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3.破产清算程序期间，债权人的送达地址发生变更，应当及时告知管理人变更后的送达地址。</w:t>
            </w:r>
          </w:p>
          <w:p w14:paraId="4F20CAA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4.债权人提供的地址不准确，或不及时告知变更后的地址，导致有关文书无法送达或未及时送达，债权人将自行承担由此可能产生的法律后果：</w:t>
            </w:r>
          </w:p>
          <w:p w14:paraId="5D6C4E2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（1）债权人拒不提供送达地址的，以其户籍登记、工商登记或者其他依法登记、备案的住所地为送达地址。</w:t>
            </w:r>
          </w:p>
          <w:p w14:paraId="5C65CE6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（2）因为债权人自己提供的送达地址不准确、地址变更后未及时告知管理人或者债权人拒不提供送达地址导致各项文书未能被债权人实际接收的，按下列方式处理：</w:t>
            </w:r>
          </w:p>
          <w:p w14:paraId="7C76D9A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（一）邮寄送达的，邮件回执上注明的退回之日视为送达之日；</w:t>
            </w:r>
          </w:p>
          <w:p w14:paraId="2AF1CC1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（二）直接送达的，送达人应当在送达回执上记明情况之日视为送达之日。</w:t>
            </w:r>
          </w:p>
        </w:tc>
      </w:tr>
      <w:tr w14:paraId="500CD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9" w:type="dxa"/>
          </w:tcPr>
          <w:p w14:paraId="2FEF0745">
            <w:pPr>
              <w:jc w:val="center"/>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债权人提供自己的送达地址</w:t>
            </w:r>
          </w:p>
        </w:tc>
        <w:tc>
          <w:tcPr>
            <w:tcW w:w="7133" w:type="dxa"/>
          </w:tcPr>
          <w:p w14:paraId="58AAB74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本人（本单位）确认下列地址为送达地址：</w:t>
            </w:r>
          </w:p>
          <w:p w14:paraId="6B7A476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联系地址：</w:t>
            </w:r>
          </w:p>
          <w:p w14:paraId="710B3DB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收件人：</w:t>
            </w:r>
          </w:p>
          <w:p w14:paraId="25AC332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联系电话：</w:t>
            </w:r>
          </w:p>
          <w:p w14:paraId="7930D1D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传真：</w:t>
            </w:r>
          </w:p>
        </w:tc>
      </w:tr>
      <w:tr w14:paraId="0C11F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9" w:type="dxa"/>
          </w:tcPr>
          <w:p w14:paraId="0F8508B9">
            <w:pPr>
              <w:jc w:val="center"/>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债权人对自己送达地址的确认</w:t>
            </w:r>
          </w:p>
        </w:tc>
        <w:tc>
          <w:tcPr>
            <w:tcW w:w="7133" w:type="dxa"/>
          </w:tcPr>
          <w:p w14:paraId="6B920AD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我已经阅读了管理人对债权人填写送达地址确认书的告知事项，并保证上述送达地址是准确、有效的。</w:t>
            </w:r>
          </w:p>
          <w:p w14:paraId="620219A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p>
          <w:p w14:paraId="7C21CB7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债权人或其代理人签名、盖章或捺印：</w:t>
            </w:r>
          </w:p>
          <w:p w14:paraId="758B9873">
            <w:pPr>
              <w:jc w:val="both"/>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 xml:space="preserve">                                             年  月  日</w:t>
            </w:r>
          </w:p>
        </w:tc>
      </w:tr>
      <w:tr w14:paraId="6BEA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9" w:type="dxa"/>
          </w:tcPr>
          <w:p w14:paraId="4F1BBF18">
            <w:pPr>
              <w:jc w:val="center"/>
              <w:rPr>
                <w:rFonts w:hint="default" w:ascii="方正黑体-简" w:hAnsi="方正黑体-简" w:eastAsia="方正黑体-简" w:cs="方正黑体-简"/>
                <w:sz w:val="21"/>
                <w:szCs w:val="21"/>
                <w:u w:val="none"/>
                <w:vertAlign w:val="baseline"/>
                <w:lang w:eastAsia="zh-CN"/>
              </w:rPr>
            </w:pPr>
            <w:r>
              <w:rPr>
                <w:rFonts w:hint="default" w:ascii="方正黑体-简" w:hAnsi="方正黑体-简" w:eastAsia="方正黑体-简" w:cs="方正黑体-简"/>
                <w:sz w:val="21"/>
                <w:szCs w:val="21"/>
                <w:u w:val="none"/>
                <w:vertAlign w:val="baseline"/>
                <w:lang w:eastAsia="zh-CN"/>
              </w:rPr>
              <w:t>备注</w:t>
            </w:r>
          </w:p>
        </w:tc>
        <w:tc>
          <w:tcPr>
            <w:tcW w:w="7133" w:type="dxa"/>
          </w:tcPr>
          <w:p w14:paraId="2C756440">
            <w:pPr>
              <w:jc w:val="both"/>
              <w:rPr>
                <w:rFonts w:hint="default" w:ascii="方正黑体-简" w:hAnsi="方正黑体-简" w:eastAsia="方正黑体-简" w:cs="方正黑体-简"/>
                <w:sz w:val="21"/>
                <w:szCs w:val="21"/>
                <w:u w:val="none"/>
                <w:vertAlign w:val="baseline"/>
                <w:lang w:eastAsia="zh-CN"/>
              </w:rPr>
            </w:pPr>
          </w:p>
        </w:tc>
      </w:tr>
    </w:tbl>
    <w:p w14:paraId="4C210B70">
      <w:pPr>
        <w:jc w:val="center"/>
        <w:rPr>
          <w:rFonts w:hint="default" w:ascii="方正黑体-简" w:hAnsi="方正黑体-简" w:eastAsia="方正黑体-简" w:cs="方正黑体-简"/>
          <w:b/>
          <w:bCs/>
          <w:sz w:val="36"/>
          <w:szCs w:val="36"/>
          <w:u w:val="none"/>
          <w:lang w:eastAsia="zh-CN"/>
        </w:rPr>
      </w:pPr>
    </w:p>
    <w:p w14:paraId="0B4E61A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方正仿宋-简" w:hAnsi="方正仿宋-简" w:eastAsia="方正仿宋-简" w:cs="方正仿宋-简"/>
          <w:sz w:val="30"/>
          <w:szCs w:val="30"/>
          <w:u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
    <w:altName w:val="黑体"/>
    <w:panose1 w:val="02000500000000000000"/>
    <w:charset w:val="86"/>
    <w:family w:val="auto"/>
    <w:pitch w:val="default"/>
    <w:sig w:usb0="00000000" w:usb1="00000000" w:usb2="00000016" w:usb3="00000000" w:csb0="00040001" w:csb1="00000000"/>
  </w:font>
  <w:font w:name="方正仿宋-简">
    <w:altName w:val="仿宋"/>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ZjI2Y2RmMWYxNTAzMmI0YTJjMDI5Y2JlNmVlMzAifQ=="/>
  </w:docVars>
  <w:rsids>
    <w:rsidRoot w:val="00000000"/>
    <w:rsid w:val="14C35CEE"/>
    <w:rsid w:val="255F122E"/>
    <w:rsid w:val="2F5F6DC8"/>
    <w:rsid w:val="3EE79116"/>
    <w:rsid w:val="5AB66F13"/>
    <w:rsid w:val="6B3959F5"/>
    <w:rsid w:val="79C27CB6"/>
    <w:rsid w:val="BFBDDADB"/>
    <w:rsid w:val="C77FD0B9"/>
    <w:rsid w:val="FD7F1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2240</Words>
  <Characters>2274</Characters>
  <Lines>0</Lines>
  <Paragraphs>0</Paragraphs>
  <TotalTime>5</TotalTime>
  <ScaleCrop>false</ScaleCrop>
  <LinksUpToDate>false</LinksUpToDate>
  <CharactersWithSpaces>2323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2024-11-05T11:12:00Z</dcterms:created>
  <dc:creator>daili</dc:creator>
  <cp:lastModifiedBy>MARS</cp:lastModifiedBy>
  <dcterms:modified xsi:type="dcterms:W3CDTF">2024-12-08T03:54:56Z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53B0557EF1824634BC804F100EA64A47_12</vt:lpwstr>
  </property>
</Properties>
</file>