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DED8BE">
      <w:pPr>
        <w:pStyle w:val="2"/>
        <w:pageBreakBefore w:val="0"/>
        <w:kinsoku/>
        <w:wordWrap/>
        <w:overflowPunct/>
        <w:topLinePunct w:val="0"/>
        <w:autoSpaceDE/>
        <w:autoSpaceDN/>
        <w:bidi w:val="0"/>
        <w:adjustRightInd/>
        <w:snapToGrid/>
        <w:spacing w:line="560" w:lineRule="exact"/>
        <w:jc w:val="center"/>
        <w:textAlignment w:val="auto"/>
        <w:rPr>
          <w:rFonts w:hint="eastAsia" w:eastAsia="仿宋"/>
          <w:sz w:val="44"/>
          <w:szCs w:val="44"/>
          <w:lang w:eastAsia="zh-CN"/>
        </w:rPr>
      </w:pPr>
      <w:r>
        <w:rPr>
          <w:rFonts w:hint="eastAsia" w:eastAsia="仿宋"/>
          <w:sz w:val="44"/>
          <w:szCs w:val="44"/>
          <w:lang w:val="en-US" w:eastAsia="zh-CN"/>
        </w:rPr>
        <w:t>扬州</w:t>
      </w:r>
      <w:bookmarkStart w:id="0" w:name="_GoBack"/>
      <w:bookmarkEnd w:id="0"/>
      <w:r>
        <w:rPr>
          <w:rFonts w:hint="eastAsia" w:eastAsia="仿宋"/>
          <w:sz w:val="44"/>
          <w:szCs w:val="44"/>
          <w:lang w:val="en-US" w:eastAsia="zh-CN"/>
        </w:rPr>
        <w:t>荣德国际贸易有限公司管理人</w:t>
      </w:r>
    </w:p>
    <w:p w14:paraId="4BD6DE0C">
      <w:pPr>
        <w:pStyle w:val="2"/>
        <w:pageBreakBefore w:val="0"/>
        <w:kinsoku/>
        <w:wordWrap/>
        <w:overflowPunct/>
        <w:topLinePunct w:val="0"/>
        <w:autoSpaceDE/>
        <w:autoSpaceDN/>
        <w:bidi w:val="0"/>
        <w:adjustRightInd/>
        <w:snapToGrid/>
        <w:spacing w:line="560" w:lineRule="exact"/>
        <w:jc w:val="center"/>
        <w:textAlignment w:val="auto"/>
        <w:rPr>
          <w:sz w:val="44"/>
          <w:szCs w:val="44"/>
        </w:rPr>
      </w:pPr>
      <w:r>
        <w:rPr>
          <w:rFonts w:hint="eastAsia"/>
          <w:sz w:val="44"/>
          <w:szCs w:val="44"/>
        </w:rPr>
        <w:t>关于聘请审计机构</w:t>
      </w:r>
      <w:r>
        <w:rPr>
          <w:rFonts w:hint="eastAsia"/>
          <w:sz w:val="44"/>
          <w:szCs w:val="44"/>
          <w:lang w:eastAsia="zh-CN"/>
        </w:rPr>
        <w:t>、</w:t>
      </w:r>
      <w:r>
        <w:rPr>
          <w:rFonts w:hint="eastAsia"/>
          <w:sz w:val="44"/>
          <w:szCs w:val="44"/>
          <w:lang w:val="en-US" w:eastAsia="zh-CN"/>
        </w:rPr>
        <w:t>评估机构</w:t>
      </w:r>
      <w:r>
        <w:rPr>
          <w:rFonts w:hint="eastAsia"/>
          <w:sz w:val="44"/>
          <w:szCs w:val="44"/>
        </w:rPr>
        <w:t>的</w:t>
      </w:r>
      <w:r>
        <w:rPr>
          <w:rFonts w:hint="eastAsia"/>
          <w:sz w:val="44"/>
          <w:szCs w:val="44"/>
          <w:lang w:val="en-US" w:eastAsia="zh-CN"/>
        </w:rPr>
        <w:t>请示</w:t>
      </w:r>
      <w:r>
        <w:rPr>
          <w:rFonts w:hint="eastAsia"/>
          <w:sz w:val="44"/>
          <w:szCs w:val="44"/>
        </w:rPr>
        <w:t>报告</w:t>
      </w:r>
    </w:p>
    <w:p w14:paraId="6723EFCF">
      <w:pPr>
        <w:pageBreakBefore w:val="0"/>
        <w:widowControl/>
        <w:shd w:val="clear" w:color="auto" w:fill="FFFFFF"/>
        <w:kinsoku/>
        <w:wordWrap/>
        <w:overflowPunct/>
        <w:topLinePunct w:val="0"/>
        <w:autoSpaceDE/>
        <w:autoSpaceDN/>
        <w:bidi w:val="0"/>
        <w:adjustRightInd/>
        <w:snapToGrid/>
        <w:spacing w:line="560" w:lineRule="exact"/>
        <w:jc w:val="right"/>
        <w:textAlignment w:val="auto"/>
        <w:rPr>
          <w:rFonts w:ascii="仿宋" w:hAnsi="仿宋" w:eastAsia="仿宋" w:cs="宋体"/>
          <w:kern w:val="0"/>
          <w:sz w:val="28"/>
          <w:szCs w:val="28"/>
        </w:rPr>
      </w:pPr>
      <w:r>
        <w:rPr>
          <w:rFonts w:hint="eastAsia" w:ascii="仿宋" w:hAnsi="仿宋" w:eastAsia="仿宋" w:cs="宋体"/>
          <w:kern w:val="0"/>
          <w:sz w:val="28"/>
          <w:szCs w:val="28"/>
        </w:rPr>
        <w:t>（</w:t>
      </w:r>
      <w:r>
        <w:rPr>
          <w:rFonts w:hint="eastAsia" w:ascii="仿宋" w:hAnsi="仿宋" w:eastAsia="仿宋" w:cs="宋体"/>
          <w:kern w:val="0"/>
          <w:sz w:val="28"/>
          <w:szCs w:val="28"/>
          <w:lang w:val="en-US" w:eastAsia="zh-CN"/>
        </w:rPr>
        <w:t>2024</w:t>
      </w:r>
      <w:r>
        <w:rPr>
          <w:rFonts w:hint="eastAsia" w:ascii="仿宋" w:hAnsi="仿宋" w:eastAsia="仿宋" w:cs="宋体"/>
          <w:kern w:val="0"/>
          <w:sz w:val="28"/>
          <w:szCs w:val="28"/>
        </w:rPr>
        <w:t>）</w:t>
      </w:r>
      <w:r>
        <w:rPr>
          <w:rFonts w:hint="eastAsia" w:ascii="仿宋" w:hAnsi="仿宋" w:eastAsia="仿宋" w:cs="宋体"/>
          <w:kern w:val="0"/>
          <w:sz w:val="28"/>
          <w:szCs w:val="28"/>
          <w:lang w:val="en-US" w:eastAsia="zh-CN"/>
        </w:rPr>
        <w:t>荣德国际贸易</w:t>
      </w:r>
      <w:r>
        <w:rPr>
          <w:rFonts w:hint="eastAsia" w:ascii="仿宋" w:hAnsi="仿宋" w:eastAsia="仿宋" w:cs="宋体"/>
          <w:kern w:val="0"/>
          <w:sz w:val="28"/>
          <w:szCs w:val="28"/>
          <w:lang w:eastAsia="zh-CN"/>
        </w:rPr>
        <w:t>破</w:t>
      </w:r>
      <w:r>
        <w:rPr>
          <w:rFonts w:hint="eastAsia" w:ascii="仿宋" w:hAnsi="仿宋" w:eastAsia="仿宋" w:cs="宋体"/>
          <w:kern w:val="0"/>
          <w:sz w:val="28"/>
          <w:szCs w:val="28"/>
        </w:rPr>
        <w:t>管</w:t>
      </w:r>
      <w:r>
        <w:rPr>
          <w:rFonts w:hint="eastAsia" w:ascii="仿宋" w:hAnsi="仿宋" w:eastAsia="仿宋" w:cs="宋体"/>
          <w:kern w:val="0"/>
          <w:sz w:val="28"/>
          <w:szCs w:val="28"/>
          <w:lang w:val="en-US" w:eastAsia="zh-CN"/>
        </w:rPr>
        <w:t>请</w:t>
      </w:r>
      <w:r>
        <w:rPr>
          <w:rFonts w:hint="eastAsia" w:ascii="仿宋" w:hAnsi="仿宋" w:eastAsia="仿宋" w:cs="宋体"/>
          <w:kern w:val="0"/>
          <w:sz w:val="28"/>
          <w:szCs w:val="28"/>
        </w:rPr>
        <w:t>字第</w:t>
      </w:r>
      <w:r>
        <w:rPr>
          <w:rFonts w:hint="eastAsia" w:ascii="仿宋" w:hAnsi="仿宋" w:eastAsia="仿宋" w:cs="宋体"/>
          <w:kern w:val="0"/>
          <w:sz w:val="28"/>
          <w:szCs w:val="28"/>
          <w:lang w:val="en-US" w:eastAsia="zh-CN"/>
        </w:rPr>
        <w:t>01</w:t>
      </w:r>
      <w:r>
        <w:rPr>
          <w:rFonts w:hint="eastAsia" w:ascii="仿宋" w:hAnsi="仿宋" w:eastAsia="仿宋" w:cs="宋体"/>
          <w:kern w:val="0"/>
          <w:sz w:val="28"/>
          <w:szCs w:val="28"/>
        </w:rPr>
        <w:t>号</w:t>
      </w:r>
    </w:p>
    <w:p w14:paraId="167B9040">
      <w:pPr>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扬州经济技术开发区人民法院：</w:t>
      </w:r>
    </w:p>
    <w:p w14:paraId="09FB1E1F">
      <w:pPr>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2024年9月17日，贵院作出（2024）苏1091破申18号《民事裁定书》，裁定受理扬州荣德国际贸易有限公司（以下简称国际贸易公司）破产清算一案，并于2024年9月23日作出（2024）苏1091破32号《决定书》，指定江苏石塔律师事务所担任管理人（以下简称管理人）。</w:t>
      </w:r>
    </w:p>
    <w:p w14:paraId="32260323">
      <w:pPr>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sz w:val="28"/>
          <w:szCs w:val="28"/>
        </w:rPr>
        <w:t>管理人收到该决定书后，马上积极投入破产清算工作</w:t>
      </w:r>
      <w:r>
        <w:rPr>
          <w:rFonts w:hint="eastAsia" w:ascii="仿宋" w:hAnsi="仿宋" w:eastAsia="仿宋"/>
          <w:sz w:val="28"/>
          <w:szCs w:val="28"/>
          <w:lang w:eastAsia="zh-CN"/>
        </w:rPr>
        <w:t>。</w:t>
      </w:r>
      <w:r>
        <w:rPr>
          <w:rFonts w:hint="eastAsia" w:ascii="仿宋" w:hAnsi="仿宋" w:eastAsia="仿宋"/>
          <w:sz w:val="28"/>
          <w:szCs w:val="28"/>
          <w:lang w:val="en-US" w:eastAsia="zh-CN"/>
        </w:rPr>
        <w:t>鉴于扬州佳诚会计师事务所有限公司</w:t>
      </w:r>
      <w:r>
        <w:rPr>
          <w:rFonts w:hint="eastAsia" w:ascii="仿宋" w:hAnsi="仿宋" w:eastAsia="仿宋" w:cs="仿宋"/>
          <w:b w:val="0"/>
          <w:bCs w:val="0"/>
          <w:sz w:val="28"/>
          <w:szCs w:val="28"/>
          <w:lang w:val="en-US" w:eastAsia="zh-CN"/>
        </w:rPr>
        <w:t>也是</w:t>
      </w:r>
      <w:r>
        <w:rPr>
          <w:rFonts w:hint="eastAsia" w:ascii="仿宋" w:hAnsi="仿宋" w:eastAsia="仿宋" w:cs="仿宋"/>
          <w:kern w:val="2"/>
          <w:sz w:val="28"/>
          <w:szCs w:val="28"/>
          <w:lang w:val="en-US" w:eastAsia="zh-CN" w:bidi="ar"/>
        </w:rPr>
        <w:t>扬州荣德新能源科技有限公司破产程序中管理人聘请的审计机构，且在扬州荣德新能源科技有限公司破产清算一案中</w:t>
      </w:r>
      <w:r>
        <w:rPr>
          <w:rFonts w:hint="eastAsia" w:ascii="仿宋" w:hAnsi="仿宋" w:eastAsia="仿宋"/>
          <w:sz w:val="28"/>
          <w:szCs w:val="28"/>
          <w:lang w:val="en-US" w:eastAsia="zh-CN"/>
        </w:rPr>
        <w:t>已完成了对其全资子公司</w:t>
      </w:r>
      <w:r>
        <w:rPr>
          <w:rFonts w:hint="eastAsia" w:ascii="仿宋" w:hAnsi="仿宋" w:eastAsia="仿宋" w:cs="仿宋"/>
          <w:sz w:val="28"/>
          <w:szCs w:val="28"/>
          <w:lang w:val="en-US" w:eastAsia="zh-CN"/>
        </w:rPr>
        <w:t>国际贸易公司的初步</w:t>
      </w:r>
      <w:r>
        <w:rPr>
          <w:rFonts w:hint="eastAsia" w:ascii="仿宋" w:hAnsi="仿宋" w:eastAsia="仿宋"/>
          <w:sz w:val="28"/>
          <w:szCs w:val="28"/>
        </w:rPr>
        <w:t>破产专项审计工作。</w:t>
      </w:r>
      <w:r>
        <w:rPr>
          <w:rFonts w:hint="eastAsia" w:ascii="仿宋" w:hAnsi="仿宋" w:eastAsia="仿宋"/>
          <w:sz w:val="28"/>
          <w:szCs w:val="28"/>
          <w:lang w:val="en-US" w:eastAsia="zh-CN"/>
        </w:rPr>
        <w:t>此外，管理人还考虑到</w:t>
      </w:r>
      <w:r>
        <w:rPr>
          <w:rFonts w:hint="eastAsia" w:ascii="仿宋" w:hAnsi="仿宋" w:eastAsia="仿宋" w:cs="仿宋"/>
          <w:sz w:val="28"/>
          <w:szCs w:val="28"/>
          <w:lang w:val="en-US" w:eastAsia="zh-CN"/>
        </w:rPr>
        <w:t>国际贸易公司</w:t>
      </w:r>
      <w:r>
        <w:rPr>
          <w:rFonts w:hint="eastAsia" w:ascii="仿宋" w:hAnsi="仿宋" w:eastAsia="仿宋" w:cs="仿宋"/>
          <w:sz w:val="28"/>
          <w:szCs w:val="28"/>
          <w:highlight w:val="none"/>
        </w:rPr>
        <w:t>在</w:t>
      </w:r>
      <w:r>
        <w:rPr>
          <w:rFonts w:hint="eastAsia" w:ascii="仿宋" w:hAnsi="仿宋" w:eastAsia="仿宋" w:cs="仿宋"/>
          <w:sz w:val="28"/>
          <w:szCs w:val="28"/>
          <w:highlight w:val="none"/>
          <w:lang w:val="en-US" w:eastAsia="zh-CN"/>
        </w:rPr>
        <w:t>2021</w:t>
      </w:r>
      <w:r>
        <w:rPr>
          <w:rFonts w:hint="eastAsia" w:ascii="仿宋" w:hAnsi="仿宋" w:eastAsia="仿宋" w:cs="仿宋"/>
          <w:sz w:val="28"/>
          <w:szCs w:val="28"/>
        </w:rPr>
        <w:t>年已</w:t>
      </w:r>
      <w:r>
        <w:rPr>
          <w:rFonts w:hint="eastAsia" w:ascii="仿宋" w:hAnsi="仿宋" w:eastAsia="仿宋" w:cs="仿宋"/>
          <w:sz w:val="28"/>
          <w:szCs w:val="28"/>
          <w:lang w:eastAsia="zh-CN"/>
        </w:rPr>
        <w:t>不再</w:t>
      </w:r>
      <w:r>
        <w:rPr>
          <w:rFonts w:hint="eastAsia" w:ascii="仿宋" w:hAnsi="仿宋" w:eastAsia="仿宋" w:cs="仿宋"/>
          <w:sz w:val="28"/>
          <w:szCs w:val="28"/>
          <w:lang w:val="en-US" w:eastAsia="zh-CN"/>
        </w:rPr>
        <w:t>进行生产和营业活动</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故管理人在破产程序中将以已经完成国际贸易公司破产专项审计报告为准，暂不聘请审计机构。若在破产程序中，管理人发现国际贸易公司银行账户利息变动，以及需要扣除相关管理费用的，管理人将按照相关法律法规进行登记变更。</w:t>
      </w:r>
    </w:p>
    <w:p w14:paraId="3883CDD3">
      <w:pPr>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由于国际贸易公司在2021年已陷入停产停业状态且无财产需要评估，故管理人暂不聘请评估机构。若在破产程序中管理人接管到国际贸易公司的其他财产需要评估，管理人将依据相关法律法规及时聘请具有资质的评估机构进行评估，以确保破产程序的公正、透明和合法性。</w:t>
      </w:r>
    </w:p>
    <w:p w14:paraId="1534F5D6">
      <w:pPr>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rPr>
        <w:t>以上，管理人就</w:t>
      </w:r>
      <w:r>
        <w:rPr>
          <w:rFonts w:hint="eastAsia" w:ascii="仿宋" w:hAnsi="仿宋" w:eastAsia="仿宋"/>
          <w:sz w:val="28"/>
          <w:szCs w:val="28"/>
          <w:lang w:val="en-US" w:eastAsia="zh-CN"/>
        </w:rPr>
        <w:t>关于国际贸易有限公司</w:t>
      </w:r>
      <w:r>
        <w:rPr>
          <w:rFonts w:hint="eastAsia" w:ascii="仿宋" w:hAnsi="仿宋" w:eastAsia="仿宋"/>
          <w:sz w:val="28"/>
          <w:szCs w:val="28"/>
        </w:rPr>
        <w:t>破产清算案</w:t>
      </w:r>
      <w:r>
        <w:rPr>
          <w:rFonts w:hint="eastAsia" w:ascii="仿宋" w:hAnsi="仿宋" w:eastAsia="仿宋"/>
          <w:sz w:val="28"/>
          <w:szCs w:val="28"/>
          <w:lang w:val="en-US" w:eastAsia="zh-CN"/>
        </w:rPr>
        <w:t>暂不</w:t>
      </w:r>
      <w:r>
        <w:rPr>
          <w:rFonts w:hint="eastAsia" w:ascii="仿宋" w:hAnsi="仿宋" w:eastAsia="仿宋"/>
          <w:sz w:val="28"/>
          <w:szCs w:val="28"/>
        </w:rPr>
        <w:t>选聘审计机构</w:t>
      </w:r>
      <w:r>
        <w:rPr>
          <w:rFonts w:hint="eastAsia" w:ascii="仿宋" w:hAnsi="仿宋" w:eastAsia="仿宋"/>
          <w:sz w:val="28"/>
          <w:szCs w:val="28"/>
          <w:lang w:eastAsia="zh-CN"/>
        </w:rPr>
        <w:t>、</w:t>
      </w:r>
      <w:r>
        <w:rPr>
          <w:rFonts w:hint="eastAsia" w:ascii="仿宋" w:hAnsi="仿宋" w:eastAsia="仿宋"/>
          <w:sz w:val="28"/>
          <w:szCs w:val="28"/>
          <w:lang w:val="en-US" w:eastAsia="zh-CN"/>
        </w:rPr>
        <w:t>评估机构的事项</w:t>
      </w:r>
      <w:r>
        <w:rPr>
          <w:rFonts w:hint="eastAsia" w:ascii="仿宋" w:hAnsi="仿宋" w:eastAsia="仿宋"/>
          <w:sz w:val="28"/>
          <w:szCs w:val="28"/>
        </w:rPr>
        <w:t>向贵院</w:t>
      </w:r>
      <w:r>
        <w:rPr>
          <w:rFonts w:hint="eastAsia" w:ascii="仿宋" w:hAnsi="仿宋" w:eastAsia="仿宋"/>
          <w:sz w:val="28"/>
          <w:szCs w:val="28"/>
          <w:lang w:val="en-US" w:eastAsia="zh-CN"/>
        </w:rPr>
        <w:t>作</w:t>
      </w:r>
      <w:r>
        <w:rPr>
          <w:rFonts w:hint="eastAsia" w:ascii="仿宋" w:hAnsi="仿宋" w:eastAsia="仿宋"/>
          <w:sz w:val="28"/>
          <w:szCs w:val="28"/>
        </w:rPr>
        <w:t>具体汇报</w:t>
      </w:r>
      <w:r>
        <w:rPr>
          <w:rFonts w:hint="eastAsia" w:ascii="仿宋" w:hAnsi="仿宋" w:eastAsia="仿宋"/>
          <w:sz w:val="28"/>
          <w:szCs w:val="28"/>
          <w:lang w:eastAsia="zh-CN"/>
        </w:rPr>
        <w:t>。</w:t>
      </w:r>
    </w:p>
    <w:p w14:paraId="495826F4">
      <w:pPr>
        <w:pageBreakBefore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sz w:val="28"/>
          <w:szCs w:val="28"/>
          <w:lang w:val="en-US" w:eastAsia="zh-CN"/>
        </w:rPr>
      </w:pPr>
      <w:r>
        <w:rPr>
          <w:rFonts w:hint="eastAsia" w:ascii="仿宋" w:hAnsi="仿宋" w:eastAsia="仿宋"/>
          <w:sz w:val="28"/>
          <w:szCs w:val="28"/>
          <w:lang w:val="en-US" w:eastAsia="zh-CN"/>
        </w:rPr>
        <w:t>以上意见，当否，请贵院指示！</w:t>
      </w:r>
    </w:p>
    <w:p w14:paraId="6BCBC286">
      <w:pPr>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特此</w:t>
      </w:r>
      <w:r>
        <w:rPr>
          <w:rFonts w:hint="eastAsia" w:ascii="仿宋" w:hAnsi="仿宋" w:eastAsia="仿宋"/>
          <w:sz w:val="28"/>
          <w:szCs w:val="28"/>
          <w:lang w:val="en-US" w:eastAsia="zh-CN"/>
        </w:rPr>
        <w:t>报告</w:t>
      </w:r>
      <w:r>
        <w:rPr>
          <w:rFonts w:hint="eastAsia" w:ascii="仿宋" w:hAnsi="仿宋" w:eastAsia="仿宋"/>
          <w:sz w:val="28"/>
          <w:szCs w:val="28"/>
        </w:rPr>
        <w:t>。</w:t>
      </w:r>
    </w:p>
    <w:p w14:paraId="20027DCF">
      <w:pPr>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sz w:val="28"/>
          <w:szCs w:val="28"/>
        </w:rPr>
      </w:pPr>
    </w:p>
    <w:p w14:paraId="6A5FDF7B">
      <w:pPr>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sz w:val="28"/>
          <w:szCs w:val="28"/>
        </w:rPr>
      </w:pPr>
    </w:p>
    <w:p w14:paraId="7705F610">
      <w:pPr>
        <w:pageBreakBefore w:val="0"/>
        <w:kinsoku/>
        <w:wordWrap/>
        <w:overflowPunct/>
        <w:topLinePunct w:val="0"/>
        <w:autoSpaceDE/>
        <w:autoSpaceDN/>
        <w:bidi w:val="0"/>
        <w:adjustRightInd/>
        <w:snapToGrid/>
        <w:spacing w:line="560" w:lineRule="exact"/>
        <w:jc w:val="right"/>
        <w:textAlignment w:val="auto"/>
        <w:rPr>
          <w:rFonts w:ascii="仿宋" w:hAnsi="仿宋" w:eastAsia="仿宋"/>
          <w:sz w:val="28"/>
          <w:szCs w:val="28"/>
        </w:rPr>
      </w:pPr>
      <w:r>
        <w:rPr>
          <w:rFonts w:hint="eastAsia" w:ascii="仿宋" w:hAnsi="仿宋" w:eastAsia="仿宋"/>
          <w:sz w:val="28"/>
          <w:szCs w:val="28"/>
        </w:rPr>
        <w:t>扬州</w:t>
      </w:r>
      <w:r>
        <w:rPr>
          <w:rFonts w:hint="eastAsia" w:ascii="仿宋" w:hAnsi="仿宋" w:eastAsia="仿宋"/>
          <w:sz w:val="28"/>
          <w:szCs w:val="28"/>
          <w:lang w:val="en-US" w:eastAsia="zh-CN"/>
        </w:rPr>
        <w:t>荣德国际贸易</w:t>
      </w:r>
      <w:r>
        <w:rPr>
          <w:rFonts w:hint="eastAsia" w:ascii="仿宋" w:hAnsi="仿宋" w:eastAsia="仿宋"/>
          <w:sz w:val="28"/>
          <w:szCs w:val="28"/>
        </w:rPr>
        <w:t>有限公司管理人</w:t>
      </w:r>
    </w:p>
    <w:p w14:paraId="34EAE985">
      <w:pPr>
        <w:pageBreakBefore w:val="0"/>
        <w:kinsoku/>
        <w:wordWrap/>
        <w:overflowPunct/>
        <w:topLinePunct w:val="0"/>
        <w:autoSpaceDE/>
        <w:autoSpaceDN/>
        <w:bidi w:val="0"/>
        <w:adjustRightInd/>
        <w:snapToGrid/>
        <w:spacing w:line="560" w:lineRule="exact"/>
        <w:ind w:right="560"/>
        <w:jc w:val="right"/>
        <w:textAlignment w:val="auto"/>
        <w:rPr>
          <w:rFonts w:hint="default" w:ascii="仿宋" w:hAnsi="仿宋" w:eastAsia="仿宋" w:cs="宋体"/>
          <w:sz w:val="28"/>
          <w:szCs w:val="28"/>
          <w:lang w:val="en-US"/>
        </w:rPr>
      </w:pPr>
      <w:r>
        <w:rPr>
          <w:rFonts w:hint="eastAsia" w:ascii="仿宋" w:hAnsi="仿宋" w:eastAsia="仿宋" w:cs="宋体"/>
          <w:sz w:val="28"/>
          <w:szCs w:val="28"/>
          <w:lang w:val="en-US" w:eastAsia="zh-CN"/>
        </w:rPr>
        <w:t xml:space="preserve">                           2024年10月29日</w:t>
      </w:r>
    </w:p>
    <w:p w14:paraId="547FFAE8">
      <w:pPr>
        <w:pageBreakBefore w:val="0"/>
        <w:kinsoku/>
        <w:wordWrap/>
        <w:overflowPunct/>
        <w:topLinePunct w:val="0"/>
        <w:autoSpaceDE/>
        <w:autoSpaceDN/>
        <w:bidi w:val="0"/>
        <w:adjustRightInd/>
        <w:snapToGrid/>
        <w:spacing w:line="480" w:lineRule="exact"/>
        <w:ind w:right="561"/>
        <w:textAlignment w:val="auto"/>
        <w:rPr>
          <w:rFonts w:ascii="仿宋" w:hAnsi="仿宋" w:eastAsia="仿宋"/>
          <w:sz w:val="24"/>
          <w:szCs w:val="24"/>
          <w:u w:val="single"/>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B2FE5">
    <w:pPr>
      <w:pStyle w:val="6"/>
      <w:rPr>
        <w:rFonts w:hint="eastAsia" w:ascii="仿宋" w:hAnsi="仿宋" w:eastAsia="仿宋" w:cs="仿宋"/>
      </w:rPr>
    </w:pPr>
    <w:r>
      <w:ptab w:relativeTo="margin" w:alignment="center" w:leader="none"/>
    </w:r>
    <w:r>
      <w:ptab w:relativeTo="margin" w:alignment="right" w:leader="none"/>
    </w:r>
    <w:r>
      <w:rPr>
        <w:rFonts w:hint="eastAsia" w:ascii="仿宋" w:hAnsi="仿宋" w:eastAsia="仿宋" w:cs="仿宋"/>
        <w:b w:val="0"/>
        <w:bCs w:val="0"/>
        <w:color w:val="4E4B4A"/>
        <w:kern w:val="0"/>
        <w:sz w:val="18"/>
        <w:szCs w:val="18"/>
        <w:lang w:val="en-US" w:eastAsia="zh-CN" w:bidi="ar-SA"/>
      </w:rPr>
      <w:t>扬州荣德国际贸易有限公司管理人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1NWJlY2U0OWVkNTk3Y2FhMjIxNjhkM2MwNmFjODMifQ=="/>
  </w:docVars>
  <w:rsids>
    <w:rsidRoot w:val="00417DC1"/>
    <w:rsid w:val="00021F8B"/>
    <w:rsid w:val="000442DA"/>
    <w:rsid w:val="00092832"/>
    <w:rsid w:val="0009481C"/>
    <w:rsid w:val="000A0B2D"/>
    <w:rsid w:val="000B088D"/>
    <w:rsid w:val="000D0FB4"/>
    <w:rsid w:val="000E397E"/>
    <w:rsid w:val="00112B8D"/>
    <w:rsid w:val="0011673B"/>
    <w:rsid w:val="00137432"/>
    <w:rsid w:val="001E0237"/>
    <w:rsid w:val="00240F71"/>
    <w:rsid w:val="002B75EA"/>
    <w:rsid w:val="002D207D"/>
    <w:rsid w:val="00307A95"/>
    <w:rsid w:val="0038316F"/>
    <w:rsid w:val="00390D1B"/>
    <w:rsid w:val="00417DC1"/>
    <w:rsid w:val="00435859"/>
    <w:rsid w:val="00454E82"/>
    <w:rsid w:val="00461FBA"/>
    <w:rsid w:val="00461FCF"/>
    <w:rsid w:val="0048514B"/>
    <w:rsid w:val="004A0C94"/>
    <w:rsid w:val="004B578D"/>
    <w:rsid w:val="004B75D9"/>
    <w:rsid w:val="005C6253"/>
    <w:rsid w:val="005F24C6"/>
    <w:rsid w:val="006021E2"/>
    <w:rsid w:val="00611CEB"/>
    <w:rsid w:val="00626395"/>
    <w:rsid w:val="007146D9"/>
    <w:rsid w:val="00716DB0"/>
    <w:rsid w:val="007225D5"/>
    <w:rsid w:val="007311AA"/>
    <w:rsid w:val="00743078"/>
    <w:rsid w:val="00763E7A"/>
    <w:rsid w:val="00794A3B"/>
    <w:rsid w:val="008637D0"/>
    <w:rsid w:val="00880468"/>
    <w:rsid w:val="0088377A"/>
    <w:rsid w:val="00885A91"/>
    <w:rsid w:val="00980FED"/>
    <w:rsid w:val="009A1D10"/>
    <w:rsid w:val="009B5EB3"/>
    <w:rsid w:val="009C1ED6"/>
    <w:rsid w:val="00A50E23"/>
    <w:rsid w:val="00A62547"/>
    <w:rsid w:val="00BA0A21"/>
    <w:rsid w:val="00BC5267"/>
    <w:rsid w:val="00BE6F89"/>
    <w:rsid w:val="00C36A46"/>
    <w:rsid w:val="00C6658B"/>
    <w:rsid w:val="00C90F68"/>
    <w:rsid w:val="00C96F07"/>
    <w:rsid w:val="00CA1C00"/>
    <w:rsid w:val="00CA6E0C"/>
    <w:rsid w:val="00CC3503"/>
    <w:rsid w:val="00D1519E"/>
    <w:rsid w:val="00D22408"/>
    <w:rsid w:val="00D31C72"/>
    <w:rsid w:val="00D65497"/>
    <w:rsid w:val="00D76498"/>
    <w:rsid w:val="00DC5671"/>
    <w:rsid w:val="00DF381C"/>
    <w:rsid w:val="00E63DBA"/>
    <w:rsid w:val="00E913BE"/>
    <w:rsid w:val="00E933DF"/>
    <w:rsid w:val="00EB2952"/>
    <w:rsid w:val="00EE11AA"/>
    <w:rsid w:val="00F133EB"/>
    <w:rsid w:val="00F154FE"/>
    <w:rsid w:val="00F315D7"/>
    <w:rsid w:val="00F50CDF"/>
    <w:rsid w:val="00F8429B"/>
    <w:rsid w:val="00FA3EA9"/>
    <w:rsid w:val="01377C24"/>
    <w:rsid w:val="019279CB"/>
    <w:rsid w:val="024F5B5B"/>
    <w:rsid w:val="02BC2954"/>
    <w:rsid w:val="04B85FF7"/>
    <w:rsid w:val="07724E37"/>
    <w:rsid w:val="09664528"/>
    <w:rsid w:val="098D402B"/>
    <w:rsid w:val="0AC835A0"/>
    <w:rsid w:val="0E527771"/>
    <w:rsid w:val="118E0614"/>
    <w:rsid w:val="14A13BCB"/>
    <w:rsid w:val="16254FC2"/>
    <w:rsid w:val="17984446"/>
    <w:rsid w:val="1CD35F20"/>
    <w:rsid w:val="1D2B3667"/>
    <w:rsid w:val="1D7476DF"/>
    <w:rsid w:val="1E206F43"/>
    <w:rsid w:val="1EE73F05"/>
    <w:rsid w:val="1FC61E7C"/>
    <w:rsid w:val="20AA404A"/>
    <w:rsid w:val="2288021A"/>
    <w:rsid w:val="22EF3388"/>
    <w:rsid w:val="27743C38"/>
    <w:rsid w:val="28C11323"/>
    <w:rsid w:val="297A37D3"/>
    <w:rsid w:val="2B7362EB"/>
    <w:rsid w:val="2C1F3AC7"/>
    <w:rsid w:val="2D4F048A"/>
    <w:rsid w:val="312D1C4B"/>
    <w:rsid w:val="317342E5"/>
    <w:rsid w:val="32660FBD"/>
    <w:rsid w:val="32CB5119"/>
    <w:rsid w:val="32DA3C1E"/>
    <w:rsid w:val="33022C64"/>
    <w:rsid w:val="33DD47DA"/>
    <w:rsid w:val="33FE78CF"/>
    <w:rsid w:val="353335A8"/>
    <w:rsid w:val="363548A5"/>
    <w:rsid w:val="368110BD"/>
    <w:rsid w:val="371605F8"/>
    <w:rsid w:val="37667C65"/>
    <w:rsid w:val="37EA400A"/>
    <w:rsid w:val="37FF6EF3"/>
    <w:rsid w:val="3E2609B2"/>
    <w:rsid w:val="400017B2"/>
    <w:rsid w:val="446E05D4"/>
    <w:rsid w:val="459C0CF6"/>
    <w:rsid w:val="47130E02"/>
    <w:rsid w:val="48C447EC"/>
    <w:rsid w:val="4B176FE6"/>
    <w:rsid w:val="4D113D78"/>
    <w:rsid w:val="4DDA4436"/>
    <w:rsid w:val="4E376E44"/>
    <w:rsid w:val="53DE3845"/>
    <w:rsid w:val="57405985"/>
    <w:rsid w:val="5C5D2B35"/>
    <w:rsid w:val="5D5E6B65"/>
    <w:rsid w:val="5E9D36BD"/>
    <w:rsid w:val="5EEE3F19"/>
    <w:rsid w:val="5F7F7267"/>
    <w:rsid w:val="60797B1D"/>
    <w:rsid w:val="61120392"/>
    <w:rsid w:val="64D41149"/>
    <w:rsid w:val="65242950"/>
    <w:rsid w:val="66826704"/>
    <w:rsid w:val="68A008D8"/>
    <w:rsid w:val="6B1E7DED"/>
    <w:rsid w:val="6B293FE2"/>
    <w:rsid w:val="6B403D4E"/>
    <w:rsid w:val="6C021003"/>
    <w:rsid w:val="6D413F71"/>
    <w:rsid w:val="6DD32C57"/>
    <w:rsid w:val="6F481423"/>
    <w:rsid w:val="70082938"/>
    <w:rsid w:val="719B7F30"/>
    <w:rsid w:val="72A46970"/>
    <w:rsid w:val="72BD3ED6"/>
    <w:rsid w:val="75BC0475"/>
    <w:rsid w:val="77324E93"/>
    <w:rsid w:val="77E777A4"/>
    <w:rsid w:val="7A910CBC"/>
    <w:rsid w:val="7A911ED0"/>
    <w:rsid w:val="7A9921B7"/>
    <w:rsid w:val="7AD46261"/>
    <w:rsid w:val="7C777739"/>
    <w:rsid w:val="7D44621C"/>
    <w:rsid w:val="7DEE3DCD"/>
    <w:rsid w:val="7E3A462D"/>
    <w:rsid w:val="7E906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4"/>
    <w:qFormat/>
    <w:uiPriority w:val="9"/>
    <w:pPr>
      <w:keepNext/>
      <w:keepLines/>
      <w:spacing w:before="340" w:after="330" w:line="578" w:lineRule="auto"/>
      <w:jc w:val="center"/>
      <w:outlineLvl w:val="0"/>
    </w:pPr>
    <w:rPr>
      <w:rFonts w:eastAsia="仿宋"/>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0"/>
    <w:pPr>
      <w:ind w:left="100" w:leftChars="2500"/>
    </w:pPr>
  </w:style>
  <w:style w:type="paragraph" w:styleId="4">
    <w:name w:val="Balloon Text"/>
    <w:basedOn w:val="1"/>
    <w:link w:val="12"/>
    <w:unhideWhenUsed/>
    <w:qFormat/>
    <w:uiPriority w:val="0"/>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批注框文本 字符"/>
    <w:basedOn w:val="8"/>
    <w:link w:val="4"/>
    <w:semiHidden/>
    <w:qFormat/>
    <w:uiPriority w:val="0"/>
    <w:rPr>
      <w:rFonts w:ascii="Calibri" w:hAnsi="Calibri"/>
      <w:kern w:val="2"/>
      <w:sz w:val="18"/>
      <w:szCs w:val="18"/>
    </w:rPr>
  </w:style>
  <w:style w:type="character" w:customStyle="1" w:styleId="13">
    <w:name w:val="日期 字符"/>
    <w:basedOn w:val="8"/>
    <w:link w:val="3"/>
    <w:semiHidden/>
    <w:qFormat/>
    <w:uiPriority w:val="0"/>
    <w:rPr>
      <w:rFonts w:ascii="Calibri" w:hAnsi="Calibri"/>
      <w:kern w:val="2"/>
      <w:sz w:val="21"/>
      <w:szCs w:val="22"/>
    </w:rPr>
  </w:style>
  <w:style w:type="character" w:customStyle="1" w:styleId="14">
    <w:name w:val="标题 1 字符"/>
    <w:basedOn w:val="8"/>
    <w:link w:val="2"/>
    <w:qFormat/>
    <w:uiPriority w:val="9"/>
    <w:rPr>
      <w:rFonts w:ascii="Calibri" w:hAnsi="Calibri" w:eastAsia="仿宋"/>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639</Words>
  <Characters>676</Characters>
  <Lines>17</Lines>
  <Paragraphs>4</Paragraphs>
  <TotalTime>5</TotalTime>
  <ScaleCrop>false</ScaleCrop>
  <LinksUpToDate>false</LinksUpToDate>
  <CharactersWithSpaces>703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2015-09-21T10:23:00Z</dcterms:created>
  <dc:creator>LHN</dc:creator>
  <cp:lastModifiedBy>hey。star</cp:lastModifiedBy>
  <cp:lastPrinted>2019-12-11T05:52:00Z</cp:lastPrinted>
  <dcterms:modified xsi:type="dcterms:W3CDTF">2024-12-26T09:14:04Z</dcterms:modified>
  <dc:title>中国第二重型机械集团公司管理人</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C493F75A4ABC447684DD2826D2B220D0_13</vt:lpwstr>
  </property>
</Properties>
</file>