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5D9C" w14:textId="7CC28789" w:rsidR="000C4316" w:rsidRPr="00A52837" w:rsidRDefault="00AB007B" w:rsidP="0075058A">
      <w:pPr>
        <w:spacing w:after="187" w:line="259" w:lineRule="auto"/>
        <w:ind w:left="10" w:right="135"/>
        <w:jc w:val="center"/>
        <w:rPr>
          <w:rFonts w:ascii="黑体" w:eastAsia="黑体" w:hAnsi="黑体" w:hint="eastAsia"/>
          <w:sz w:val="36"/>
          <w:szCs w:val="36"/>
        </w:rPr>
      </w:pPr>
      <w:r w:rsidRPr="00A52837">
        <w:rPr>
          <w:rFonts w:ascii="黑体" w:eastAsia="黑体" w:hAnsi="黑体" w:cs="宋体" w:hint="eastAsia"/>
          <w:sz w:val="36"/>
          <w:szCs w:val="36"/>
        </w:rPr>
        <w:t>许昌恒源发制品</w:t>
      </w:r>
      <w:r w:rsidRPr="00A52837">
        <w:rPr>
          <w:rFonts w:ascii="黑体" w:eastAsia="黑体" w:hAnsi="黑体" w:cs="宋体"/>
          <w:sz w:val="36"/>
          <w:szCs w:val="36"/>
        </w:rPr>
        <w:t>股份有限公司</w:t>
      </w:r>
      <w:r w:rsidRPr="00A52837">
        <w:rPr>
          <w:rFonts w:ascii="黑体" w:eastAsia="黑体" w:hAnsi="黑体" w:cs="宋体" w:hint="eastAsia"/>
          <w:sz w:val="36"/>
          <w:szCs w:val="36"/>
        </w:rPr>
        <w:t>破产清算</w:t>
      </w:r>
      <w:r w:rsidRPr="00A52837">
        <w:rPr>
          <w:rFonts w:ascii="黑体" w:eastAsia="黑体" w:hAnsi="黑体" w:cs="宋体"/>
          <w:sz w:val="36"/>
          <w:szCs w:val="36"/>
        </w:rPr>
        <w:t>案</w:t>
      </w:r>
    </w:p>
    <w:p w14:paraId="27CF45C6" w14:textId="77777777" w:rsidR="0075058A" w:rsidRDefault="0075058A" w:rsidP="0075058A">
      <w:pPr>
        <w:spacing w:after="187" w:line="259" w:lineRule="auto"/>
        <w:ind w:left="10" w:right="135" w:firstLine="880"/>
        <w:jc w:val="center"/>
        <w:rPr>
          <w:rFonts w:ascii="黑体" w:eastAsia="黑体" w:hAnsi="黑体" w:cs="宋体"/>
          <w:sz w:val="36"/>
          <w:szCs w:val="36"/>
        </w:rPr>
      </w:pPr>
      <w:r>
        <w:rPr>
          <w:rFonts w:ascii="黑体" w:eastAsia="黑体" w:hAnsi="黑体" w:cs="宋体" w:hint="eastAsia"/>
          <w:sz w:val="36"/>
          <w:szCs w:val="36"/>
        </w:rPr>
        <w:t>之</w:t>
      </w:r>
    </w:p>
    <w:p w14:paraId="665FEDD5" w14:textId="0933EB1C" w:rsidR="0075058A" w:rsidRDefault="0075058A" w:rsidP="0075058A">
      <w:pPr>
        <w:spacing w:after="187" w:line="259" w:lineRule="auto"/>
        <w:ind w:left="10" w:right="135" w:firstLine="880"/>
        <w:rPr>
          <w:rFonts w:ascii="黑体" w:eastAsia="黑体" w:hAnsi="黑体" w:cs="宋体"/>
          <w:sz w:val="36"/>
          <w:szCs w:val="36"/>
        </w:rPr>
      </w:pPr>
      <w:r>
        <w:rPr>
          <w:rFonts w:ascii="黑体" w:eastAsia="黑体" w:hAnsi="黑体" w:cs="宋体" w:hint="eastAsia"/>
          <w:sz w:val="36"/>
          <w:szCs w:val="36"/>
        </w:rPr>
        <w:t>综合楼屋面整改及外墙维修工程</w:t>
      </w:r>
      <w:r w:rsidR="00000000" w:rsidRPr="00A52837">
        <w:rPr>
          <w:rFonts w:ascii="黑体" w:eastAsia="黑体" w:hAnsi="黑体" w:cs="宋体"/>
          <w:sz w:val="36"/>
          <w:szCs w:val="36"/>
        </w:rPr>
        <w:t>评估机构</w:t>
      </w:r>
    </w:p>
    <w:p w14:paraId="05466A29" w14:textId="540BDE67" w:rsidR="008D104E" w:rsidRPr="00A52837" w:rsidRDefault="00000000" w:rsidP="0075058A">
      <w:pPr>
        <w:spacing w:after="187" w:line="259" w:lineRule="auto"/>
        <w:ind w:left="10" w:right="135" w:firstLine="880"/>
        <w:jc w:val="center"/>
        <w:rPr>
          <w:rFonts w:ascii="黑体" w:eastAsia="黑体" w:hAnsi="黑体" w:hint="eastAsia"/>
          <w:sz w:val="36"/>
          <w:szCs w:val="36"/>
        </w:rPr>
      </w:pPr>
      <w:r w:rsidRPr="00A52837">
        <w:rPr>
          <w:rFonts w:ascii="黑体" w:eastAsia="黑体" w:hAnsi="黑体" w:cs="宋体"/>
          <w:sz w:val="36"/>
          <w:szCs w:val="36"/>
        </w:rPr>
        <w:t>遴选公告</w:t>
      </w:r>
    </w:p>
    <w:p w14:paraId="79635B1E" w14:textId="674DA39C" w:rsidR="008D104E" w:rsidRDefault="00AB007B" w:rsidP="00AB007B">
      <w:pPr>
        <w:ind w:left="-15" w:firstLine="560"/>
        <w:rPr>
          <w:rFonts w:hint="eastAsia"/>
        </w:rPr>
      </w:pPr>
      <w:r>
        <w:rPr>
          <w:rFonts w:hint="eastAsia"/>
        </w:rPr>
        <w:t>2015年12月30日，许昌市中级人民法院做出（2015）许</w:t>
      </w:r>
      <w:proofErr w:type="gramStart"/>
      <w:r>
        <w:rPr>
          <w:rFonts w:hint="eastAsia"/>
        </w:rPr>
        <w:t>中法破字</w:t>
      </w:r>
      <w:proofErr w:type="gramEnd"/>
      <w:r>
        <w:rPr>
          <w:rFonts w:hint="eastAsia"/>
        </w:rPr>
        <w:t>第5号民事裁定书，裁定受理申请人许昌万隆发饰品有限公司、朱万卯对许昌恒源发制品股份有限公司(以下简称恒源公司)的破产重整申请。同日，许昌市中级人民法院（2015）许</w:t>
      </w:r>
      <w:proofErr w:type="gramStart"/>
      <w:r>
        <w:rPr>
          <w:rFonts w:hint="eastAsia"/>
        </w:rPr>
        <w:t>中法破字</w:t>
      </w:r>
      <w:proofErr w:type="gramEnd"/>
      <w:r>
        <w:rPr>
          <w:rFonts w:hint="eastAsia"/>
        </w:rPr>
        <w:t>第5-2号民事决定书，指定河南君志合律师事务所为恒源公司破产</w:t>
      </w:r>
      <w:proofErr w:type="gramStart"/>
      <w:r>
        <w:rPr>
          <w:rFonts w:hint="eastAsia"/>
        </w:rPr>
        <w:t>重整案</w:t>
      </w:r>
      <w:proofErr w:type="gramEnd"/>
      <w:r>
        <w:rPr>
          <w:rFonts w:hint="eastAsia"/>
        </w:rPr>
        <w:t>的破产管理人。2019年3月8日，许昌市中级人民法院做出（2015）许</w:t>
      </w:r>
      <w:proofErr w:type="gramStart"/>
      <w:r>
        <w:rPr>
          <w:rFonts w:hint="eastAsia"/>
        </w:rPr>
        <w:t>中法破字</w:t>
      </w:r>
      <w:proofErr w:type="gramEnd"/>
      <w:r>
        <w:rPr>
          <w:rFonts w:hint="eastAsia"/>
        </w:rPr>
        <w:t>第5之28号民事裁定书，裁定批准《许昌恒源发制品股份有限公司重整计划（草案）》。</w:t>
      </w:r>
      <w:bookmarkStart w:id="0" w:name="_Hlk179316255"/>
      <w:r>
        <w:rPr>
          <w:rFonts w:hint="eastAsia"/>
        </w:rPr>
        <w:t>2024年</w:t>
      </w:r>
      <w:r w:rsidR="000D15D3">
        <w:rPr>
          <w:rFonts w:hint="eastAsia"/>
        </w:rPr>
        <w:t>10</w:t>
      </w:r>
      <w:r>
        <w:rPr>
          <w:rFonts w:hint="eastAsia"/>
        </w:rPr>
        <w:t>月</w:t>
      </w:r>
      <w:r w:rsidR="000D15D3">
        <w:rPr>
          <w:rFonts w:hint="eastAsia"/>
        </w:rPr>
        <w:t>12</w:t>
      </w:r>
      <w:r>
        <w:rPr>
          <w:rFonts w:hint="eastAsia"/>
        </w:rPr>
        <w:t>日，许昌市中级人民法院</w:t>
      </w:r>
      <w:r w:rsidR="000D15D3">
        <w:rPr>
          <w:rFonts w:hint="eastAsia"/>
        </w:rPr>
        <w:t>向恒源公司送达</w:t>
      </w:r>
      <w:r w:rsidRPr="00AB007B">
        <w:rPr>
          <w:rFonts w:hint="eastAsia"/>
        </w:rPr>
        <w:t>（2015）许</w:t>
      </w:r>
      <w:proofErr w:type="gramStart"/>
      <w:r w:rsidRPr="00AB007B">
        <w:rPr>
          <w:rFonts w:hint="eastAsia"/>
        </w:rPr>
        <w:t>中法破字</w:t>
      </w:r>
      <w:proofErr w:type="gramEnd"/>
      <w:r w:rsidRPr="00AB007B">
        <w:rPr>
          <w:rFonts w:hint="eastAsia"/>
        </w:rPr>
        <w:t>第5之</w:t>
      </w:r>
      <w:r w:rsidR="00F65FAA">
        <w:rPr>
          <w:rFonts w:hint="eastAsia"/>
        </w:rPr>
        <w:t>33</w:t>
      </w:r>
      <w:r w:rsidRPr="00AB007B">
        <w:rPr>
          <w:rFonts w:hint="eastAsia"/>
        </w:rPr>
        <w:t>号民事裁定书</w:t>
      </w:r>
      <w:r>
        <w:rPr>
          <w:rFonts w:hint="eastAsia"/>
        </w:rPr>
        <w:t>，终止恒源公司重整计划的执行，宣告恒源公司破产。</w:t>
      </w:r>
      <w:bookmarkEnd w:id="0"/>
      <w:r w:rsidR="0075058A">
        <w:rPr>
          <w:rFonts w:hint="eastAsia"/>
        </w:rPr>
        <w:t>现</w:t>
      </w:r>
      <w:r>
        <w:t>管理人</w:t>
      </w:r>
      <w:r w:rsidR="0075058A">
        <w:rPr>
          <w:rFonts w:hint="eastAsia"/>
        </w:rPr>
        <w:t>就许昌恒源发制品股份有限公司综合楼屋面整改及外墙维修工程</w:t>
      </w:r>
      <w:r>
        <w:t>决定依法公开遴选评估服务机构，</w:t>
      </w:r>
      <w:r w:rsidR="0075058A">
        <w:rPr>
          <w:rFonts w:hint="eastAsia"/>
        </w:rPr>
        <w:t>特发布</w:t>
      </w:r>
      <w:r>
        <w:t>公告如下：</w:t>
      </w:r>
    </w:p>
    <w:p w14:paraId="39BC1DFA" w14:textId="23248D99" w:rsidR="000C4316" w:rsidRDefault="00000000" w:rsidP="0075058A">
      <w:pPr>
        <w:pStyle w:val="1"/>
        <w:adjustRightInd w:val="0"/>
        <w:snapToGrid w:val="0"/>
        <w:spacing w:after="0"/>
        <w:ind w:left="0" w:firstLineChars="200" w:firstLine="560"/>
        <w:rPr>
          <w:rFonts w:hint="eastAsia"/>
        </w:rPr>
      </w:pPr>
      <w:r>
        <w:t>一、</w:t>
      </w:r>
      <w:r w:rsidR="0075058A">
        <w:rPr>
          <w:rFonts w:hint="eastAsia"/>
        </w:rPr>
        <w:t>工程</w:t>
      </w:r>
      <w:r>
        <w:t xml:space="preserve">基本情况 </w:t>
      </w:r>
    </w:p>
    <w:p w14:paraId="0ADFBE87" w14:textId="2C3C7110" w:rsidR="0075058A" w:rsidRDefault="0075058A" w:rsidP="000C4316">
      <w:pPr>
        <w:adjustRightInd w:val="0"/>
        <w:snapToGrid w:val="0"/>
        <w:spacing w:after="0" w:line="259" w:lineRule="auto"/>
        <w:ind w:firstLineChars="200" w:firstLine="560"/>
      </w:pPr>
      <w:r>
        <w:rPr>
          <w:rFonts w:hint="eastAsia"/>
        </w:rPr>
        <w:t>1、工程位置：</w:t>
      </w:r>
      <w:r w:rsidRPr="0075058A">
        <w:rPr>
          <w:rFonts w:hint="eastAsia"/>
        </w:rPr>
        <w:t>许昌恒源发制品股份有限公司综合楼</w:t>
      </w:r>
      <w:r>
        <w:rPr>
          <w:rFonts w:hint="eastAsia"/>
        </w:rPr>
        <w:t>位于许昌恒源发制品股份有限公司总厂院内。</w:t>
      </w:r>
    </w:p>
    <w:p w14:paraId="51FEDF46" w14:textId="1739CB37" w:rsidR="0075058A" w:rsidRDefault="0075058A" w:rsidP="000C4316">
      <w:pPr>
        <w:adjustRightInd w:val="0"/>
        <w:snapToGrid w:val="0"/>
        <w:spacing w:after="0" w:line="259" w:lineRule="auto"/>
        <w:ind w:firstLineChars="200" w:firstLine="560"/>
      </w:pPr>
      <w:r>
        <w:rPr>
          <w:rFonts w:hint="eastAsia"/>
        </w:rPr>
        <w:t>2、工程名称：</w:t>
      </w:r>
      <w:r w:rsidRPr="0075058A">
        <w:rPr>
          <w:rFonts w:hint="eastAsia"/>
        </w:rPr>
        <w:t>许昌恒源发制品股份有限公司综合楼屋面整改及外墙维修工程</w:t>
      </w:r>
      <w:r>
        <w:rPr>
          <w:rFonts w:hint="eastAsia"/>
        </w:rPr>
        <w:t>。</w:t>
      </w:r>
    </w:p>
    <w:p w14:paraId="6B013BB0" w14:textId="3FC9CD68" w:rsidR="0075058A" w:rsidRDefault="0075058A" w:rsidP="000C4316">
      <w:pPr>
        <w:adjustRightInd w:val="0"/>
        <w:snapToGrid w:val="0"/>
        <w:spacing w:after="0" w:line="259" w:lineRule="auto"/>
        <w:ind w:firstLineChars="200" w:firstLine="560"/>
        <w:rPr>
          <w:rFonts w:hint="eastAsia"/>
        </w:rPr>
      </w:pPr>
      <w:r>
        <w:rPr>
          <w:rFonts w:hint="eastAsia"/>
        </w:rPr>
        <w:t>3、工程总造价43万元。</w:t>
      </w:r>
    </w:p>
    <w:p w14:paraId="53B780CD" w14:textId="20A45396" w:rsidR="008D104E" w:rsidRDefault="0075058A" w:rsidP="0075058A">
      <w:pPr>
        <w:pStyle w:val="a3"/>
        <w:numPr>
          <w:ilvl w:val="0"/>
          <w:numId w:val="15"/>
        </w:numPr>
        <w:spacing w:after="165" w:line="259" w:lineRule="auto"/>
        <w:ind w:firstLineChars="0"/>
        <w:rPr>
          <w:rFonts w:hint="eastAsia"/>
        </w:rPr>
      </w:pPr>
      <w:r w:rsidRPr="0075058A">
        <w:rPr>
          <w:rFonts w:ascii="楷体" w:eastAsia="楷体" w:hAnsi="楷体" w:cs="楷体" w:hint="eastAsia"/>
        </w:rPr>
        <w:t>评估机构</w:t>
      </w:r>
      <w:r w:rsidR="00000000" w:rsidRPr="0075058A">
        <w:rPr>
          <w:rFonts w:ascii="楷体" w:eastAsia="楷体" w:hAnsi="楷体" w:cs="楷体"/>
        </w:rPr>
        <w:t xml:space="preserve">服务内容 </w:t>
      </w:r>
    </w:p>
    <w:p w14:paraId="68743480" w14:textId="71C642A1" w:rsidR="0075058A" w:rsidRPr="00F74166" w:rsidRDefault="00F74166" w:rsidP="00F74166">
      <w:pPr>
        <w:adjustRightInd w:val="0"/>
        <w:snapToGrid w:val="0"/>
        <w:spacing w:after="0" w:line="259" w:lineRule="auto"/>
        <w:ind w:firstLineChars="200" w:firstLine="560"/>
        <w:rPr>
          <w:rFonts w:hint="eastAsia"/>
        </w:rPr>
      </w:pPr>
      <w:r w:rsidRPr="00F74166">
        <w:rPr>
          <w:rFonts w:hint="eastAsia"/>
        </w:rPr>
        <w:t>评估</w:t>
      </w:r>
      <w:r>
        <w:rPr>
          <w:rFonts w:hint="eastAsia"/>
        </w:rPr>
        <w:t>上述</w:t>
      </w:r>
      <w:r w:rsidR="0075058A" w:rsidRPr="00F74166">
        <w:rPr>
          <w:rFonts w:hint="eastAsia"/>
        </w:rPr>
        <w:t>施工工程结算价，出具合法</w:t>
      </w:r>
      <w:r w:rsidR="0088530B" w:rsidRPr="00F74166">
        <w:rPr>
          <w:rFonts w:hint="eastAsia"/>
        </w:rPr>
        <w:t>有效</w:t>
      </w:r>
      <w:r w:rsidR="0075058A" w:rsidRPr="00F74166">
        <w:rPr>
          <w:rFonts w:hint="eastAsia"/>
        </w:rPr>
        <w:t>的评估报告。</w:t>
      </w:r>
    </w:p>
    <w:p w14:paraId="63DD2CB3" w14:textId="216F5856" w:rsidR="008D104E" w:rsidRDefault="0088530B" w:rsidP="0075058A">
      <w:pPr>
        <w:pStyle w:val="1"/>
        <w:ind w:firstLine="0"/>
        <w:rPr>
          <w:rFonts w:hint="eastAsia"/>
        </w:rPr>
      </w:pPr>
      <w:r>
        <w:rPr>
          <w:rFonts w:hint="eastAsia"/>
        </w:rPr>
        <w:t>三、</w:t>
      </w:r>
      <w:r w:rsidR="00000000">
        <w:t xml:space="preserve">参选机构资格要求 </w:t>
      </w:r>
    </w:p>
    <w:p w14:paraId="63069586" w14:textId="5B694825" w:rsidR="008D104E" w:rsidRDefault="004C2703" w:rsidP="004C2703">
      <w:pPr>
        <w:ind w:firstLineChars="200" w:firstLine="560"/>
        <w:rPr>
          <w:rFonts w:hint="eastAsia"/>
        </w:rPr>
      </w:pPr>
      <w:r>
        <w:rPr>
          <w:rFonts w:hint="eastAsia"/>
        </w:rPr>
        <w:t>1、</w:t>
      </w:r>
      <w:r>
        <w:t>在中国境内注册，具有独立承担民事责任的法人、其他组织，并具备国家行业主管部门颁发的有效执业资格，同时入选人民法院诉讼</w:t>
      </w:r>
      <w:proofErr w:type="gramStart"/>
      <w:r>
        <w:t>资产网</w:t>
      </w:r>
      <w:proofErr w:type="gramEnd"/>
      <w:r>
        <w:t xml:space="preserve">审计、评估机构名录；具有相应资质,能独立承担民事责任能力的中介机构。 </w:t>
      </w:r>
    </w:p>
    <w:p w14:paraId="39C787D2" w14:textId="1E37813B" w:rsidR="004C2703" w:rsidRDefault="004C2703" w:rsidP="004C2703">
      <w:pPr>
        <w:ind w:firstLineChars="200" w:firstLine="560"/>
        <w:rPr>
          <w:rFonts w:hint="eastAsia"/>
        </w:rPr>
      </w:pPr>
      <w:r>
        <w:rPr>
          <w:rFonts w:hint="eastAsia"/>
        </w:rPr>
        <w:lastRenderedPageBreak/>
        <w:t>2、</w:t>
      </w:r>
      <w:r>
        <w:t xml:space="preserve">专业能力强,人员充足,尊重委托人安排,能够在约定的时间内完成评估工作。  </w:t>
      </w:r>
    </w:p>
    <w:p w14:paraId="67A5C912" w14:textId="77777777" w:rsidR="0088530B" w:rsidRDefault="004C2703" w:rsidP="0088530B">
      <w:pPr>
        <w:ind w:firstLineChars="200" w:firstLine="560"/>
      </w:pPr>
      <w:r>
        <w:rPr>
          <w:rFonts w:hint="eastAsia"/>
        </w:rPr>
        <w:t>3、</w:t>
      </w:r>
      <w:r w:rsidR="00C46B4A">
        <w:t xml:space="preserve">近3年内在经营活动中没有重大违法记录和近三年无行贿犯罪记录及重大诉讼。  </w:t>
      </w:r>
    </w:p>
    <w:p w14:paraId="43D52FD7" w14:textId="77777777" w:rsidR="0088530B" w:rsidRDefault="0088530B" w:rsidP="0088530B">
      <w:pPr>
        <w:ind w:firstLineChars="200" w:firstLine="560"/>
      </w:pPr>
      <w:r>
        <w:rPr>
          <w:rFonts w:hint="eastAsia"/>
        </w:rPr>
        <w:t>4、</w:t>
      </w:r>
      <w:r w:rsidR="00000000">
        <w:t xml:space="preserve">参选机构及其从业人员近三年内未因执业、经营中故意或重大过失等受到行政机关、监督机构、人民法院或行业自律组织的处罚或处分，无社会负面影响，无不良信用信息记录（提供网页截图并加盖机构公章）。  </w:t>
      </w:r>
    </w:p>
    <w:p w14:paraId="06F1CC2F" w14:textId="33616558" w:rsidR="008D104E" w:rsidRDefault="0088530B" w:rsidP="0088530B">
      <w:pPr>
        <w:ind w:firstLineChars="200" w:firstLine="560"/>
        <w:rPr>
          <w:rFonts w:hint="eastAsia"/>
        </w:rPr>
      </w:pPr>
      <w:r>
        <w:rPr>
          <w:rFonts w:hint="eastAsia"/>
        </w:rPr>
        <w:t>5、</w:t>
      </w:r>
      <w:r w:rsidR="00000000">
        <w:t>参选机构</w:t>
      </w:r>
      <w:r w:rsidR="00F74166">
        <w:rPr>
          <w:rFonts w:hint="eastAsia"/>
        </w:rPr>
        <w:t>、评估</w:t>
      </w:r>
      <w:r w:rsidR="00000000">
        <w:t>人员与</w:t>
      </w:r>
      <w:r w:rsidR="00F74166">
        <w:rPr>
          <w:rFonts w:hint="eastAsia"/>
        </w:rPr>
        <w:t>利益</w:t>
      </w:r>
      <w:r w:rsidR="00000000">
        <w:t>相关</w:t>
      </w:r>
      <w:r w:rsidR="00F74166">
        <w:rPr>
          <w:rFonts w:hint="eastAsia"/>
        </w:rPr>
        <w:t>方</w:t>
      </w:r>
      <w:r w:rsidR="00000000">
        <w:t>不存在利害关系，或者其他可能影响正常履职的关系。</w:t>
      </w:r>
      <w:r w:rsidR="00053711">
        <w:t xml:space="preserve"> </w:t>
      </w:r>
    </w:p>
    <w:p w14:paraId="7DADF74A" w14:textId="77777777" w:rsidR="008D104E" w:rsidRDefault="00000000" w:rsidP="00C1730D">
      <w:pPr>
        <w:pStyle w:val="1"/>
        <w:rPr>
          <w:rFonts w:hint="eastAsia"/>
        </w:rPr>
      </w:pPr>
      <w:r>
        <w:t xml:space="preserve">四、参选文件 </w:t>
      </w:r>
    </w:p>
    <w:p w14:paraId="15F4C700" w14:textId="77777777" w:rsidR="008D104E" w:rsidRDefault="00000000">
      <w:pPr>
        <w:ind w:left="-15" w:firstLine="560"/>
        <w:rPr>
          <w:rFonts w:hint="eastAsia"/>
        </w:rPr>
      </w:pPr>
      <w:r>
        <w:t xml:space="preserve">参选机构应向管理人提交参选文件及与之内容相对应的支持性文件。参选文件应包括以下内容，并加盖公章： </w:t>
      </w:r>
    </w:p>
    <w:p w14:paraId="6A82FAE0" w14:textId="77777777" w:rsidR="008D104E" w:rsidRDefault="00000000">
      <w:pPr>
        <w:ind w:left="-15" w:firstLine="560"/>
        <w:rPr>
          <w:rFonts w:hint="eastAsia"/>
        </w:rPr>
      </w:pPr>
      <w:r>
        <w:t xml:space="preserve">1.参选机构基本情况的相关材料，包括参选机构成立时间、规模、基本情况介绍，企业法人营业执照副本和资质证书复印件，法定代表人身份证明文件及身份证复印件，联系人姓名、联系电话、电子邮箱、拥有专业职称人数等。 </w:t>
      </w:r>
    </w:p>
    <w:p w14:paraId="3E6091E9" w14:textId="13D6C31D" w:rsidR="008D104E" w:rsidRDefault="00000000" w:rsidP="00F74166">
      <w:pPr>
        <w:ind w:left="-15" w:firstLine="560"/>
        <w:rPr>
          <w:rFonts w:hint="eastAsia"/>
        </w:rPr>
      </w:pPr>
      <w:r>
        <w:t>2</w:t>
      </w:r>
      <w:r w:rsidR="00F74166">
        <w:rPr>
          <w:rFonts w:hint="eastAsia"/>
        </w:rPr>
        <w:t>．评估人员</w:t>
      </w:r>
      <w:r>
        <w:t>名单</w:t>
      </w:r>
      <w:r w:rsidR="00F74166">
        <w:rPr>
          <w:rFonts w:hint="eastAsia"/>
        </w:rPr>
        <w:t>，</w:t>
      </w:r>
      <w:r>
        <w:t>并</w:t>
      </w:r>
      <w:proofErr w:type="gramStart"/>
      <w:r>
        <w:t>附基本</w:t>
      </w:r>
      <w:proofErr w:type="gramEnd"/>
      <w:r>
        <w:t xml:space="preserve">信息，包括姓名、联系电话及其专业资格、职称证明材料等。 </w:t>
      </w:r>
    </w:p>
    <w:p w14:paraId="19CA7A41" w14:textId="15FB1E57" w:rsidR="008D104E" w:rsidRDefault="00000000" w:rsidP="00053711">
      <w:pPr>
        <w:spacing w:after="166" w:line="259" w:lineRule="auto"/>
        <w:ind w:left="10" w:right="1129" w:firstLine="560"/>
        <w:rPr>
          <w:rFonts w:hint="eastAsia"/>
        </w:rPr>
      </w:pPr>
      <w:r>
        <w:t>4.评估</w:t>
      </w:r>
      <w:r w:rsidR="00053711">
        <w:rPr>
          <w:rFonts w:hint="eastAsia"/>
        </w:rPr>
        <w:t>业务</w:t>
      </w:r>
      <w:r>
        <w:t>报价方案，</w:t>
      </w:r>
    </w:p>
    <w:p w14:paraId="07C0C497" w14:textId="74388CD9" w:rsidR="008D104E" w:rsidRDefault="00000000">
      <w:pPr>
        <w:ind w:left="-15" w:firstLine="560"/>
        <w:rPr>
          <w:rFonts w:hint="eastAsia"/>
        </w:rPr>
      </w:pPr>
      <w:r>
        <w:t xml:space="preserve">报价应包括完成本项目服务所包括的服务费、差旅费、交通费等一切费用；本项目所有报价须为含税报价，各中选单位须提供增值税专用发票。 </w:t>
      </w:r>
    </w:p>
    <w:p w14:paraId="09429872" w14:textId="77777777" w:rsidR="008D104E" w:rsidRDefault="00000000" w:rsidP="00053711">
      <w:pPr>
        <w:spacing w:after="165" w:line="259" w:lineRule="auto"/>
        <w:ind w:firstLineChars="200" w:firstLine="560"/>
        <w:rPr>
          <w:rFonts w:hint="eastAsia"/>
        </w:rPr>
      </w:pPr>
      <w:r>
        <w:t xml:space="preserve">五、提交参选文件 </w:t>
      </w:r>
    </w:p>
    <w:p w14:paraId="7C518602" w14:textId="3C28D1A7" w:rsidR="000D15D3" w:rsidRDefault="000D15D3" w:rsidP="000D15D3">
      <w:pPr>
        <w:spacing w:after="0" w:line="259" w:lineRule="auto"/>
        <w:ind w:firstLineChars="200" w:firstLine="560"/>
        <w:rPr>
          <w:rFonts w:hint="eastAsia"/>
        </w:rPr>
      </w:pPr>
      <w:r>
        <w:t>1.参选单位应于2024年1</w:t>
      </w:r>
      <w:r w:rsidR="00F74166">
        <w:rPr>
          <w:rFonts w:hint="eastAsia"/>
        </w:rPr>
        <w:t>2</w:t>
      </w:r>
      <w:r>
        <w:t>月</w:t>
      </w:r>
      <w:r w:rsidR="00F74166">
        <w:rPr>
          <w:rFonts w:hint="eastAsia"/>
        </w:rPr>
        <w:t>25</w:t>
      </w:r>
      <w:r>
        <w:t>日1</w:t>
      </w:r>
      <w:r>
        <w:rPr>
          <w:rFonts w:hint="eastAsia"/>
        </w:rPr>
        <w:t>0</w:t>
      </w:r>
      <w:r>
        <w:t>时30分之前将</w:t>
      </w:r>
      <w:r>
        <w:rPr>
          <w:rFonts w:hint="eastAsia"/>
        </w:rPr>
        <w:t>参选</w:t>
      </w:r>
      <w:r>
        <w:t>材料</w:t>
      </w:r>
      <w:r>
        <w:rPr>
          <w:rFonts w:hint="eastAsia"/>
        </w:rPr>
        <w:t>封装完好报送至许昌市城乡一体化示范区元鼎国际A座13层，联系人：宋律师，电话：15136875266。（报送材料请提前联系预约）</w:t>
      </w:r>
    </w:p>
    <w:p w14:paraId="5E8F06C4" w14:textId="77777777" w:rsidR="000D15D3" w:rsidRDefault="000D15D3" w:rsidP="000D15D3">
      <w:pPr>
        <w:spacing w:after="0" w:line="259" w:lineRule="auto"/>
        <w:ind w:firstLineChars="200" w:firstLine="560"/>
        <w:rPr>
          <w:rFonts w:hint="eastAsia"/>
        </w:rPr>
      </w:pPr>
      <w:r>
        <w:rPr>
          <w:rFonts w:hint="eastAsia"/>
        </w:rPr>
        <w:t>2、管理人将在两日内完成评选，并通知中选中介机构。对于已递交材料但未被选中的机构，管理人不再另行通知。</w:t>
      </w:r>
    </w:p>
    <w:p w14:paraId="7621D1D8" w14:textId="583BE2C4" w:rsidR="008D104E" w:rsidRDefault="000D15D3" w:rsidP="008D4905">
      <w:pPr>
        <w:ind w:right="274" w:firstLineChars="200" w:firstLine="560"/>
        <w:rPr>
          <w:rFonts w:hint="eastAsia"/>
        </w:rPr>
      </w:pPr>
      <w:r>
        <w:rPr>
          <w:rFonts w:ascii="楷体" w:eastAsia="楷体" w:hAnsi="楷体" w:cs="楷体" w:hint="eastAsia"/>
        </w:rPr>
        <w:lastRenderedPageBreak/>
        <w:t>六</w:t>
      </w:r>
      <w:r>
        <w:rPr>
          <w:rFonts w:ascii="楷体" w:eastAsia="楷体" w:hAnsi="楷体" w:cs="楷体"/>
        </w:rPr>
        <w:t xml:space="preserve">、特别说明 </w:t>
      </w:r>
    </w:p>
    <w:p w14:paraId="7F06AFB9" w14:textId="77777777" w:rsidR="000D15D3" w:rsidRDefault="00000000" w:rsidP="000D15D3">
      <w:pPr>
        <w:ind w:left="-15" w:firstLine="560"/>
        <w:rPr>
          <w:rFonts w:hint="eastAsia"/>
        </w:rPr>
      </w:pPr>
      <w:r>
        <w:t xml:space="preserve">1.本项目服务机构遴选，管理人将结合参选机构资质条件及报价综合评选，资格条件同等的条件下，优先考虑报价因素，但参选机构无相关行业执业经验且明显不合理低价的除外。 </w:t>
      </w:r>
    </w:p>
    <w:p w14:paraId="71F364C2" w14:textId="3E904178" w:rsidR="008D104E" w:rsidRDefault="00000000" w:rsidP="000D15D3">
      <w:pPr>
        <w:ind w:left="-15" w:firstLine="560"/>
        <w:rPr>
          <w:rFonts w:hint="eastAsia"/>
        </w:rPr>
      </w:pPr>
      <w:r>
        <w:t>2.管理人将与选定的参选机构签订委托合同书，就双方的权利义务</w:t>
      </w:r>
      <w:proofErr w:type="gramStart"/>
      <w:r>
        <w:t>作出</w:t>
      </w:r>
      <w:proofErr w:type="gramEnd"/>
      <w:r>
        <w:t xml:space="preserve">明确约定；同时，管理人将选取本项目备选服务单位；未被选聘的参选机构，管理人不再另行通知。 </w:t>
      </w:r>
    </w:p>
    <w:p w14:paraId="216D65A2" w14:textId="77777777" w:rsidR="008D104E" w:rsidRDefault="00000000">
      <w:pPr>
        <w:spacing w:after="1" w:line="368" w:lineRule="auto"/>
        <w:ind w:left="-15" w:right="133" w:firstLine="560"/>
        <w:jc w:val="both"/>
        <w:rPr>
          <w:rFonts w:hint="eastAsia"/>
        </w:rPr>
      </w:pPr>
      <w:r>
        <w:t xml:space="preserve">3.当本项目中选单位未签署委托合同书，或服务过程中出现被解除、终止服务情形时，管理人将直接选定备选服务单位作为本项目服务机构。 </w:t>
      </w:r>
    </w:p>
    <w:p w14:paraId="49BF6CE0" w14:textId="1014D753" w:rsidR="001F7581" w:rsidRDefault="00F74166" w:rsidP="008D4905">
      <w:pPr>
        <w:spacing w:after="165" w:line="259" w:lineRule="auto"/>
        <w:ind w:firstLineChars="200" w:firstLine="560"/>
        <w:rPr>
          <w:rFonts w:hint="eastAsia"/>
        </w:rPr>
      </w:pPr>
      <w:r>
        <w:rPr>
          <w:rFonts w:hint="eastAsia"/>
        </w:rPr>
        <w:t>4</w:t>
      </w:r>
      <w:r w:rsidR="001F7581">
        <w:t>.本公告最终解释权归</w:t>
      </w:r>
      <w:r w:rsidR="008D4905">
        <w:rPr>
          <w:rFonts w:hint="eastAsia"/>
        </w:rPr>
        <w:t>许昌恒源发制品</w:t>
      </w:r>
      <w:r w:rsidR="001F7581">
        <w:t>股份有限公司</w:t>
      </w:r>
      <w:r>
        <w:rPr>
          <w:rFonts w:hint="eastAsia"/>
        </w:rPr>
        <w:t>破产</w:t>
      </w:r>
      <w:r w:rsidR="001F7581">
        <w:t>管理人。</w:t>
      </w:r>
    </w:p>
    <w:p w14:paraId="06350D2C" w14:textId="77777777" w:rsidR="001F7581" w:rsidRDefault="001F7581" w:rsidP="008D4905">
      <w:pPr>
        <w:spacing w:after="165" w:line="259" w:lineRule="auto"/>
        <w:ind w:firstLineChars="200" w:firstLine="560"/>
        <w:rPr>
          <w:rFonts w:hint="eastAsia"/>
        </w:rPr>
      </w:pPr>
      <w:r>
        <w:rPr>
          <w:rFonts w:hint="eastAsia"/>
        </w:rPr>
        <w:t>六、管理人联系方式</w:t>
      </w:r>
    </w:p>
    <w:p w14:paraId="0C632A75" w14:textId="68FB4518" w:rsidR="001F7581" w:rsidRDefault="000D15D3" w:rsidP="008D4905">
      <w:pPr>
        <w:spacing w:after="165" w:line="259" w:lineRule="auto"/>
        <w:ind w:firstLineChars="200" w:firstLine="560"/>
        <w:rPr>
          <w:rFonts w:hint="eastAsia"/>
        </w:rPr>
      </w:pPr>
      <w:r>
        <w:rPr>
          <w:rFonts w:hint="eastAsia"/>
        </w:rPr>
        <w:t xml:space="preserve">宋律师 </w:t>
      </w:r>
      <w:r w:rsidR="00F74166">
        <w:rPr>
          <w:rFonts w:hint="eastAsia"/>
        </w:rPr>
        <w:t>19727349709。</w:t>
      </w:r>
    </w:p>
    <w:p w14:paraId="358EF1B9" w14:textId="7E5A401F" w:rsidR="001F7581" w:rsidRDefault="000D15D3" w:rsidP="008D4905">
      <w:pPr>
        <w:spacing w:after="165" w:line="259" w:lineRule="auto"/>
        <w:ind w:firstLineChars="200" w:firstLine="560"/>
        <w:rPr>
          <w:rFonts w:hint="eastAsia"/>
        </w:rPr>
      </w:pPr>
      <w:r>
        <w:rPr>
          <w:rFonts w:hint="eastAsia"/>
        </w:rPr>
        <w:t>办公地址：</w:t>
      </w:r>
      <w:r w:rsidRPr="000D15D3">
        <w:rPr>
          <w:rFonts w:hint="eastAsia"/>
        </w:rPr>
        <w:t>许昌市城乡一体化示范区元鼎国际A座</w:t>
      </w:r>
      <w:r>
        <w:rPr>
          <w:rFonts w:hint="eastAsia"/>
        </w:rPr>
        <w:t>河南君志合律师事务所。</w:t>
      </w:r>
    </w:p>
    <w:p w14:paraId="7CE0B4C4" w14:textId="53606EFE" w:rsidR="008D104E" w:rsidRDefault="00000000" w:rsidP="008D4905">
      <w:pPr>
        <w:spacing w:after="165" w:line="259" w:lineRule="auto"/>
        <w:ind w:firstLineChars="200" w:firstLine="560"/>
        <w:rPr>
          <w:rFonts w:hint="eastAsia"/>
        </w:rPr>
      </w:pPr>
      <w:r>
        <w:t xml:space="preserve"> </w:t>
      </w:r>
    </w:p>
    <w:p w14:paraId="5383B6E4" w14:textId="77777777" w:rsidR="008D104E" w:rsidRDefault="00000000">
      <w:pPr>
        <w:spacing w:after="167" w:line="259" w:lineRule="auto"/>
        <w:ind w:firstLine="560"/>
        <w:rPr>
          <w:rFonts w:hint="eastAsia"/>
        </w:rPr>
      </w:pPr>
      <w:r>
        <w:t xml:space="preserve"> </w:t>
      </w:r>
    </w:p>
    <w:p w14:paraId="1235ADCB" w14:textId="28C3DC64" w:rsidR="008D104E" w:rsidRDefault="00000000">
      <w:pPr>
        <w:spacing w:after="166" w:line="259" w:lineRule="auto"/>
        <w:ind w:left="10" w:right="134" w:firstLine="560"/>
        <w:jc w:val="right"/>
        <w:rPr>
          <w:rFonts w:hint="eastAsia"/>
        </w:rPr>
      </w:pPr>
      <w:r>
        <w:t xml:space="preserve"> </w:t>
      </w:r>
      <w:r w:rsidR="008D4905">
        <w:rPr>
          <w:rFonts w:hint="eastAsia"/>
        </w:rPr>
        <w:t>许昌恒源发制品</w:t>
      </w:r>
      <w:r>
        <w:t>股份有限公司</w:t>
      </w:r>
      <w:r w:rsidR="00F74166">
        <w:rPr>
          <w:rFonts w:hint="eastAsia"/>
        </w:rPr>
        <w:t>破产</w:t>
      </w:r>
      <w:r>
        <w:t xml:space="preserve">管理人 </w:t>
      </w:r>
    </w:p>
    <w:p w14:paraId="3058FAEC" w14:textId="75D2D853" w:rsidR="008D104E" w:rsidRDefault="00000000">
      <w:pPr>
        <w:pStyle w:val="1"/>
        <w:spacing w:after="0"/>
        <w:ind w:left="0" w:firstLine="560"/>
        <w:rPr>
          <w:rFonts w:hint="eastAsia"/>
        </w:rPr>
      </w:pPr>
      <w:r>
        <w:rPr>
          <w:rFonts w:ascii="仿宋" w:eastAsia="仿宋" w:hAnsi="仿宋" w:cs="仿宋"/>
        </w:rPr>
        <w:t xml:space="preserve">                                       2024年1</w:t>
      </w:r>
      <w:r w:rsidR="00F74166">
        <w:rPr>
          <w:rFonts w:ascii="仿宋" w:eastAsia="仿宋" w:hAnsi="仿宋" w:cs="仿宋" w:hint="eastAsia"/>
        </w:rPr>
        <w:t>2</w:t>
      </w:r>
      <w:r>
        <w:rPr>
          <w:rFonts w:ascii="仿宋" w:eastAsia="仿宋" w:hAnsi="仿宋" w:cs="仿宋"/>
        </w:rPr>
        <w:t>月</w:t>
      </w:r>
      <w:r w:rsidR="00F74166">
        <w:rPr>
          <w:rFonts w:ascii="仿宋" w:eastAsia="仿宋" w:hAnsi="仿宋" w:cs="仿宋" w:hint="eastAsia"/>
        </w:rPr>
        <w:t>22</w:t>
      </w:r>
      <w:r>
        <w:rPr>
          <w:rFonts w:ascii="仿宋" w:eastAsia="仿宋" w:hAnsi="仿宋" w:cs="仿宋"/>
        </w:rPr>
        <w:t xml:space="preserve">日 </w:t>
      </w:r>
    </w:p>
    <w:sectPr w:rsidR="008D104E">
      <w:footerReference w:type="even" r:id="rId7"/>
      <w:footerReference w:type="default" r:id="rId8"/>
      <w:footerReference w:type="first" r:id="rId9"/>
      <w:pgSz w:w="11906" w:h="16838"/>
      <w:pgMar w:top="1439" w:right="1663" w:bottom="1624" w:left="1800" w:header="72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01A0" w14:textId="77777777" w:rsidR="00E534EF" w:rsidRDefault="00E534EF">
      <w:pPr>
        <w:spacing w:after="0" w:line="240" w:lineRule="auto"/>
        <w:ind w:firstLine="560"/>
        <w:rPr>
          <w:rFonts w:hint="eastAsia"/>
        </w:rPr>
      </w:pPr>
      <w:r>
        <w:separator/>
      </w:r>
    </w:p>
  </w:endnote>
  <w:endnote w:type="continuationSeparator" w:id="0">
    <w:p w14:paraId="6FA5B446" w14:textId="77777777" w:rsidR="00E534EF" w:rsidRDefault="00E534EF">
      <w:pPr>
        <w:spacing w:after="0" w:line="240" w:lineRule="auto"/>
        <w:ind w:firstLine="56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1823" w14:textId="77777777" w:rsidR="008D104E" w:rsidRDefault="00000000">
    <w:pPr>
      <w:tabs>
        <w:tab w:val="center" w:pos="4153"/>
      </w:tabs>
      <w:spacing w:after="0" w:line="259" w:lineRule="auto"/>
      <w:ind w:firstLine="360"/>
      <w:rPr>
        <w:rFonts w:hint="eastAsia"/>
      </w:rPr>
    </w:pPr>
    <w:r>
      <w:rPr>
        <w:rFonts w:ascii="Calibri" w:eastAsia="Calibri" w:hAnsi="Calibri" w:cs="Calibri"/>
        <w:sz w:val="18"/>
      </w:rPr>
      <w:t xml:space="preserve"> </w:t>
    </w:r>
    <w:r>
      <w:rPr>
        <w:rFonts w:ascii="Calibri" w:eastAsia="Calibri" w:hAnsi="Calibri" w:cs="Calibri"/>
        <w:sz w:val="18"/>
      </w:rPr>
      <w:tab/>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1F7C" w14:textId="77777777" w:rsidR="008D104E" w:rsidRDefault="00000000">
    <w:pPr>
      <w:tabs>
        <w:tab w:val="center" w:pos="4153"/>
      </w:tabs>
      <w:spacing w:after="0" w:line="259" w:lineRule="auto"/>
      <w:ind w:firstLine="360"/>
      <w:rPr>
        <w:rFonts w:hint="eastAsia"/>
      </w:rPr>
    </w:pPr>
    <w:r>
      <w:rPr>
        <w:rFonts w:ascii="Calibri" w:eastAsia="Calibri" w:hAnsi="Calibri" w:cs="Calibri"/>
        <w:sz w:val="18"/>
      </w:rPr>
      <w:t xml:space="preserve"> </w:t>
    </w:r>
    <w:r>
      <w:rPr>
        <w:rFonts w:ascii="Calibri" w:eastAsia="Calibri" w:hAnsi="Calibri" w:cs="Calibri"/>
        <w:sz w:val="18"/>
      </w:rPr>
      <w:tab/>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6FDF" w14:textId="77777777" w:rsidR="008D104E" w:rsidRDefault="00000000">
    <w:pPr>
      <w:tabs>
        <w:tab w:val="center" w:pos="4153"/>
      </w:tabs>
      <w:spacing w:after="0" w:line="259" w:lineRule="auto"/>
      <w:ind w:firstLine="360"/>
      <w:rPr>
        <w:rFonts w:hint="eastAsia"/>
      </w:rPr>
    </w:pPr>
    <w:r>
      <w:rPr>
        <w:rFonts w:ascii="Calibri" w:eastAsia="Calibri" w:hAnsi="Calibri" w:cs="Calibri"/>
        <w:sz w:val="18"/>
      </w:rPr>
      <w:t xml:space="preserve"> </w:t>
    </w:r>
    <w:r>
      <w:rPr>
        <w:rFonts w:ascii="Calibri" w:eastAsia="Calibri" w:hAnsi="Calibri" w:cs="Calibri"/>
        <w:sz w:val="18"/>
      </w:rPr>
      <w:tab/>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BF87" w14:textId="77777777" w:rsidR="00E534EF" w:rsidRDefault="00E534EF">
      <w:pPr>
        <w:spacing w:after="0" w:line="240" w:lineRule="auto"/>
        <w:ind w:firstLine="560"/>
        <w:rPr>
          <w:rFonts w:hint="eastAsia"/>
        </w:rPr>
      </w:pPr>
      <w:r>
        <w:separator/>
      </w:r>
    </w:p>
  </w:footnote>
  <w:footnote w:type="continuationSeparator" w:id="0">
    <w:p w14:paraId="48274939" w14:textId="77777777" w:rsidR="00E534EF" w:rsidRDefault="00E534EF">
      <w:pPr>
        <w:spacing w:after="0" w:line="240" w:lineRule="auto"/>
        <w:ind w:firstLine="56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898"/>
    <w:multiLevelType w:val="hybridMultilevel"/>
    <w:tmpl w:val="C16E0D66"/>
    <w:lvl w:ilvl="0" w:tplc="79D8D138">
      <w:start w:val="4"/>
      <w:numFmt w:val="decimal"/>
      <w:lvlText w:val="（%1）"/>
      <w:lvlJc w:val="left"/>
      <w:pPr>
        <w:ind w:left="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EDA8E294">
      <w:start w:val="1"/>
      <w:numFmt w:val="lowerLetter"/>
      <w:lvlText w:val="%2"/>
      <w:lvlJc w:val="left"/>
      <w:pPr>
        <w:ind w:left="16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E6501A48">
      <w:start w:val="1"/>
      <w:numFmt w:val="lowerRoman"/>
      <w:lvlText w:val="%3"/>
      <w:lvlJc w:val="left"/>
      <w:pPr>
        <w:ind w:left="23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ADDC6E1C">
      <w:start w:val="1"/>
      <w:numFmt w:val="decimal"/>
      <w:lvlText w:val="%4"/>
      <w:lvlJc w:val="left"/>
      <w:pPr>
        <w:ind w:left="30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921850CA">
      <w:start w:val="1"/>
      <w:numFmt w:val="lowerLetter"/>
      <w:lvlText w:val="%5"/>
      <w:lvlJc w:val="left"/>
      <w:pPr>
        <w:ind w:left="381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E2B61426">
      <w:start w:val="1"/>
      <w:numFmt w:val="lowerRoman"/>
      <w:lvlText w:val="%6"/>
      <w:lvlJc w:val="left"/>
      <w:pPr>
        <w:ind w:left="453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5582B776">
      <w:start w:val="1"/>
      <w:numFmt w:val="decimal"/>
      <w:lvlText w:val="%7"/>
      <w:lvlJc w:val="left"/>
      <w:pPr>
        <w:ind w:left="52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A15CD1C2">
      <w:start w:val="1"/>
      <w:numFmt w:val="lowerLetter"/>
      <w:lvlText w:val="%8"/>
      <w:lvlJc w:val="left"/>
      <w:pPr>
        <w:ind w:left="59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77E8796A">
      <w:start w:val="1"/>
      <w:numFmt w:val="lowerRoman"/>
      <w:lvlText w:val="%9"/>
      <w:lvlJc w:val="left"/>
      <w:pPr>
        <w:ind w:left="66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C443EA"/>
    <w:multiLevelType w:val="hybridMultilevel"/>
    <w:tmpl w:val="365EFEBE"/>
    <w:lvl w:ilvl="0" w:tplc="4DB6ABA2">
      <w:start w:val="1"/>
      <w:numFmt w:val="decimal"/>
      <w:lvlText w:val="（%1）"/>
      <w:lvlJc w:val="left"/>
      <w:pPr>
        <w:ind w:left="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DB7A8A30">
      <w:start w:val="1"/>
      <w:numFmt w:val="lowerLetter"/>
      <w:lvlText w:val="%2"/>
      <w:lvlJc w:val="left"/>
      <w:pPr>
        <w:ind w:left="16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F21CE162">
      <w:start w:val="1"/>
      <w:numFmt w:val="lowerRoman"/>
      <w:lvlText w:val="%3"/>
      <w:lvlJc w:val="left"/>
      <w:pPr>
        <w:ind w:left="23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FE76A8E4">
      <w:start w:val="1"/>
      <w:numFmt w:val="decimal"/>
      <w:lvlText w:val="%4"/>
      <w:lvlJc w:val="left"/>
      <w:pPr>
        <w:ind w:left="30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B2FE31EE">
      <w:start w:val="1"/>
      <w:numFmt w:val="lowerLetter"/>
      <w:lvlText w:val="%5"/>
      <w:lvlJc w:val="left"/>
      <w:pPr>
        <w:ind w:left="381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E3746B34">
      <w:start w:val="1"/>
      <w:numFmt w:val="lowerRoman"/>
      <w:lvlText w:val="%6"/>
      <w:lvlJc w:val="left"/>
      <w:pPr>
        <w:ind w:left="453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49BC2DD8">
      <w:start w:val="1"/>
      <w:numFmt w:val="decimal"/>
      <w:lvlText w:val="%7"/>
      <w:lvlJc w:val="left"/>
      <w:pPr>
        <w:ind w:left="52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FB7E9D2A">
      <w:start w:val="1"/>
      <w:numFmt w:val="lowerLetter"/>
      <w:lvlText w:val="%8"/>
      <w:lvlJc w:val="left"/>
      <w:pPr>
        <w:ind w:left="59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E6423256">
      <w:start w:val="1"/>
      <w:numFmt w:val="lowerRoman"/>
      <w:lvlText w:val="%9"/>
      <w:lvlJc w:val="left"/>
      <w:pPr>
        <w:ind w:left="66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8B105E8"/>
    <w:multiLevelType w:val="hybridMultilevel"/>
    <w:tmpl w:val="6BF2A546"/>
    <w:lvl w:ilvl="0" w:tplc="C5386946">
      <w:start w:val="4"/>
      <w:numFmt w:val="decimal"/>
      <w:lvlText w:val="%1、"/>
      <w:lvlJc w:val="left"/>
      <w:pPr>
        <w:ind w:left="1287" w:hanging="720"/>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3" w15:restartNumberingAfterBreak="0">
    <w:nsid w:val="309E4D33"/>
    <w:multiLevelType w:val="hybridMultilevel"/>
    <w:tmpl w:val="A1CED776"/>
    <w:lvl w:ilvl="0" w:tplc="61DC89F8">
      <w:start w:val="1"/>
      <w:numFmt w:val="decimal"/>
      <w:lvlText w:val="（%1）"/>
      <w:lvlJc w:val="left"/>
      <w:pPr>
        <w:ind w:left="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6DBE7358">
      <w:start w:val="1"/>
      <w:numFmt w:val="lowerLetter"/>
      <w:lvlText w:val="%2"/>
      <w:lvlJc w:val="left"/>
      <w:pPr>
        <w:ind w:left="16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73E219A2">
      <w:start w:val="1"/>
      <w:numFmt w:val="lowerRoman"/>
      <w:lvlText w:val="%3"/>
      <w:lvlJc w:val="left"/>
      <w:pPr>
        <w:ind w:left="23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B18CDBD2">
      <w:start w:val="1"/>
      <w:numFmt w:val="decimal"/>
      <w:lvlText w:val="%4"/>
      <w:lvlJc w:val="left"/>
      <w:pPr>
        <w:ind w:left="30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865E62D8">
      <w:start w:val="1"/>
      <w:numFmt w:val="lowerLetter"/>
      <w:lvlText w:val="%5"/>
      <w:lvlJc w:val="left"/>
      <w:pPr>
        <w:ind w:left="381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70CC9E64">
      <w:start w:val="1"/>
      <w:numFmt w:val="lowerRoman"/>
      <w:lvlText w:val="%6"/>
      <w:lvlJc w:val="left"/>
      <w:pPr>
        <w:ind w:left="453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EE166AEC">
      <w:start w:val="1"/>
      <w:numFmt w:val="decimal"/>
      <w:lvlText w:val="%7"/>
      <w:lvlJc w:val="left"/>
      <w:pPr>
        <w:ind w:left="52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434290B2">
      <w:start w:val="1"/>
      <w:numFmt w:val="lowerLetter"/>
      <w:lvlText w:val="%8"/>
      <w:lvlJc w:val="left"/>
      <w:pPr>
        <w:ind w:left="59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7CC65ECC">
      <w:start w:val="1"/>
      <w:numFmt w:val="lowerRoman"/>
      <w:lvlText w:val="%9"/>
      <w:lvlJc w:val="left"/>
      <w:pPr>
        <w:ind w:left="66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F932BB5"/>
    <w:multiLevelType w:val="hybridMultilevel"/>
    <w:tmpl w:val="FB00CB7C"/>
    <w:lvl w:ilvl="0" w:tplc="136EA136">
      <w:start w:val="1"/>
      <w:numFmt w:val="decimal"/>
      <w:lvlText w:val="（%1）"/>
      <w:lvlJc w:val="left"/>
      <w:pPr>
        <w:ind w:left="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3D02E1CE">
      <w:start w:val="1"/>
      <w:numFmt w:val="lowerLetter"/>
      <w:lvlText w:val="%2"/>
      <w:lvlJc w:val="left"/>
      <w:pPr>
        <w:ind w:left="164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5D0641E8">
      <w:start w:val="1"/>
      <w:numFmt w:val="lowerRoman"/>
      <w:lvlText w:val="%3"/>
      <w:lvlJc w:val="left"/>
      <w:pPr>
        <w:ind w:left="236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B4E89B9C">
      <w:start w:val="1"/>
      <w:numFmt w:val="decimal"/>
      <w:lvlText w:val="%4"/>
      <w:lvlJc w:val="left"/>
      <w:pPr>
        <w:ind w:left="308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5E881F04">
      <w:start w:val="1"/>
      <w:numFmt w:val="lowerLetter"/>
      <w:lvlText w:val="%5"/>
      <w:lvlJc w:val="left"/>
      <w:pPr>
        <w:ind w:left="380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2C3C60D0">
      <w:start w:val="1"/>
      <w:numFmt w:val="lowerRoman"/>
      <w:lvlText w:val="%6"/>
      <w:lvlJc w:val="left"/>
      <w:pPr>
        <w:ind w:left="452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6B284B14">
      <w:start w:val="1"/>
      <w:numFmt w:val="decimal"/>
      <w:lvlText w:val="%7"/>
      <w:lvlJc w:val="left"/>
      <w:pPr>
        <w:ind w:left="524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AC525920">
      <w:start w:val="1"/>
      <w:numFmt w:val="lowerLetter"/>
      <w:lvlText w:val="%8"/>
      <w:lvlJc w:val="left"/>
      <w:pPr>
        <w:ind w:left="596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95044B58">
      <w:start w:val="1"/>
      <w:numFmt w:val="lowerRoman"/>
      <w:lvlText w:val="%9"/>
      <w:lvlJc w:val="left"/>
      <w:pPr>
        <w:ind w:left="668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089038C"/>
    <w:multiLevelType w:val="hybridMultilevel"/>
    <w:tmpl w:val="9158843A"/>
    <w:lvl w:ilvl="0" w:tplc="04E06A28">
      <w:start w:val="4"/>
      <w:numFmt w:val="decimal"/>
      <w:lvlText w:val="（%1）"/>
      <w:lvlJc w:val="left"/>
      <w:pPr>
        <w:ind w:left="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0914C22E">
      <w:start w:val="1"/>
      <w:numFmt w:val="lowerLetter"/>
      <w:lvlText w:val="%2"/>
      <w:lvlJc w:val="left"/>
      <w:pPr>
        <w:ind w:left="15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F748287C">
      <w:start w:val="1"/>
      <w:numFmt w:val="lowerRoman"/>
      <w:lvlText w:val="%3"/>
      <w:lvlJc w:val="left"/>
      <w:pPr>
        <w:ind w:left="22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635088D8">
      <w:start w:val="1"/>
      <w:numFmt w:val="decimal"/>
      <w:lvlText w:val="%4"/>
      <w:lvlJc w:val="left"/>
      <w:pPr>
        <w:ind w:left="29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67DE0B1A">
      <w:start w:val="1"/>
      <w:numFmt w:val="lowerLetter"/>
      <w:lvlText w:val="%5"/>
      <w:lvlJc w:val="left"/>
      <w:pPr>
        <w:ind w:left="36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50787E64">
      <w:start w:val="1"/>
      <w:numFmt w:val="lowerRoman"/>
      <w:lvlText w:val="%6"/>
      <w:lvlJc w:val="left"/>
      <w:pPr>
        <w:ind w:left="43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3F9A707E">
      <w:start w:val="1"/>
      <w:numFmt w:val="decimal"/>
      <w:lvlText w:val="%7"/>
      <w:lvlJc w:val="left"/>
      <w:pPr>
        <w:ind w:left="51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F0660060">
      <w:start w:val="1"/>
      <w:numFmt w:val="lowerLetter"/>
      <w:lvlText w:val="%8"/>
      <w:lvlJc w:val="left"/>
      <w:pPr>
        <w:ind w:left="58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9CAA922E">
      <w:start w:val="1"/>
      <w:numFmt w:val="lowerRoman"/>
      <w:lvlText w:val="%9"/>
      <w:lvlJc w:val="left"/>
      <w:pPr>
        <w:ind w:left="65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8495EB1"/>
    <w:multiLevelType w:val="hybridMultilevel"/>
    <w:tmpl w:val="DD082248"/>
    <w:lvl w:ilvl="0" w:tplc="6E10B95C">
      <w:start w:val="1"/>
      <w:numFmt w:val="decimal"/>
      <w:lvlText w:val="（%1）"/>
      <w:lvlJc w:val="left"/>
      <w:pPr>
        <w:ind w:left="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73FE47A8">
      <w:start w:val="1"/>
      <w:numFmt w:val="lowerLetter"/>
      <w:lvlText w:val="%2"/>
      <w:lvlJc w:val="left"/>
      <w:pPr>
        <w:ind w:left="16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598A6636">
      <w:start w:val="1"/>
      <w:numFmt w:val="lowerRoman"/>
      <w:lvlText w:val="%3"/>
      <w:lvlJc w:val="left"/>
      <w:pPr>
        <w:ind w:left="23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A636E8F8">
      <w:start w:val="1"/>
      <w:numFmt w:val="decimal"/>
      <w:lvlText w:val="%4"/>
      <w:lvlJc w:val="left"/>
      <w:pPr>
        <w:ind w:left="30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08D63D0E">
      <w:start w:val="1"/>
      <w:numFmt w:val="lowerLetter"/>
      <w:lvlText w:val="%5"/>
      <w:lvlJc w:val="left"/>
      <w:pPr>
        <w:ind w:left="381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8BA8567E">
      <w:start w:val="1"/>
      <w:numFmt w:val="lowerRoman"/>
      <w:lvlText w:val="%6"/>
      <w:lvlJc w:val="left"/>
      <w:pPr>
        <w:ind w:left="453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77A09B80">
      <w:start w:val="1"/>
      <w:numFmt w:val="decimal"/>
      <w:lvlText w:val="%7"/>
      <w:lvlJc w:val="left"/>
      <w:pPr>
        <w:ind w:left="52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2E8287C6">
      <w:start w:val="1"/>
      <w:numFmt w:val="lowerLetter"/>
      <w:lvlText w:val="%8"/>
      <w:lvlJc w:val="left"/>
      <w:pPr>
        <w:ind w:left="59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1EDE9528">
      <w:start w:val="1"/>
      <w:numFmt w:val="lowerRoman"/>
      <w:lvlText w:val="%9"/>
      <w:lvlJc w:val="left"/>
      <w:pPr>
        <w:ind w:left="66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A8D5223"/>
    <w:multiLevelType w:val="hybridMultilevel"/>
    <w:tmpl w:val="9E34BD28"/>
    <w:lvl w:ilvl="0" w:tplc="58F2C55C">
      <w:start w:val="1"/>
      <w:numFmt w:val="decimal"/>
      <w:lvlText w:val="（%1）"/>
      <w:lvlJc w:val="left"/>
      <w:pPr>
        <w:ind w:left="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03D2CD26">
      <w:start w:val="1"/>
      <w:numFmt w:val="lowerLetter"/>
      <w:lvlText w:val="%2"/>
      <w:lvlJc w:val="left"/>
      <w:pPr>
        <w:ind w:left="16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A02656AE">
      <w:start w:val="1"/>
      <w:numFmt w:val="lowerRoman"/>
      <w:lvlText w:val="%3"/>
      <w:lvlJc w:val="left"/>
      <w:pPr>
        <w:ind w:left="23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A3F8DAE2">
      <w:start w:val="1"/>
      <w:numFmt w:val="decimal"/>
      <w:lvlText w:val="%4"/>
      <w:lvlJc w:val="left"/>
      <w:pPr>
        <w:ind w:left="30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B0C8709A">
      <w:start w:val="1"/>
      <w:numFmt w:val="lowerLetter"/>
      <w:lvlText w:val="%5"/>
      <w:lvlJc w:val="left"/>
      <w:pPr>
        <w:ind w:left="381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331E532C">
      <w:start w:val="1"/>
      <w:numFmt w:val="lowerRoman"/>
      <w:lvlText w:val="%6"/>
      <w:lvlJc w:val="left"/>
      <w:pPr>
        <w:ind w:left="453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340C3E40">
      <w:start w:val="1"/>
      <w:numFmt w:val="decimal"/>
      <w:lvlText w:val="%7"/>
      <w:lvlJc w:val="left"/>
      <w:pPr>
        <w:ind w:left="52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8A545776">
      <w:start w:val="1"/>
      <w:numFmt w:val="lowerLetter"/>
      <w:lvlText w:val="%8"/>
      <w:lvlJc w:val="left"/>
      <w:pPr>
        <w:ind w:left="59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D088A968">
      <w:start w:val="1"/>
      <w:numFmt w:val="lowerRoman"/>
      <w:lvlText w:val="%9"/>
      <w:lvlJc w:val="left"/>
      <w:pPr>
        <w:ind w:left="66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FE66BFC"/>
    <w:multiLevelType w:val="hybridMultilevel"/>
    <w:tmpl w:val="FD542182"/>
    <w:lvl w:ilvl="0" w:tplc="FD80A0F8">
      <w:start w:val="1"/>
      <w:numFmt w:val="decimal"/>
      <w:lvlText w:val="（%1）"/>
      <w:lvlJc w:val="left"/>
      <w:pPr>
        <w:ind w:left="202"/>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E026CCDE">
      <w:start w:val="1"/>
      <w:numFmt w:val="lowerLetter"/>
      <w:lvlText w:val="%2"/>
      <w:lvlJc w:val="left"/>
      <w:pPr>
        <w:ind w:left="15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05C82824">
      <w:start w:val="1"/>
      <w:numFmt w:val="lowerRoman"/>
      <w:lvlText w:val="%3"/>
      <w:lvlJc w:val="left"/>
      <w:pPr>
        <w:ind w:left="22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6512ECEE">
      <w:start w:val="1"/>
      <w:numFmt w:val="decimal"/>
      <w:lvlText w:val="%4"/>
      <w:lvlJc w:val="left"/>
      <w:pPr>
        <w:ind w:left="29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124AE0D6">
      <w:start w:val="1"/>
      <w:numFmt w:val="lowerLetter"/>
      <w:lvlText w:val="%5"/>
      <w:lvlJc w:val="left"/>
      <w:pPr>
        <w:ind w:left="36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F40AECEA">
      <w:start w:val="1"/>
      <w:numFmt w:val="lowerRoman"/>
      <w:lvlText w:val="%6"/>
      <w:lvlJc w:val="left"/>
      <w:pPr>
        <w:ind w:left="43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8CD2FCA6">
      <w:start w:val="1"/>
      <w:numFmt w:val="decimal"/>
      <w:lvlText w:val="%7"/>
      <w:lvlJc w:val="left"/>
      <w:pPr>
        <w:ind w:left="51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0F9AE17A">
      <w:start w:val="1"/>
      <w:numFmt w:val="lowerLetter"/>
      <w:lvlText w:val="%8"/>
      <w:lvlJc w:val="left"/>
      <w:pPr>
        <w:ind w:left="58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9620B9BC">
      <w:start w:val="1"/>
      <w:numFmt w:val="lowerRoman"/>
      <w:lvlText w:val="%9"/>
      <w:lvlJc w:val="left"/>
      <w:pPr>
        <w:ind w:left="65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6BE743B"/>
    <w:multiLevelType w:val="hybridMultilevel"/>
    <w:tmpl w:val="4AAAE6BE"/>
    <w:lvl w:ilvl="0" w:tplc="71E4B5BA">
      <w:start w:val="2"/>
      <w:numFmt w:val="japaneseCounting"/>
      <w:lvlText w:val="%1、"/>
      <w:lvlJc w:val="left"/>
      <w:pPr>
        <w:ind w:left="1280" w:hanging="720"/>
      </w:pPr>
      <w:rPr>
        <w:rFonts w:ascii="楷体" w:eastAsia="楷体" w:hAnsi="楷体" w:cs="楷体"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0" w15:restartNumberingAfterBreak="0">
    <w:nsid w:val="5C5E5186"/>
    <w:multiLevelType w:val="hybridMultilevel"/>
    <w:tmpl w:val="2DEC2E36"/>
    <w:lvl w:ilvl="0" w:tplc="405A17AA">
      <w:start w:val="4"/>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1" w15:restartNumberingAfterBreak="0">
    <w:nsid w:val="6B945EC5"/>
    <w:multiLevelType w:val="hybridMultilevel"/>
    <w:tmpl w:val="D5607B7A"/>
    <w:lvl w:ilvl="0" w:tplc="95AA342A">
      <w:start w:val="1"/>
      <w:numFmt w:val="decimal"/>
      <w:lvlText w:val="（%1）"/>
      <w:lvlJc w:val="left"/>
      <w:pPr>
        <w:ind w:left="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9904C08E">
      <w:start w:val="1"/>
      <w:numFmt w:val="lowerLetter"/>
      <w:lvlText w:val="%2"/>
      <w:lvlJc w:val="left"/>
      <w:pPr>
        <w:ind w:left="16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9E849CBA">
      <w:start w:val="1"/>
      <w:numFmt w:val="lowerRoman"/>
      <w:lvlText w:val="%3"/>
      <w:lvlJc w:val="left"/>
      <w:pPr>
        <w:ind w:left="23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163682A6">
      <w:start w:val="1"/>
      <w:numFmt w:val="decimal"/>
      <w:lvlText w:val="%4"/>
      <w:lvlJc w:val="left"/>
      <w:pPr>
        <w:ind w:left="30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940E4C2E">
      <w:start w:val="1"/>
      <w:numFmt w:val="lowerLetter"/>
      <w:lvlText w:val="%5"/>
      <w:lvlJc w:val="left"/>
      <w:pPr>
        <w:ind w:left="381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11E6F1E4">
      <w:start w:val="1"/>
      <w:numFmt w:val="lowerRoman"/>
      <w:lvlText w:val="%6"/>
      <w:lvlJc w:val="left"/>
      <w:pPr>
        <w:ind w:left="453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712AE88A">
      <w:start w:val="1"/>
      <w:numFmt w:val="decimal"/>
      <w:lvlText w:val="%7"/>
      <w:lvlJc w:val="left"/>
      <w:pPr>
        <w:ind w:left="525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7DF2250C">
      <w:start w:val="1"/>
      <w:numFmt w:val="lowerLetter"/>
      <w:lvlText w:val="%8"/>
      <w:lvlJc w:val="left"/>
      <w:pPr>
        <w:ind w:left="597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B22A7EF8">
      <w:start w:val="1"/>
      <w:numFmt w:val="lowerRoman"/>
      <w:lvlText w:val="%9"/>
      <w:lvlJc w:val="left"/>
      <w:pPr>
        <w:ind w:left="669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BCC4AA6"/>
    <w:multiLevelType w:val="hybridMultilevel"/>
    <w:tmpl w:val="6F9C56FA"/>
    <w:lvl w:ilvl="0" w:tplc="89D8CCBA">
      <w:start w:val="3"/>
      <w:numFmt w:val="ideographDigital"/>
      <w:lvlText w:val="%1、"/>
      <w:lvlJc w:val="left"/>
      <w:pPr>
        <w:ind w:left="1837" w:hanging="720"/>
      </w:pPr>
      <w:rPr>
        <w:rFonts w:hint="default"/>
      </w:rPr>
    </w:lvl>
    <w:lvl w:ilvl="1" w:tplc="04090019" w:tentative="1">
      <w:start w:val="1"/>
      <w:numFmt w:val="lowerLetter"/>
      <w:lvlText w:val="%2)"/>
      <w:lvlJc w:val="left"/>
      <w:pPr>
        <w:ind w:left="1997" w:hanging="440"/>
      </w:pPr>
    </w:lvl>
    <w:lvl w:ilvl="2" w:tplc="0409001B" w:tentative="1">
      <w:start w:val="1"/>
      <w:numFmt w:val="lowerRoman"/>
      <w:lvlText w:val="%3."/>
      <w:lvlJc w:val="right"/>
      <w:pPr>
        <w:ind w:left="2437" w:hanging="440"/>
      </w:pPr>
    </w:lvl>
    <w:lvl w:ilvl="3" w:tplc="0409000F" w:tentative="1">
      <w:start w:val="1"/>
      <w:numFmt w:val="decimal"/>
      <w:lvlText w:val="%4."/>
      <w:lvlJc w:val="left"/>
      <w:pPr>
        <w:ind w:left="2877" w:hanging="440"/>
      </w:pPr>
    </w:lvl>
    <w:lvl w:ilvl="4" w:tplc="04090019" w:tentative="1">
      <w:start w:val="1"/>
      <w:numFmt w:val="lowerLetter"/>
      <w:lvlText w:val="%5)"/>
      <w:lvlJc w:val="left"/>
      <w:pPr>
        <w:ind w:left="3317" w:hanging="440"/>
      </w:pPr>
    </w:lvl>
    <w:lvl w:ilvl="5" w:tplc="0409001B" w:tentative="1">
      <w:start w:val="1"/>
      <w:numFmt w:val="lowerRoman"/>
      <w:lvlText w:val="%6."/>
      <w:lvlJc w:val="right"/>
      <w:pPr>
        <w:ind w:left="3757" w:hanging="440"/>
      </w:pPr>
    </w:lvl>
    <w:lvl w:ilvl="6" w:tplc="0409000F" w:tentative="1">
      <w:start w:val="1"/>
      <w:numFmt w:val="decimal"/>
      <w:lvlText w:val="%7."/>
      <w:lvlJc w:val="left"/>
      <w:pPr>
        <w:ind w:left="4197" w:hanging="440"/>
      </w:pPr>
    </w:lvl>
    <w:lvl w:ilvl="7" w:tplc="04090019" w:tentative="1">
      <w:start w:val="1"/>
      <w:numFmt w:val="lowerLetter"/>
      <w:lvlText w:val="%8)"/>
      <w:lvlJc w:val="left"/>
      <w:pPr>
        <w:ind w:left="4637" w:hanging="440"/>
      </w:pPr>
    </w:lvl>
    <w:lvl w:ilvl="8" w:tplc="0409001B" w:tentative="1">
      <w:start w:val="1"/>
      <w:numFmt w:val="lowerRoman"/>
      <w:lvlText w:val="%9."/>
      <w:lvlJc w:val="right"/>
      <w:pPr>
        <w:ind w:left="5077" w:hanging="440"/>
      </w:pPr>
    </w:lvl>
  </w:abstractNum>
  <w:abstractNum w:abstractNumId="13" w15:restartNumberingAfterBreak="0">
    <w:nsid w:val="734325A1"/>
    <w:multiLevelType w:val="hybridMultilevel"/>
    <w:tmpl w:val="9F0ADAEC"/>
    <w:lvl w:ilvl="0" w:tplc="0846A9A8">
      <w:start w:val="1"/>
      <w:numFmt w:val="ideographDigital"/>
      <w:lvlText w:val="（%1）"/>
      <w:lvlJc w:val="left"/>
      <w:pPr>
        <w:ind w:left="1447"/>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0F92A94E">
      <w:start w:val="1"/>
      <w:numFmt w:val="lowerLetter"/>
      <w:lvlText w:val="%2"/>
      <w:lvlJc w:val="left"/>
      <w:pPr>
        <w:ind w:left="165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9AE032BA">
      <w:start w:val="1"/>
      <w:numFmt w:val="lowerRoman"/>
      <w:lvlText w:val="%3"/>
      <w:lvlJc w:val="left"/>
      <w:pPr>
        <w:ind w:left="237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59BE56E6">
      <w:start w:val="1"/>
      <w:numFmt w:val="decimal"/>
      <w:lvlText w:val="%4"/>
      <w:lvlJc w:val="left"/>
      <w:pPr>
        <w:ind w:left="309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49F8242A">
      <w:start w:val="1"/>
      <w:numFmt w:val="lowerLetter"/>
      <w:lvlText w:val="%5"/>
      <w:lvlJc w:val="left"/>
      <w:pPr>
        <w:ind w:left="381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D70219A0">
      <w:start w:val="1"/>
      <w:numFmt w:val="lowerRoman"/>
      <w:lvlText w:val="%6"/>
      <w:lvlJc w:val="left"/>
      <w:pPr>
        <w:ind w:left="453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8B5EFE24">
      <w:start w:val="1"/>
      <w:numFmt w:val="decimal"/>
      <w:lvlText w:val="%7"/>
      <w:lvlJc w:val="left"/>
      <w:pPr>
        <w:ind w:left="525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660C7934">
      <w:start w:val="1"/>
      <w:numFmt w:val="lowerLetter"/>
      <w:lvlText w:val="%8"/>
      <w:lvlJc w:val="left"/>
      <w:pPr>
        <w:ind w:left="597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563C9A72">
      <w:start w:val="1"/>
      <w:numFmt w:val="lowerRoman"/>
      <w:lvlText w:val="%9"/>
      <w:lvlJc w:val="left"/>
      <w:pPr>
        <w:ind w:left="669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E8A4C2A"/>
    <w:multiLevelType w:val="hybridMultilevel"/>
    <w:tmpl w:val="5630F36C"/>
    <w:lvl w:ilvl="0" w:tplc="F890481E">
      <w:start w:val="2"/>
      <w:numFmt w:val="ideographDigital"/>
      <w:lvlText w:val="（%1）"/>
      <w:lvlJc w:val="left"/>
      <w:pPr>
        <w:ind w:left="1446"/>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198698E6">
      <w:start w:val="1"/>
      <w:numFmt w:val="lowerLetter"/>
      <w:lvlText w:val="%2"/>
      <w:lvlJc w:val="left"/>
      <w:pPr>
        <w:ind w:left="165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359C0C84">
      <w:start w:val="1"/>
      <w:numFmt w:val="lowerRoman"/>
      <w:lvlText w:val="%3"/>
      <w:lvlJc w:val="left"/>
      <w:pPr>
        <w:ind w:left="237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7428B52A">
      <w:start w:val="1"/>
      <w:numFmt w:val="decimal"/>
      <w:lvlText w:val="%4"/>
      <w:lvlJc w:val="left"/>
      <w:pPr>
        <w:ind w:left="309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B3F68D10">
      <w:start w:val="1"/>
      <w:numFmt w:val="lowerLetter"/>
      <w:lvlText w:val="%5"/>
      <w:lvlJc w:val="left"/>
      <w:pPr>
        <w:ind w:left="381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01F44FE0">
      <w:start w:val="1"/>
      <w:numFmt w:val="lowerRoman"/>
      <w:lvlText w:val="%6"/>
      <w:lvlJc w:val="left"/>
      <w:pPr>
        <w:ind w:left="453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DAE8730A">
      <w:start w:val="1"/>
      <w:numFmt w:val="decimal"/>
      <w:lvlText w:val="%7"/>
      <w:lvlJc w:val="left"/>
      <w:pPr>
        <w:ind w:left="525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BE9016D6">
      <w:start w:val="1"/>
      <w:numFmt w:val="lowerLetter"/>
      <w:lvlText w:val="%8"/>
      <w:lvlJc w:val="left"/>
      <w:pPr>
        <w:ind w:left="597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829C0A3E">
      <w:start w:val="1"/>
      <w:numFmt w:val="lowerRoman"/>
      <w:lvlText w:val="%9"/>
      <w:lvlJc w:val="left"/>
      <w:pPr>
        <w:ind w:left="669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num w:numId="1" w16cid:durableId="1085304610">
    <w:abstractNumId w:val="13"/>
  </w:num>
  <w:num w:numId="2" w16cid:durableId="1568026661">
    <w:abstractNumId w:val="14"/>
  </w:num>
  <w:num w:numId="3" w16cid:durableId="409237389">
    <w:abstractNumId w:val="3"/>
  </w:num>
  <w:num w:numId="4" w16cid:durableId="1489444846">
    <w:abstractNumId w:val="6"/>
  </w:num>
  <w:num w:numId="5" w16cid:durableId="826559833">
    <w:abstractNumId w:val="7"/>
  </w:num>
  <w:num w:numId="6" w16cid:durableId="882323524">
    <w:abstractNumId w:val="11"/>
  </w:num>
  <w:num w:numId="7" w16cid:durableId="329913680">
    <w:abstractNumId w:val="4"/>
  </w:num>
  <w:num w:numId="8" w16cid:durableId="1164784036">
    <w:abstractNumId w:val="0"/>
  </w:num>
  <w:num w:numId="9" w16cid:durableId="912473743">
    <w:abstractNumId w:val="8"/>
  </w:num>
  <w:num w:numId="10" w16cid:durableId="764347464">
    <w:abstractNumId w:val="5"/>
  </w:num>
  <w:num w:numId="11" w16cid:durableId="1443039937">
    <w:abstractNumId w:val="1"/>
  </w:num>
  <w:num w:numId="12" w16cid:durableId="1689140633">
    <w:abstractNumId w:val="12"/>
  </w:num>
  <w:num w:numId="13" w16cid:durableId="1020358820">
    <w:abstractNumId w:val="10"/>
  </w:num>
  <w:num w:numId="14" w16cid:durableId="1216232230">
    <w:abstractNumId w:val="2"/>
  </w:num>
  <w:num w:numId="15" w16cid:durableId="10251390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4E"/>
    <w:rsid w:val="0000149F"/>
    <w:rsid w:val="00053711"/>
    <w:rsid w:val="000C4316"/>
    <w:rsid w:val="000D15D3"/>
    <w:rsid w:val="001F7581"/>
    <w:rsid w:val="00343B87"/>
    <w:rsid w:val="00386D84"/>
    <w:rsid w:val="00424B03"/>
    <w:rsid w:val="004C2703"/>
    <w:rsid w:val="005D2042"/>
    <w:rsid w:val="00602E98"/>
    <w:rsid w:val="00630418"/>
    <w:rsid w:val="00670A62"/>
    <w:rsid w:val="006B21BB"/>
    <w:rsid w:val="00741DCD"/>
    <w:rsid w:val="0075058A"/>
    <w:rsid w:val="0088530B"/>
    <w:rsid w:val="008D104E"/>
    <w:rsid w:val="008D4905"/>
    <w:rsid w:val="00923FBC"/>
    <w:rsid w:val="0097022B"/>
    <w:rsid w:val="00A52837"/>
    <w:rsid w:val="00AB007B"/>
    <w:rsid w:val="00B80D87"/>
    <w:rsid w:val="00B93195"/>
    <w:rsid w:val="00C1730D"/>
    <w:rsid w:val="00C46B4A"/>
    <w:rsid w:val="00CA5172"/>
    <w:rsid w:val="00CB0377"/>
    <w:rsid w:val="00D7306E"/>
    <w:rsid w:val="00DD7B4C"/>
    <w:rsid w:val="00DE2806"/>
    <w:rsid w:val="00E534EF"/>
    <w:rsid w:val="00EB440B"/>
    <w:rsid w:val="00F539ED"/>
    <w:rsid w:val="00F65FAA"/>
    <w:rsid w:val="00F7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A2917"/>
  <w15:docId w15:val="{2F0C4408-8574-49F1-B496-B9588221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仿宋" w:eastAsia="仿宋" w:hAnsi="仿宋" w:cs="仿宋"/>
      <w:color w:val="000000"/>
      <w:sz w:val="28"/>
    </w:rPr>
  </w:style>
  <w:style w:type="paragraph" w:styleId="1">
    <w:name w:val="heading 1"/>
    <w:next w:val="a"/>
    <w:link w:val="10"/>
    <w:uiPriority w:val="9"/>
    <w:qFormat/>
    <w:pPr>
      <w:keepNext/>
      <w:keepLines/>
      <w:spacing w:after="165" w:line="259" w:lineRule="auto"/>
      <w:ind w:left="572" w:hanging="10"/>
      <w:outlineLvl w:val="0"/>
    </w:pPr>
    <w:rPr>
      <w:rFonts w:ascii="楷体" w:eastAsia="楷体" w:hAnsi="楷体" w:cs="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楷体" w:eastAsia="楷体" w:hAnsi="楷体" w:cs="楷体"/>
      <w:color w:val="000000"/>
      <w:sz w:val="28"/>
    </w:rPr>
  </w:style>
  <w:style w:type="paragraph" w:styleId="a3">
    <w:name w:val="List Paragraph"/>
    <w:basedOn w:val="a"/>
    <w:uiPriority w:val="34"/>
    <w:qFormat/>
    <w:rsid w:val="00923FBC"/>
    <w:pPr>
      <w:ind w:firstLineChars="200" w:firstLine="420"/>
    </w:pPr>
  </w:style>
  <w:style w:type="paragraph" w:styleId="a4">
    <w:name w:val="header"/>
    <w:basedOn w:val="a"/>
    <w:link w:val="a5"/>
    <w:uiPriority w:val="99"/>
    <w:unhideWhenUsed/>
    <w:rsid w:val="00A52837"/>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A52837"/>
    <w:rPr>
      <w:rFonts w:ascii="仿宋" w:eastAsia="仿宋" w:hAnsi="仿宋" w:cs="仿宋"/>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34F238-5F81-41B9-8FA6-AEF775C21D51}">
  <we:reference id="wa104380976" version="1.0.0.1" store="zh-CN" storeType="OMEX"/>
  <we:alternateReferences>
    <we:reference id="WA104380976" version="1.0.0.1"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3</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時光碎片</dc:creator>
  <cp:keywords/>
  <cp:lastModifiedBy>占锋 宋</cp:lastModifiedBy>
  <cp:revision>2</cp:revision>
  <dcterms:created xsi:type="dcterms:W3CDTF">2024-12-21T09:27:00Z</dcterms:created>
  <dcterms:modified xsi:type="dcterms:W3CDTF">2024-12-21T09:27:00Z</dcterms:modified>
</cp:coreProperties>
</file>