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088DE">
      <w:pPr>
        <w:pStyle w:val="4"/>
        <w:widowControl/>
        <w:spacing w:beforeAutospacing="0" w:afterAutospacing="0"/>
        <w:jc w:val="center"/>
        <w:rPr>
          <w:rFonts w:hint="eastAsia" w:ascii="仿宋" w:hAnsi="仿宋" w:eastAsia="仿宋" w:cs="仿宋"/>
          <w:sz w:val="44"/>
          <w:szCs w:val="44"/>
        </w:rPr>
      </w:pPr>
      <w:r>
        <w:rPr>
          <w:rFonts w:hint="eastAsia" w:ascii="仿宋" w:hAnsi="仿宋" w:eastAsia="仿宋"/>
          <w:sz w:val="44"/>
          <w:szCs w:val="44"/>
        </w:rPr>
        <w:t>上厢房餐饮（江苏）有限公司预</w:t>
      </w:r>
      <w:r>
        <w:rPr>
          <w:rFonts w:hint="eastAsia" w:ascii="仿宋" w:hAnsi="仿宋" w:eastAsia="仿宋" w:cs="仿宋"/>
          <w:sz w:val="44"/>
          <w:szCs w:val="44"/>
        </w:rPr>
        <w:t>重整</w:t>
      </w:r>
    </w:p>
    <w:p w14:paraId="6E722D24">
      <w:pPr>
        <w:pStyle w:val="4"/>
        <w:widowControl/>
        <w:spacing w:beforeAutospacing="0" w:afterAutospacing="0"/>
        <w:jc w:val="center"/>
        <w:rPr>
          <w:rFonts w:hint="eastAsia" w:ascii="仿宋" w:hAnsi="仿宋" w:eastAsia="仿宋" w:cs="仿宋"/>
          <w:sz w:val="44"/>
          <w:szCs w:val="44"/>
        </w:rPr>
      </w:pPr>
      <w:r>
        <w:rPr>
          <w:rFonts w:hint="eastAsia" w:ascii="仿宋" w:hAnsi="仿宋" w:eastAsia="仿宋" w:cs="仿宋"/>
          <w:sz w:val="44"/>
          <w:szCs w:val="44"/>
        </w:rPr>
        <w:t>意向投资人招募公告</w:t>
      </w:r>
    </w:p>
    <w:p w14:paraId="4FF0BD0C">
      <w:pPr>
        <w:pStyle w:val="4"/>
        <w:widowControl/>
        <w:spacing w:beforeAutospacing="0" w:afterAutospacing="0"/>
        <w:ind w:firstLine="420"/>
        <w:jc w:val="both"/>
        <w:rPr>
          <w:rFonts w:hint="eastAsia" w:ascii="微软雅黑" w:hAnsi="微软雅黑" w:eastAsia="微软雅黑" w:cs="微软雅黑"/>
          <w:color w:val="000000"/>
          <w:spacing w:val="8"/>
        </w:rPr>
      </w:pPr>
    </w:p>
    <w:p w14:paraId="364F1250">
      <w:pPr>
        <w:spacing w:line="360" w:lineRule="auto"/>
        <w:ind w:firstLine="601"/>
        <w:rPr>
          <w:rFonts w:hint="eastAsia" w:ascii="仿宋" w:hAnsi="仿宋" w:eastAsia="仿宋" w:cs="仿宋"/>
          <w:color w:val="000000"/>
          <w:spacing w:val="8"/>
          <w:sz w:val="32"/>
          <w:szCs w:val="32"/>
        </w:rPr>
      </w:pPr>
      <w:r>
        <w:rPr>
          <w:rFonts w:hint="eastAsia" w:ascii="仿宋" w:hAnsi="仿宋" w:eastAsia="仿宋" w:cs="仿宋"/>
          <w:sz w:val="32"/>
          <w:szCs w:val="32"/>
        </w:rPr>
        <w:t>2024年10月29日，</w:t>
      </w:r>
      <w:r>
        <w:rPr>
          <w:rFonts w:hint="eastAsia" w:ascii="仿宋" w:hAnsi="仿宋" w:eastAsia="仿宋"/>
          <w:sz w:val="32"/>
          <w:szCs w:val="32"/>
        </w:rPr>
        <w:t>泰州医药高新技术产业开发区人民法院作出</w:t>
      </w:r>
      <w:r>
        <w:rPr>
          <w:rFonts w:ascii="仿宋" w:hAnsi="仿宋" w:eastAsia="仿宋"/>
          <w:sz w:val="32"/>
          <w:szCs w:val="32"/>
        </w:rPr>
        <w:t>（202</w:t>
      </w:r>
      <w:r>
        <w:rPr>
          <w:rFonts w:hint="eastAsia" w:ascii="仿宋" w:hAnsi="仿宋" w:eastAsia="仿宋"/>
          <w:sz w:val="32"/>
          <w:szCs w:val="32"/>
        </w:rPr>
        <w:t>4</w:t>
      </w:r>
      <w:r>
        <w:rPr>
          <w:rFonts w:ascii="仿宋" w:hAnsi="仿宋" w:eastAsia="仿宋"/>
          <w:sz w:val="32"/>
          <w:szCs w:val="32"/>
        </w:rPr>
        <w:t>）苏12</w:t>
      </w:r>
      <w:r>
        <w:rPr>
          <w:rFonts w:hint="eastAsia" w:ascii="仿宋" w:hAnsi="仿宋" w:eastAsia="仿宋"/>
          <w:sz w:val="32"/>
          <w:szCs w:val="32"/>
        </w:rPr>
        <w:t>91</w:t>
      </w:r>
      <w:r>
        <w:rPr>
          <w:rFonts w:ascii="仿宋" w:hAnsi="仿宋" w:eastAsia="仿宋"/>
          <w:sz w:val="32"/>
          <w:szCs w:val="32"/>
        </w:rPr>
        <w:t>破</w:t>
      </w:r>
      <w:r>
        <w:rPr>
          <w:rFonts w:hint="eastAsia" w:ascii="仿宋" w:hAnsi="仿宋" w:eastAsia="仿宋"/>
          <w:sz w:val="32"/>
          <w:szCs w:val="32"/>
        </w:rPr>
        <w:t>申48-1</w:t>
      </w:r>
      <w:r>
        <w:rPr>
          <w:rFonts w:ascii="仿宋" w:hAnsi="仿宋" w:eastAsia="仿宋"/>
          <w:sz w:val="32"/>
          <w:szCs w:val="32"/>
        </w:rPr>
        <w:t>号</w:t>
      </w:r>
      <w:r>
        <w:rPr>
          <w:rFonts w:hint="eastAsia" w:ascii="仿宋" w:hAnsi="仿宋" w:eastAsia="仿宋"/>
          <w:sz w:val="32"/>
          <w:szCs w:val="32"/>
        </w:rPr>
        <w:t>决定书</w:t>
      </w:r>
      <w:r>
        <w:rPr>
          <w:rFonts w:ascii="仿宋" w:hAnsi="仿宋" w:eastAsia="仿宋"/>
          <w:sz w:val="32"/>
          <w:szCs w:val="32"/>
        </w:rPr>
        <w:t>，</w:t>
      </w:r>
      <w:r>
        <w:rPr>
          <w:rFonts w:hint="eastAsia" w:ascii="仿宋" w:hAnsi="仿宋" w:eastAsia="仿宋"/>
          <w:sz w:val="32"/>
          <w:szCs w:val="32"/>
        </w:rPr>
        <w:t>决定对上厢房餐饮（江苏）有限公司（以下简称上厢房公司）进行预重整，并于2024年11月6日作出</w:t>
      </w:r>
      <w:r>
        <w:rPr>
          <w:rFonts w:ascii="仿宋" w:hAnsi="仿宋" w:eastAsia="仿宋"/>
          <w:sz w:val="32"/>
          <w:szCs w:val="32"/>
        </w:rPr>
        <w:t>（202</w:t>
      </w:r>
      <w:r>
        <w:rPr>
          <w:rFonts w:hint="eastAsia" w:ascii="仿宋" w:hAnsi="仿宋" w:eastAsia="仿宋"/>
          <w:sz w:val="32"/>
          <w:szCs w:val="32"/>
        </w:rPr>
        <w:t>4</w:t>
      </w:r>
      <w:r>
        <w:rPr>
          <w:rFonts w:ascii="仿宋" w:hAnsi="仿宋" w:eastAsia="仿宋"/>
          <w:sz w:val="32"/>
          <w:szCs w:val="32"/>
        </w:rPr>
        <w:t>）苏12</w:t>
      </w:r>
      <w:r>
        <w:rPr>
          <w:rFonts w:hint="eastAsia" w:ascii="仿宋" w:hAnsi="仿宋" w:eastAsia="仿宋"/>
          <w:sz w:val="32"/>
          <w:szCs w:val="32"/>
        </w:rPr>
        <w:t>91</w:t>
      </w:r>
      <w:r>
        <w:rPr>
          <w:rFonts w:ascii="仿宋" w:hAnsi="仿宋" w:eastAsia="仿宋"/>
          <w:sz w:val="32"/>
          <w:szCs w:val="32"/>
        </w:rPr>
        <w:t>破</w:t>
      </w:r>
      <w:r>
        <w:rPr>
          <w:rFonts w:hint="eastAsia" w:ascii="仿宋" w:hAnsi="仿宋" w:eastAsia="仿宋"/>
          <w:sz w:val="32"/>
          <w:szCs w:val="32"/>
        </w:rPr>
        <w:t>申48-2</w:t>
      </w:r>
      <w:r>
        <w:rPr>
          <w:rFonts w:ascii="仿宋" w:hAnsi="仿宋" w:eastAsia="仿宋"/>
          <w:sz w:val="32"/>
          <w:szCs w:val="32"/>
        </w:rPr>
        <w:t>号</w:t>
      </w:r>
      <w:r>
        <w:rPr>
          <w:rFonts w:hint="eastAsia" w:ascii="仿宋" w:hAnsi="仿宋" w:eastAsia="仿宋"/>
          <w:sz w:val="32"/>
          <w:szCs w:val="32"/>
        </w:rPr>
        <w:t>决定书，指定江苏天棱律师事务所担任临时管理人</w:t>
      </w:r>
      <w:r>
        <w:rPr>
          <w:rFonts w:hint="eastAsia" w:ascii="仿宋" w:hAnsi="仿宋" w:eastAsia="仿宋" w:cs="仿宋"/>
          <w:color w:val="000000"/>
          <w:spacing w:val="8"/>
          <w:sz w:val="32"/>
          <w:szCs w:val="32"/>
        </w:rPr>
        <w:t>。</w:t>
      </w:r>
    </w:p>
    <w:p w14:paraId="5D4F57D7">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为充分挖掘</w:t>
      </w:r>
      <w:r>
        <w:rPr>
          <w:rFonts w:hint="eastAsia" w:ascii="仿宋" w:hAnsi="仿宋" w:eastAsia="仿宋"/>
          <w:sz w:val="32"/>
          <w:szCs w:val="32"/>
        </w:rPr>
        <w:t>上厢房</w:t>
      </w:r>
      <w:r>
        <w:rPr>
          <w:rFonts w:hint="eastAsia" w:ascii="仿宋" w:hAnsi="仿宋" w:eastAsia="仿宋" w:cs="仿宋"/>
          <w:color w:val="000000"/>
          <w:spacing w:val="8"/>
          <w:sz w:val="32"/>
          <w:szCs w:val="32"/>
        </w:rPr>
        <w:t>公司</w:t>
      </w:r>
      <w:r>
        <w:rPr>
          <w:rFonts w:hint="eastAsia" w:ascii="仿宋" w:hAnsi="仿宋" w:eastAsia="仿宋"/>
          <w:sz w:val="32"/>
          <w:szCs w:val="32"/>
        </w:rPr>
        <w:t>餐饮</w:t>
      </w:r>
      <w:r>
        <w:rPr>
          <w:rFonts w:hint="eastAsia" w:ascii="仿宋" w:hAnsi="仿宋" w:eastAsia="仿宋" w:cs="仿宋"/>
          <w:color w:val="000000"/>
          <w:spacing w:val="8"/>
          <w:sz w:val="32"/>
          <w:szCs w:val="32"/>
        </w:rPr>
        <w:t>品牌及整体资产价值、维护全体债权人合法权益，管理人依据《中华人民共和国企业破产法》及司法解释的相关规定公开招募遴选重整意向投资人，为保证招募工作公开、公平、公正，现就有关事项公告如下：</w:t>
      </w:r>
    </w:p>
    <w:p w14:paraId="281B162E">
      <w:pPr>
        <w:pStyle w:val="4"/>
        <w:widowControl/>
        <w:spacing w:beforeAutospacing="0" w:afterAutospacing="0"/>
        <w:ind w:firstLine="675" w:firstLineChars="200"/>
        <w:jc w:val="both"/>
        <w:rPr>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一、公司概况</w:t>
      </w:r>
    </w:p>
    <w:p w14:paraId="1B0E8E23">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（一）工商登记情况</w:t>
      </w:r>
    </w:p>
    <w:p w14:paraId="0D3F1DB3">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上厢房公司成立于2008年10月10日，统一社会信用代码91321202681113341N，注册资本500万元人民币；企业类型为有限责任公司(自然人投资或控股)，股东为曾志、王芳；法定代表人为曾志，任执行董事兼总经理；注册地址：泰州市海陵区东河阳光花园公建房1幢1-4层。</w:t>
      </w:r>
    </w:p>
    <w:p w14:paraId="1088489D">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上厢房公司经营范围：食品经营（按《食品经营许可证》所列项目经营），会务服务。</w:t>
      </w:r>
    </w:p>
    <w:p w14:paraId="7DE2AEEE">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（二）主要资产情况</w:t>
      </w:r>
    </w:p>
    <w:p w14:paraId="04E691C2">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1.登记在两股东名下的房地产，位于海陵区东河阳光花园公建房1幢共5层，房屋证载建筑面积3289.79平方米，土地证载面积725.8㎡，</w:t>
      </w:r>
      <w:r>
        <w:rPr>
          <w:rFonts w:hint="eastAsia" w:ascii="仿宋" w:hAnsi="仿宋" w:eastAsia="仿宋" w:cs="仿宋"/>
          <w:kern w:val="2"/>
          <w:sz w:val="32"/>
          <w:szCs w:val="32"/>
        </w:rPr>
        <w:t>土地用途为批发零售用地</w:t>
      </w:r>
      <w:r>
        <w:rPr>
          <w:rFonts w:hint="eastAsia" w:ascii="仿宋" w:hAnsi="仿宋" w:eastAsia="仿宋" w:cs="仿宋"/>
          <w:spacing w:val="8"/>
          <w:sz w:val="32"/>
          <w:szCs w:val="32"/>
        </w:rPr>
        <w:t>。</w:t>
      </w:r>
    </w:p>
    <w:p w14:paraId="6356C951">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2.装璜、构筑物、附属物共八项。</w:t>
      </w:r>
    </w:p>
    <w:p w14:paraId="1D252A25">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3.餐饮设备等1237台套。</w:t>
      </w:r>
    </w:p>
    <w:p w14:paraId="24F5B85E">
      <w:pPr>
        <w:pStyle w:val="4"/>
        <w:widowControl/>
        <w:spacing w:beforeAutospacing="0" w:afterAutospacing="0"/>
        <w:ind w:firstLine="672" w:firstLineChars="200"/>
        <w:jc w:val="both"/>
        <w:rPr>
          <w:rFonts w:hint="eastAsia" w:ascii="仿宋" w:hAnsi="仿宋" w:eastAsia="仿宋" w:cs="仿宋"/>
          <w:spacing w:val="8"/>
          <w:sz w:val="32"/>
          <w:szCs w:val="32"/>
        </w:rPr>
      </w:pPr>
      <w:r>
        <w:rPr>
          <w:rFonts w:hint="eastAsia" w:ascii="仿宋" w:hAnsi="仿宋" w:eastAsia="仿宋" w:cs="仿宋"/>
          <w:spacing w:val="8"/>
          <w:sz w:val="32"/>
          <w:szCs w:val="32"/>
        </w:rPr>
        <w:t>以上资产经评估公司评估，评估价值为3273万元，评估基准日为2024年10月29日。</w:t>
      </w:r>
    </w:p>
    <w:p w14:paraId="5AF6E4ED">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（三）项目优势</w:t>
      </w:r>
    </w:p>
    <w:p w14:paraId="307FBE45">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“上厢房”在泰州</w:t>
      </w:r>
      <w:r>
        <w:rPr>
          <w:rFonts w:hint="eastAsia" w:ascii="仿宋" w:hAnsi="仿宋" w:eastAsia="仿宋" w:cs="仿宋"/>
          <w:spacing w:val="8"/>
          <w:sz w:val="32"/>
          <w:szCs w:val="32"/>
        </w:rPr>
        <w:t>餐饮业具有较高的知名度，可谓家喻户晓，其经营者具有30多年的餐饮从业经历，</w:t>
      </w:r>
      <w:r>
        <w:rPr>
          <w:rFonts w:hint="eastAsia" w:ascii="仿宋" w:hAnsi="仿宋" w:eastAsia="仿宋" w:cs="仿宋"/>
          <w:sz w:val="32"/>
          <w:szCs w:val="32"/>
        </w:rPr>
        <w:t>“上厢房”于</w:t>
      </w:r>
      <w:r>
        <w:rPr>
          <w:rFonts w:hint="eastAsia" w:ascii="仿宋" w:hAnsi="仿宋" w:eastAsia="仿宋" w:cs="仿宋"/>
          <w:spacing w:val="8"/>
          <w:sz w:val="32"/>
          <w:szCs w:val="32"/>
        </w:rPr>
        <w:t>2014年被江苏省工商行政管理局授予“江苏省著名商标”，2015年被江苏省餐饮行业协会授予</w:t>
      </w:r>
      <w:r>
        <w:rPr>
          <w:rFonts w:hint="eastAsia" w:ascii="仿宋" w:hAnsi="仿宋" w:eastAsia="仿宋" w:cs="仿宋"/>
          <w:sz w:val="32"/>
          <w:szCs w:val="32"/>
        </w:rPr>
        <w:t>“副会长单位”。因在2020年-2022年疫情期间新开的几家分店投入资金巨大，产生较大亏损。目前，上厢房公司正在策划重新恢复营业。</w:t>
      </w:r>
    </w:p>
    <w:p w14:paraId="7146BE91">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273040" cy="3223895"/>
            <wp:effectExtent l="0" t="0" r="3810" b="0"/>
            <wp:docPr id="19264692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469256" name="图片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81814" cy="3229117"/>
                    </a:xfrm>
                    <a:prstGeom prst="rect">
                      <a:avLst/>
                    </a:prstGeom>
                  </pic:spPr>
                </pic:pic>
              </a:graphicData>
            </a:graphic>
          </wp:inline>
        </w:drawing>
      </w:r>
    </w:p>
    <w:p w14:paraId="6137E1CB">
      <w:pPr>
        <w:spacing w:line="360" w:lineRule="auto"/>
        <w:rPr>
          <w:rStyle w:val="7"/>
          <w:rFonts w:hint="eastAsia" w:ascii="仿宋" w:hAnsi="仿宋" w:eastAsia="仿宋" w:cs="仿宋"/>
          <w:b w:val="0"/>
          <w:sz w:val="32"/>
          <w:szCs w:val="32"/>
        </w:rPr>
      </w:pPr>
      <w:r>
        <w:rPr>
          <w:rFonts w:hint="eastAsia" w:ascii="仿宋" w:hAnsi="仿宋" w:eastAsia="仿宋" w:cs="仿宋"/>
          <w:sz w:val="32"/>
          <w:szCs w:val="32"/>
        </w:rPr>
        <w:drawing>
          <wp:inline distT="0" distB="0" distL="0" distR="0">
            <wp:extent cx="6078855" cy="4222750"/>
            <wp:effectExtent l="0" t="0" r="0" b="6350"/>
            <wp:docPr id="7418703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870345"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09268" cy="4244337"/>
                    </a:xfrm>
                    <a:prstGeom prst="rect">
                      <a:avLst/>
                    </a:prstGeom>
                  </pic:spPr>
                </pic:pic>
              </a:graphicData>
            </a:graphic>
          </wp:inline>
        </w:drawing>
      </w:r>
      <w:r>
        <w:rPr>
          <w:rFonts w:hint="eastAsia" w:ascii="仿宋" w:hAnsi="仿宋" w:eastAsia="仿宋" w:cs="仿宋"/>
          <w:sz w:val="32"/>
          <w:szCs w:val="32"/>
        </w:rPr>
        <w:drawing>
          <wp:inline distT="0" distB="0" distL="0" distR="0">
            <wp:extent cx="6070600" cy="4486910"/>
            <wp:effectExtent l="0" t="0" r="6350" b="8890"/>
            <wp:docPr id="3074622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6224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83070" cy="4496376"/>
                    </a:xfrm>
                    <a:prstGeom prst="rect">
                      <a:avLst/>
                    </a:prstGeom>
                  </pic:spPr>
                </pic:pic>
              </a:graphicData>
            </a:graphic>
          </wp:inline>
        </w:drawing>
      </w:r>
    </w:p>
    <w:p w14:paraId="640CB986">
      <w:pPr>
        <w:pStyle w:val="4"/>
        <w:widowControl/>
        <w:spacing w:beforeAutospacing="0" w:afterAutospacing="0"/>
        <w:ind w:firstLine="675" w:firstLineChars="200"/>
        <w:jc w:val="both"/>
        <w:rPr>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二、招募须知</w:t>
      </w:r>
    </w:p>
    <w:p w14:paraId="3D77764E">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（一）上厢房公司目前处于预重整阶段，考虑到</w:t>
      </w:r>
      <w:r>
        <w:rPr>
          <w:rFonts w:hint="eastAsia" w:ascii="仿宋" w:hAnsi="仿宋" w:eastAsia="仿宋" w:cs="仿宋"/>
          <w:kern w:val="2"/>
          <w:sz w:val="32"/>
          <w:szCs w:val="32"/>
        </w:rPr>
        <w:t>上厢房公司的项目优势，拟</w:t>
      </w:r>
      <w:r>
        <w:rPr>
          <w:rFonts w:hint="eastAsia" w:ascii="仿宋" w:hAnsi="仿宋" w:eastAsia="仿宋" w:cs="仿宋"/>
          <w:color w:val="000000"/>
          <w:spacing w:val="8"/>
          <w:sz w:val="32"/>
          <w:szCs w:val="32"/>
        </w:rPr>
        <w:t>招募重整意向投资人自愿投资或参与经营。</w:t>
      </w:r>
    </w:p>
    <w:p w14:paraId="1A310AF6">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二）本公告所披露的上厢房公司相关信息仅供意向投资人参考，并不当然替代意向投资人的尽职调查，管理人不对本公告披露的上厢房公司相关信息承担瑕疵担保责任。意向投资人须自行决定是否聘请专业人员进行尽职调查、出具投资意见。</w:t>
      </w:r>
    </w:p>
    <w:p w14:paraId="15406AD8">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（三）本招募公告不作为要约，不具有投资协议的约束力。</w:t>
      </w:r>
    </w:p>
    <w:p w14:paraId="14E48B81">
      <w:pPr>
        <w:pStyle w:val="4"/>
        <w:widowControl/>
        <w:spacing w:beforeAutospacing="0" w:afterAutospacing="0"/>
        <w:ind w:firstLine="675" w:firstLineChars="200"/>
        <w:jc w:val="both"/>
        <w:rPr>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三、招募目的 </w:t>
      </w:r>
    </w:p>
    <w:p w14:paraId="1F730187">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本次招募投资人旨在充分挖掘项目资产的品牌价值，提升市场竞争力，为辖区</w:t>
      </w:r>
      <w:r>
        <w:rPr>
          <w:rFonts w:hint="eastAsia" w:ascii="仿宋" w:hAnsi="仿宋" w:eastAsia="仿宋" w:cs="仿宋"/>
          <w:spacing w:val="8"/>
          <w:sz w:val="32"/>
          <w:szCs w:val="32"/>
        </w:rPr>
        <w:t>餐饮服务业</w:t>
      </w:r>
      <w:r>
        <w:rPr>
          <w:rFonts w:hint="eastAsia" w:ascii="仿宋" w:hAnsi="仿宋" w:eastAsia="仿宋" w:cs="仿宋"/>
          <w:color w:val="000000"/>
          <w:spacing w:val="8"/>
          <w:sz w:val="32"/>
          <w:szCs w:val="32"/>
        </w:rPr>
        <w:t>注入新的活力；同时能够最大限度保障上厢房公司各类债权人的合法权益。</w:t>
      </w:r>
    </w:p>
    <w:p w14:paraId="776D828F">
      <w:pPr>
        <w:pStyle w:val="4"/>
        <w:widowControl/>
        <w:spacing w:beforeAutospacing="0" w:afterAutospacing="0"/>
        <w:ind w:firstLine="675" w:firstLineChars="200"/>
        <w:jc w:val="both"/>
        <w:rPr>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四、招募条件</w:t>
      </w:r>
    </w:p>
    <w:p w14:paraId="5D088D66">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拟参与本次重整意向投资人应当符合以下条件：</w:t>
      </w:r>
    </w:p>
    <w:p w14:paraId="78604EAB">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（一）意向投资人应当是中华人民共和国境内依法设立并有效存续的法人、非法人组织以及适格其他投资主体，且具有较高的社会责任感和良好的商业信誉。</w:t>
      </w:r>
    </w:p>
    <w:p w14:paraId="7B6E350A">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（二）意向投资人不存在重大违法、违规行为，未被人民法院列入失信被执行人名单或者被采取限制高消费措施。</w:t>
      </w:r>
    </w:p>
    <w:p w14:paraId="4F5F45DA">
      <w:pPr>
        <w:pStyle w:val="4"/>
        <w:widowControl/>
        <w:spacing w:beforeAutospacing="0" w:afterAutospacing="0"/>
        <w:ind w:firstLine="675" w:firstLineChars="200"/>
        <w:jc w:val="both"/>
        <w:rPr>
          <w:rStyle w:val="7"/>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五、招募报名及尽职调查</w:t>
      </w:r>
    </w:p>
    <w:p w14:paraId="29A4D1DF">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意向投资人有意参与上厢房公司投资，应于本公告确定的报名截止日期前向临时管理人报名，报名时须提供本单位营业执照复印件或本人身份证复印件；如委托他人的，应提供授权委托书原件和受托人身份证复印件；委托代理人是律师的还应提交律师执业证复印件和律师事务所的指派函原件。</w:t>
      </w:r>
    </w:p>
    <w:p w14:paraId="70EBF2C2">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意向投资人报名后，如需对上厢房公司进行尽职调查，临时管理人将予以协调配合。意向投资人对尽职调查结果及风险承担全部责任。</w:t>
      </w:r>
    </w:p>
    <w:p w14:paraId="387B31E5">
      <w:pPr>
        <w:pStyle w:val="4"/>
        <w:widowControl/>
        <w:spacing w:beforeAutospacing="0" w:afterAutospacing="0"/>
        <w:ind w:firstLine="675" w:firstLineChars="200"/>
        <w:jc w:val="both"/>
        <w:rPr>
          <w:rFonts w:hint="eastAsia" w:ascii="仿宋" w:hAnsi="仿宋" w:eastAsia="仿宋" w:cs="仿宋"/>
          <w:color w:val="000000"/>
          <w:spacing w:val="8"/>
          <w:sz w:val="32"/>
          <w:szCs w:val="32"/>
        </w:rPr>
      </w:pPr>
      <w:r>
        <w:rPr>
          <w:rStyle w:val="7"/>
          <w:rFonts w:hint="eastAsia" w:ascii="仿宋" w:hAnsi="仿宋" w:eastAsia="仿宋" w:cs="仿宋"/>
          <w:color w:val="000000"/>
          <w:spacing w:val="8"/>
          <w:sz w:val="32"/>
          <w:szCs w:val="32"/>
        </w:rPr>
        <w:t>六、招募时间及联系方式</w:t>
      </w:r>
    </w:p>
    <w:p w14:paraId="3DAE5F5C">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招募时间自公告发布之日起至2025年1月18日17时止。</w:t>
      </w:r>
    </w:p>
    <w:p w14:paraId="6A8CDB4F">
      <w:pPr>
        <w:pStyle w:val="4"/>
        <w:widowControl/>
        <w:spacing w:beforeAutospacing="0" w:afterAutospacing="0"/>
        <w:ind w:firstLine="672" w:firstLineChars="200"/>
        <w:jc w:val="both"/>
        <w:rPr>
          <w:rFonts w:hint="eastAsia" w:ascii="仿宋" w:hAnsi="仿宋" w:eastAsia="仿宋" w:cs="仿宋"/>
          <w:color w:val="000000"/>
          <w:spacing w:val="8"/>
          <w:sz w:val="32"/>
          <w:szCs w:val="32"/>
        </w:rPr>
      </w:pPr>
      <w:r>
        <w:rPr>
          <w:rFonts w:hint="eastAsia" w:ascii="仿宋" w:hAnsi="仿宋" w:eastAsia="仿宋" w:cs="仿宋"/>
          <w:color w:val="000000"/>
          <w:spacing w:val="8"/>
          <w:sz w:val="32"/>
          <w:szCs w:val="32"/>
        </w:rPr>
        <w:t>临时管理人联系地址：江苏省兴化市南津路46号江苏天棱律师事务所，联系人：窦宏达，联系电话：18936809148 </w:t>
      </w:r>
    </w:p>
    <w:p w14:paraId="08AA5032">
      <w:pPr>
        <w:pStyle w:val="4"/>
        <w:widowControl/>
        <w:spacing w:beforeAutospacing="0" w:afterAutospacing="0"/>
        <w:ind w:firstLine="420"/>
        <w:jc w:val="right"/>
        <w:rPr>
          <w:rFonts w:hint="eastAsia" w:ascii="仿宋" w:hAnsi="仿宋" w:eastAsia="仿宋"/>
          <w:sz w:val="32"/>
          <w:szCs w:val="32"/>
        </w:rPr>
      </w:pPr>
    </w:p>
    <w:p w14:paraId="4F26D971">
      <w:pPr>
        <w:pStyle w:val="4"/>
        <w:widowControl/>
        <w:spacing w:beforeAutospacing="0" w:afterAutospacing="0"/>
        <w:ind w:firstLine="420"/>
        <w:jc w:val="right"/>
        <w:rPr>
          <w:rFonts w:hint="eastAsia" w:ascii="仿宋" w:hAnsi="仿宋" w:eastAsia="仿宋"/>
          <w:sz w:val="32"/>
          <w:szCs w:val="32"/>
        </w:rPr>
      </w:pPr>
    </w:p>
    <w:p w14:paraId="243DB3CB">
      <w:pPr>
        <w:pStyle w:val="4"/>
        <w:widowControl/>
        <w:spacing w:beforeAutospacing="0" w:afterAutospacing="0"/>
        <w:ind w:firstLine="420"/>
        <w:jc w:val="right"/>
        <w:rPr>
          <w:rFonts w:hint="eastAsia" w:ascii="仿宋" w:hAnsi="仿宋" w:eastAsia="仿宋" w:cs="仿宋"/>
          <w:color w:val="000000"/>
          <w:spacing w:val="8"/>
          <w:sz w:val="32"/>
          <w:szCs w:val="32"/>
        </w:rPr>
      </w:pPr>
      <w:r>
        <w:rPr>
          <w:rFonts w:hint="eastAsia" w:ascii="仿宋" w:hAnsi="仿宋" w:eastAsia="仿宋"/>
          <w:sz w:val="32"/>
          <w:szCs w:val="32"/>
        </w:rPr>
        <w:t>上厢房餐饮（江苏）有限公司临时</w:t>
      </w:r>
      <w:r>
        <w:rPr>
          <w:rFonts w:hint="eastAsia" w:ascii="仿宋" w:hAnsi="仿宋" w:eastAsia="仿宋" w:cs="仿宋"/>
          <w:color w:val="000000"/>
          <w:spacing w:val="8"/>
          <w:sz w:val="32"/>
          <w:szCs w:val="32"/>
        </w:rPr>
        <w:t>管理人</w:t>
      </w:r>
      <w:bookmarkStart w:id="0" w:name="_GoBack"/>
      <w:bookmarkEnd w:id="0"/>
    </w:p>
    <w:p w14:paraId="3D1CFAC7">
      <w:pPr>
        <w:pStyle w:val="4"/>
        <w:widowControl/>
        <w:spacing w:beforeAutospacing="0" w:afterAutospacing="0"/>
        <w:ind w:firstLine="420"/>
        <w:jc w:val="center"/>
        <w:rPr>
          <w:rFonts w:eastAsia="等线"/>
          <w:sz w:val="32"/>
          <w:szCs w:val="32"/>
        </w:rPr>
      </w:pPr>
      <w:r>
        <w:rPr>
          <w:rFonts w:hint="eastAsia" w:ascii="仿宋" w:hAnsi="仿宋" w:eastAsia="仿宋" w:cs="仿宋"/>
          <w:color w:val="000000"/>
          <w:spacing w:val="8"/>
          <w:sz w:val="32"/>
          <w:szCs w:val="32"/>
        </w:rPr>
        <w:t xml:space="preserve">          </w:t>
      </w:r>
      <w:r>
        <w:rPr>
          <w:rFonts w:hint="eastAsia" w:ascii="仿宋" w:hAnsi="仿宋" w:eastAsia="仿宋" w:cs="仿宋"/>
          <w:color w:val="000000"/>
          <w:spacing w:val="8"/>
          <w:sz w:val="32"/>
          <w:szCs w:val="32"/>
          <w:lang w:val="en-US" w:eastAsia="zh-CN"/>
        </w:rPr>
        <w:t xml:space="preserve">      </w:t>
      </w:r>
      <w:r>
        <w:rPr>
          <w:rFonts w:hint="eastAsia" w:ascii="仿宋" w:hAnsi="仿宋" w:eastAsia="仿宋" w:cs="仿宋"/>
          <w:color w:val="000000"/>
          <w:spacing w:val="8"/>
          <w:sz w:val="32"/>
          <w:szCs w:val="32"/>
        </w:rPr>
        <w:t>二○二四年十二月二十八日</w:t>
      </w:r>
    </w:p>
    <w:sectPr>
      <w:pgSz w:w="11906" w:h="16838"/>
      <w:pgMar w:top="1135" w:right="1274" w:bottom="993"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ODAyODUzMmEyZGE5MjcyMzEwOWZlYTJhNjRjZGYifQ=="/>
  </w:docVars>
  <w:rsids>
    <w:rsidRoot w:val="46946743"/>
    <w:rsid w:val="00665651"/>
    <w:rsid w:val="008D47F2"/>
    <w:rsid w:val="00932D7C"/>
    <w:rsid w:val="00FA71D5"/>
    <w:rsid w:val="00FC1929"/>
    <w:rsid w:val="03791D1F"/>
    <w:rsid w:val="04390EE3"/>
    <w:rsid w:val="05CD5D86"/>
    <w:rsid w:val="09A40A4E"/>
    <w:rsid w:val="0B980BE5"/>
    <w:rsid w:val="0C1A0C5A"/>
    <w:rsid w:val="0E3015A8"/>
    <w:rsid w:val="0E3771A3"/>
    <w:rsid w:val="0E692079"/>
    <w:rsid w:val="0F380715"/>
    <w:rsid w:val="0F4D4DB6"/>
    <w:rsid w:val="11447845"/>
    <w:rsid w:val="12284CC8"/>
    <w:rsid w:val="13576BC2"/>
    <w:rsid w:val="1CC55D33"/>
    <w:rsid w:val="1E2A6014"/>
    <w:rsid w:val="1F843502"/>
    <w:rsid w:val="238C00E7"/>
    <w:rsid w:val="23A608E8"/>
    <w:rsid w:val="27257379"/>
    <w:rsid w:val="27CB7E7C"/>
    <w:rsid w:val="284C7BD1"/>
    <w:rsid w:val="28812CD5"/>
    <w:rsid w:val="28D24825"/>
    <w:rsid w:val="29C9048F"/>
    <w:rsid w:val="2A980CB9"/>
    <w:rsid w:val="2E661F76"/>
    <w:rsid w:val="2E8D1839"/>
    <w:rsid w:val="2EB654C9"/>
    <w:rsid w:val="2EF80E59"/>
    <w:rsid w:val="2FC33BD3"/>
    <w:rsid w:val="31193675"/>
    <w:rsid w:val="31750EFD"/>
    <w:rsid w:val="36981915"/>
    <w:rsid w:val="382B7A9D"/>
    <w:rsid w:val="387E02F4"/>
    <w:rsid w:val="3A371445"/>
    <w:rsid w:val="3A751F6D"/>
    <w:rsid w:val="3A8A3C6B"/>
    <w:rsid w:val="3C5E715D"/>
    <w:rsid w:val="3EC040FF"/>
    <w:rsid w:val="3F1B18F9"/>
    <w:rsid w:val="3F5E03F1"/>
    <w:rsid w:val="45CC5137"/>
    <w:rsid w:val="46946743"/>
    <w:rsid w:val="46C73C2B"/>
    <w:rsid w:val="4AE03433"/>
    <w:rsid w:val="4BA754D9"/>
    <w:rsid w:val="4C1716DA"/>
    <w:rsid w:val="4FC11A85"/>
    <w:rsid w:val="52E13305"/>
    <w:rsid w:val="53557C8D"/>
    <w:rsid w:val="53D61877"/>
    <w:rsid w:val="54F47755"/>
    <w:rsid w:val="56C00C81"/>
    <w:rsid w:val="59D14FBA"/>
    <w:rsid w:val="59DD74BB"/>
    <w:rsid w:val="5D5977A1"/>
    <w:rsid w:val="5E4C2E61"/>
    <w:rsid w:val="63A96660"/>
    <w:rsid w:val="646870C7"/>
    <w:rsid w:val="64B11C70"/>
    <w:rsid w:val="659B2043"/>
    <w:rsid w:val="65F8742B"/>
    <w:rsid w:val="66673FB7"/>
    <w:rsid w:val="694F745E"/>
    <w:rsid w:val="699D6C67"/>
    <w:rsid w:val="6B0A61AB"/>
    <w:rsid w:val="6C8163CC"/>
    <w:rsid w:val="6DF67C63"/>
    <w:rsid w:val="702342F5"/>
    <w:rsid w:val="71150F72"/>
    <w:rsid w:val="71E674F4"/>
    <w:rsid w:val="7472484C"/>
    <w:rsid w:val="756248C1"/>
    <w:rsid w:val="771221E9"/>
    <w:rsid w:val="77904271"/>
    <w:rsid w:val="7C6F7FEF"/>
    <w:rsid w:val="7F005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字符"/>
    <w:basedOn w:val="6"/>
    <w:link w:val="3"/>
    <w:uiPriority w:val="0"/>
    <w:rPr>
      <w:rFonts w:asciiTheme="minorHAnsi" w:hAnsiTheme="minorHAnsi" w:eastAsiaTheme="minorEastAsia" w:cstheme="minorBidi"/>
      <w:kern w:val="2"/>
      <w:sz w:val="18"/>
      <w:szCs w:val="18"/>
    </w:rPr>
  </w:style>
  <w:style w:type="character" w:customStyle="1" w:styleId="9">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1420</Words>
  <Characters>1527</Characters>
  <Lines>11</Lines>
  <Paragraphs>3</Paragraphs>
  <TotalTime>31</TotalTime>
  <ScaleCrop>false</ScaleCrop>
  <LinksUpToDate>false</LinksUpToDate>
  <CharactersWithSpaces>1539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2024-07-24T12:17:00Z</dcterms:created>
  <dc:creator>Administrator</dc:creator>
  <cp:lastModifiedBy>楚风</cp:lastModifiedBy>
  <dcterms:modified xsi:type="dcterms:W3CDTF">2024-12-30T07:03:16Z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2A073D344905419C8956FCE4AD73F1EE_13</vt:lpwstr>
  </property>
  <property fmtid="{D5CDD505-2E9C-101B-9397-08002B2CF9AE}" pid="4" name="KSOTemplateDocerSaveRecord">
    <vt:lpwstr>eyJoZGlkIjoiNDA4ZGVmZTU3MzMzNTIxZGE5MWMzOWU4ODIzNGEyZjQiLCJ1c2VySWQiOiI2Mzk1NTMzNzUifQ==</vt:lpwstr>
  </property>
</Properties>
</file>