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1125"/>
        <w:gridCol w:w="1995"/>
        <w:gridCol w:w="3859"/>
        <w:gridCol w:w="4188"/>
        <w:gridCol w:w="1425"/>
        <w:gridCol w:w="1115"/>
      </w:tblGrid>
      <w:tr w14:paraId="45B2F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6" w:type="dxa"/>
            <w:gridSpan w:val="7"/>
          </w:tcPr>
          <w:p w14:paraId="2BE3F40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  <w:vertAlign w:val="baseline"/>
                <w:lang w:val="en-US" w:eastAsia="zh-CN" w:bidi="zh-CN"/>
              </w:rPr>
              <w:t>债权表</w:t>
            </w:r>
          </w:p>
        </w:tc>
      </w:tr>
      <w:tr w14:paraId="2B367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419" w:type="dxa"/>
          </w:tcPr>
          <w:p w14:paraId="0A87233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序号</w:t>
            </w:r>
          </w:p>
        </w:tc>
        <w:tc>
          <w:tcPr>
            <w:tcW w:w="1125" w:type="dxa"/>
          </w:tcPr>
          <w:p w14:paraId="3581624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债权分类</w:t>
            </w:r>
          </w:p>
        </w:tc>
        <w:tc>
          <w:tcPr>
            <w:tcW w:w="1995" w:type="dxa"/>
          </w:tcPr>
          <w:p w14:paraId="63E8AA2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债权人名称</w:t>
            </w:r>
          </w:p>
        </w:tc>
        <w:tc>
          <w:tcPr>
            <w:tcW w:w="3859" w:type="dxa"/>
          </w:tcPr>
          <w:p w14:paraId="7B00036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申报金额</w:t>
            </w:r>
          </w:p>
        </w:tc>
        <w:tc>
          <w:tcPr>
            <w:tcW w:w="4188" w:type="dxa"/>
          </w:tcPr>
          <w:p w14:paraId="665943BE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核定金额</w:t>
            </w:r>
          </w:p>
        </w:tc>
        <w:tc>
          <w:tcPr>
            <w:tcW w:w="1425" w:type="dxa"/>
          </w:tcPr>
          <w:p w14:paraId="1C971EE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合计</w:t>
            </w:r>
          </w:p>
        </w:tc>
        <w:tc>
          <w:tcPr>
            <w:tcW w:w="1115" w:type="dxa"/>
          </w:tcPr>
          <w:p w14:paraId="37ED92F6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担保情况</w:t>
            </w:r>
          </w:p>
        </w:tc>
      </w:tr>
      <w:tr w14:paraId="5CEE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" w:type="dxa"/>
          </w:tcPr>
          <w:p w14:paraId="1CCE9749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1</w:t>
            </w:r>
          </w:p>
        </w:tc>
        <w:tc>
          <w:tcPr>
            <w:tcW w:w="1125" w:type="dxa"/>
          </w:tcPr>
          <w:p w14:paraId="346037E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普通债权</w:t>
            </w:r>
          </w:p>
        </w:tc>
        <w:tc>
          <w:tcPr>
            <w:tcW w:w="1995" w:type="dxa"/>
          </w:tcPr>
          <w:p w14:paraId="5177C1A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叶宇斌</w:t>
            </w:r>
          </w:p>
        </w:tc>
        <w:tc>
          <w:tcPr>
            <w:tcW w:w="3859" w:type="dxa"/>
          </w:tcPr>
          <w:p w14:paraId="40F2876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本金：304352元、利息： 331606.66元，合计：635958.66元</w:t>
            </w:r>
          </w:p>
        </w:tc>
        <w:tc>
          <w:tcPr>
            <w:tcW w:w="4188" w:type="dxa"/>
          </w:tcPr>
          <w:p w14:paraId="688C199A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本金：304352元、律师费：15000元，利息：331606.66元，合计：635958.66元</w:t>
            </w:r>
          </w:p>
        </w:tc>
        <w:tc>
          <w:tcPr>
            <w:tcW w:w="1425" w:type="dxa"/>
          </w:tcPr>
          <w:p w14:paraId="76C9259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635958.66</w:t>
            </w: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元</w:t>
            </w:r>
          </w:p>
        </w:tc>
        <w:tc>
          <w:tcPr>
            <w:tcW w:w="1115" w:type="dxa"/>
          </w:tcPr>
          <w:p w14:paraId="3EB0D96D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3B93C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" w:type="dxa"/>
          </w:tcPr>
          <w:p w14:paraId="11FD0211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2</w:t>
            </w:r>
          </w:p>
        </w:tc>
        <w:tc>
          <w:tcPr>
            <w:tcW w:w="1125" w:type="dxa"/>
          </w:tcPr>
          <w:p w14:paraId="056E876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普通债权</w:t>
            </w:r>
          </w:p>
        </w:tc>
        <w:tc>
          <w:tcPr>
            <w:tcW w:w="1995" w:type="dxa"/>
          </w:tcPr>
          <w:p w14:paraId="34E80701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福建省宁德市蕉城区人民法院</w:t>
            </w:r>
          </w:p>
        </w:tc>
        <w:tc>
          <w:tcPr>
            <w:tcW w:w="3859" w:type="dxa"/>
          </w:tcPr>
          <w:p w14:paraId="2AFE23E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诉讼费2872、执行费3579.72元，合计6451.72元</w:t>
            </w:r>
          </w:p>
        </w:tc>
        <w:tc>
          <w:tcPr>
            <w:tcW w:w="4188" w:type="dxa"/>
            <w:vAlign w:val="top"/>
          </w:tcPr>
          <w:p w14:paraId="586F95D7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诉讼费2872、执行费3579.72元，合计6451.72元</w:t>
            </w:r>
          </w:p>
        </w:tc>
        <w:tc>
          <w:tcPr>
            <w:tcW w:w="1425" w:type="dxa"/>
          </w:tcPr>
          <w:p w14:paraId="727C324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6451.72元</w:t>
            </w:r>
          </w:p>
        </w:tc>
        <w:tc>
          <w:tcPr>
            <w:tcW w:w="1115" w:type="dxa"/>
          </w:tcPr>
          <w:p w14:paraId="1A787660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5E7B5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" w:type="dxa"/>
          </w:tcPr>
          <w:p w14:paraId="3814E9B6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3</w:t>
            </w:r>
          </w:p>
        </w:tc>
        <w:tc>
          <w:tcPr>
            <w:tcW w:w="1125" w:type="dxa"/>
          </w:tcPr>
          <w:p w14:paraId="0611530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普通债权</w:t>
            </w:r>
          </w:p>
        </w:tc>
        <w:tc>
          <w:tcPr>
            <w:tcW w:w="1995" w:type="dxa"/>
          </w:tcPr>
          <w:p w14:paraId="37FF312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中合中小企业融资担保股份有限公司</w:t>
            </w:r>
          </w:p>
        </w:tc>
        <w:tc>
          <w:tcPr>
            <w:tcW w:w="3859" w:type="dxa"/>
          </w:tcPr>
          <w:p w14:paraId="12F12A55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本金：117906元、利息： 164518.17元，律师费：10000元，案件受理费1398.82元，合计：293822.99元</w:t>
            </w:r>
          </w:p>
        </w:tc>
        <w:tc>
          <w:tcPr>
            <w:tcW w:w="4188" w:type="dxa"/>
            <w:vAlign w:val="top"/>
          </w:tcPr>
          <w:p w14:paraId="07835AD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本金：117906元、利息： 162264.5元，律师费：10000元，合计：290170.5元</w:t>
            </w:r>
          </w:p>
        </w:tc>
        <w:tc>
          <w:tcPr>
            <w:tcW w:w="1425" w:type="dxa"/>
          </w:tcPr>
          <w:p w14:paraId="056B9BF8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290170.5元</w:t>
            </w:r>
          </w:p>
        </w:tc>
        <w:tc>
          <w:tcPr>
            <w:tcW w:w="1115" w:type="dxa"/>
          </w:tcPr>
          <w:p w14:paraId="339983DD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2DBF5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19" w:type="dxa"/>
          </w:tcPr>
          <w:p w14:paraId="7F328D6F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4</w:t>
            </w:r>
          </w:p>
        </w:tc>
        <w:tc>
          <w:tcPr>
            <w:tcW w:w="1125" w:type="dxa"/>
          </w:tcPr>
          <w:p w14:paraId="0E11CCC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税收债权</w:t>
            </w:r>
          </w:p>
        </w:tc>
        <w:tc>
          <w:tcPr>
            <w:tcW w:w="1995" w:type="dxa"/>
          </w:tcPr>
          <w:p w14:paraId="2632FDFE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国家税务总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局宁德市蕉城区税务局</w:t>
            </w:r>
          </w:p>
        </w:tc>
        <w:tc>
          <w:tcPr>
            <w:tcW w:w="3859" w:type="dxa"/>
          </w:tcPr>
          <w:p w14:paraId="1118271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本金：396844.42元，滞纳金：426357.34元，合计823201.76元</w:t>
            </w:r>
          </w:p>
        </w:tc>
        <w:tc>
          <w:tcPr>
            <w:tcW w:w="4188" w:type="dxa"/>
            <w:vAlign w:val="top"/>
          </w:tcPr>
          <w:p w14:paraId="0967B0B6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center" w:pos="16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税税款（包含各费）：396744.42元，列为税款债权</w:t>
            </w:r>
          </w:p>
          <w:p w14:paraId="1F8D46A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center" w:pos="16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滞纳金：426357.34元，列为普通债权</w:t>
            </w:r>
          </w:p>
          <w:p w14:paraId="53BE045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center" w:pos="16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0000FF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罚没收入：100元，列为劣后债权</w:t>
            </w:r>
          </w:p>
        </w:tc>
        <w:tc>
          <w:tcPr>
            <w:tcW w:w="1425" w:type="dxa"/>
          </w:tcPr>
          <w:p w14:paraId="37C700B3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FFFFFF"/>
              <w:tabs>
                <w:tab w:val="center" w:pos="16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823201.76元</w:t>
            </w:r>
          </w:p>
        </w:tc>
        <w:tc>
          <w:tcPr>
            <w:tcW w:w="1115" w:type="dxa"/>
          </w:tcPr>
          <w:p w14:paraId="698D37EC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FFFFFF"/>
              <w:tabs>
                <w:tab w:val="center" w:pos="16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 w:bidi="zh-CN"/>
              </w:rPr>
              <w:t>无</w:t>
            </w:r>
          </w:p>
        </w:tc>
      </w:tr>
    </w:tbl>
    <w:p w14:paraId="4B0DE20B"/>
    <w:sectPr>
      <w:pgSz w:w="16838" w:h="11906" w:orient="landscape"/>
      <w:pgMar w:top="1417" w:right="1134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A266F"/>
    <w:rsid w:val="4B1872EE"/>
    <w:rsid w:val="4E5A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4">
    <w:name w:val="Table Grid"/>
    <w:basedOn w:val="3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text|8"/>
    <w:basedOn w:val="1"/>
    <w:qFormat/>
    <w:uiPriority w:val="0"/>
    <w:pPr>
      <w:shd w:val="clear" w:color="auto" w:fill="FFFFFF"/>
      <w:spacing w:line="626" w:lineRule="exact"/>
      <w:jc w:val="distribute"/>
    </w:pPr>
    <w:rPr>
      <w:rFonts w:ascii="PMingLiU" w:hAnsi="PMingLiU" w:eastAsia="PMingLiU" w:cs="PMingLiU"/>
      <w:b/>
      <w:bCs/>
      <w:sz w:val="26"/>
      <w:szCs w:val="26"/>
    </w:rPr>
  </w:style>
  <w:style w:type="paragraph" w:customStyle="1" w:styleId="7">
    <w:name w:val="Header or footer|12"/>
    <w:basedOn w:val="1"/>
    <w:link w:val="9"/>
    <w:qFormat/>
    <w:uiPriority w:val="0"/>
    <w:pPr>
      <w:shd w:val="clear" w:color="auto" w:fill="FFFFFF"/>
      <w:spacing w:line="338" w:lineRule="exact"/>
    </w:pPr>
    <w:rPr>
      <w:rFonts w:ascii="Arial" w:hAnsi="Arial" w:eastAsia="Arial" w:cs="Arial"/>
      <w:sz w:val="17"/>
      <w:szCs w:val="17"/>
      <w:lang w:val="en-US" w:eastAsia="en-US" w:bidi="en-US"/>
    </w:rPr>
  </w:style>
  <w:style w:type="character" w:customStyle="1" w:styleId="8">
    <w:name w:val="Header or footer|11"/>
    <w:basedOn w:val="9"/>
    <w:unhideWhenUsed/>
    <w:qFormat/>
    <w:uiPriority w:val="0"/>
    <w:rPr>
      <w:rFonts w:ascii="Arial" w:hAnsi="Arial" w:eastAsia="Arial" w:cs="Arial"/>
      <w:color w:val="B0B8CC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9">
    <w:name w:val="Header or footer|1_"/>
    <w:basedOn w:val="5"/>
    <w:link w:val="7"/>
    <w:qFormat/>
    <w:uiPriority w:val="0"/>
    <w:rPr>
      <w:rFonts w:ascii="Arial" w:hAnsi="Arial" w:eastAsia="Arial" w:cs="Arial"/>
      <w:sz w:val="17"/>
      <w:szCs w:val="17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2024-12-16T07:07:00Z</dcterms:created>
  <dc:creator>张典城</dc:creator>
  <cp:lastModifiedBy>张典城</cp:lastModifiedBy>
  <dcterms:modified xsi:type="dcterms:W3CDTF">2024-12-16T07:21:48Z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B78F4392E17D4D31A1772A651BAFDB23_11</vt:lpwstr>
  </property>
</Properties>
</file>