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3FA1D">
      <w:pPr>
        <w:spacing w:line="336" w:lineRule="auto"/>
        <w:jc w:val="center"/>
        <w:rPr>
          <w:rFonts w:ascii="黑体" w:hAnsi="黑体" w:eastAsia="黑体" w:cs="黑体"/>
          <w:sz w:val="26"/>
          <w:szCs w:val="26"/>
        </w:rPr>
      </w:pPr>
      <w:r>
        <w:rPr>
          <w:rFonts w:hint="eastAsia" w:ascii="黑体" w:hAnsi="黑体" w:eastAsia="黑体" w:cs="黑体"/>
          <w:sz w:val="26"/>
          <w:szCs w:val="26"/>
        </w:rPr>
        <w:t>湖南星城医药有限公司名下应收款项等债权</w:t>
      </w:r>
    </w:p>
    <w:p w14:paraId="2CADDCA9">
      <w:pPr>
        <w:spacing w:line="336" w:lineRule="auto"/>
        <w:jc w:val="center"/>
        <w:rPr>
          <w:rFonts w:ascii="黑体" w:hAnsi="黑体" w:eastAsia="黑体" w:cs="黑体"/>
          <w:sz w:val="26"/>
          <w:szCs w:val="26"/>
        </w:rPr>
      </w:pPr>
      <w:r>
        <w:rPr>
          <w:rFonts w:hint="eastAsia" w:ascii="黑体" w:hAnsi="黑体" w:eastAsia="黑体" w:cs="黑体"/>
          <w:sz w:val="26"/>
          <w:szCs w:val="26"/>
        </w:rPr>
        <w:t>竞买公告（一）</w:t>
      </w:r>
    </w:p>
    <w:p w14:paraId="27D1D467">
      <w:pPr>
        <w:spacing w:line="360" w:lineRule="auto"/>
        <w:ind w:firstLine="480" w:firstLineChars="200"/>
        <w:rPr>
          <w:rFonts w:ascii="仿宋" w:hAnsi="仿宋" w:eastAsia="仿宋" w:cs="仿宋"/>
          <w:sz w:val="24"/>
        </w:rPr>
      </w:pPr>
      <w:r>
        <w:rPr>
          <w:rFonts w:hint="eastAsia" w:ascii="仿宋" w:hAnsi="仿宋" w:eastAsia="仿宋" w:cs="仿宋"/>
          <w:sz w:val="24"/>
        </w:rPr>
        <w:t>湖南星城医药有限公司管理人（以下简称“管理人”）将于202</w:t>
      </w:r>
      <w:r>
        <w:rPr>
          <w:rFonts w:hint="eastAsia" w:ascii="仿宋" w:hAnsi="仿宋" w:eastAsia="仿宋" w:cs="仿宋"/>
          <w:sz w:val="24"/>
          <w:lang w:val="en-US" w:eastAsia="zh-CN"/>
        </w:rPr>
        <w:t>5</w:t>
      </w:r>
      <w:r>
        <w:rPr>
          <w:rFonts w:hint="eastAsia" w:ascii="仿宋" w:hAnsi="仿宋" w:eastAsia="仿宋" w:cs="仿宋"/>
          <w:sz w:val="24"/>
        </w:rPr>
        <w:t>年1月</w:t>
      </w:r>
      <w:r>
        <w:rPr>
          <w:rFonts w:hint="eastAsia" w:ascii="仿宋" w:hAnsi="仿宋" w:eastAsia="仿宋" w:cs="仿宋"/>
          <w:sz w:val="24"/>
          <w:lang w:val="en-US" w:eastAsia="zh-CN"/>
        </w:rPr>
        <w:t>7</w:t>
      </w:r>
      <w:r>
        <w:rPr>
          <w:rFonts w:hint="eastAsia" w:ascii="仿宋" w:hAnsi="仿宋" w:eastAsia="仿宋" w:cs="仿宋"/>
          <w:sz w:val="24"/>
        </w:rPr>
        <w:t>日10时至202</w:t>
      </w:r>
      <w:r>
        <w:rPr>
          <w:rFonts w:hint="eastAsia" w:ascii="仿宋" w:hAnsi="仿宋" w:eastAsia="仿宋" w:cs="仿宋"/>
          <w:sz w:val="24"/>
          <w:lang w:val="en-US" w:eastAsia="zh-CN"/>
        </w:rPr>
        <w:t>5</w:t>
      </w:r>
      <w:r>
        <w:rPr>
          <w:rFonts w:hint="eastAsia" w:ascii="仿宋" w:hAnsi="仿宋" w:eastAsia="仿宋" w:cs="仿宋"/>
          <w:sz w:val="24"/>
        </w:rPr>
        <w:t>年1月</w:t>
      </w:r>
      <w:r>
        <w:rPr>
          <w:rFonts w:hint="eastAsia" w:ascii="仿宋" w:hAnsi="仿宋" w:eastAsia="仿宋" w:cs="仿宋"/>
          <w:sz w:val="24"/>
          <w:lang w:val="en-US" w:eastAsia="zh-CN"/>
        </w:rPr>
        <w:t>8</w:t>
      </w:r>
      <w:r>
        <w:rPr>
          <w:rFonts w:hint="eastAsia" w:ascii="仿宋" w:hAnsi="仿宋" w:eastAsia="仿宋" w:cs="仿宋"/>
          <w:sz w:val="24"/>
        </w:rPr>
        <w:t>日10时止（延时除外）在阿里拍卖破产强清平台（处置单位：湖南星城医药有限公司管理人，监督单位：长沙市中级人民法院，网址：</w:t>
      </w:r>
      <w:r>
        <w:rPr>
          <w:rStyle w:val="11"/>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sz w:val="24"/>
        </w:rPr>
        <w:t>）进行公开拍卖活动，现公告如下：</w:t>
      </w:r>
    </w:p>
    <w:p w14:paraId="31E3A29E">
      <w:pPr>
        <w:spacing w:line="360" w:lineRule="auto"/>
        <w:ind w:firstLine="480" w:firstLineChars="200"/>
        <w:rPr>
          <w:rFonts w:ascii="黑体" w:hAnsi="黑体" w:eastAsia="黑体" w:cs="黑体"/>
          <w:sz w:val="24"/>
        </w:rPr>
      </w:pPr>
      <w:r>
        <w:rPr>
          <w:rFonts w:hint="eastAsia" w:ascii="黑体" w:hAnsi="黑体" w:eastAsia="黑体" w:cs="黑体"/>
          <w:sz w:val="24"/>
        </w:rPr>
        <w:t>一、重要提示</w:t>
      </w:r>
    </w:p>
    <w:p w14:paraId="4E75874A">
      <w:pPr>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b/>
          <w:bCs/>
          <w:sz w:val="24"/>
        </w:rPr>
        <w:t>湖南星城医药有限公司名下应收款项等债权以现状为准，可能存在产生时间普遍过长、非合法有效成立之债权、超过诉讼时效、材料缺失严重、没有合法有效的权利凭证、证据不足、财务数据错误、债务人身份不准确或不明确、无法联系等情形。管理人对拍卖标的的真实性、合法性、有效性、唯一性、可转让性、权利瑕疵等，银行流水等证据材料及权利凭证的真实性、完整性、准确性、关联性以及债权清收的困难性和回收的可能性等均不作任何承诺或保证，不承担任何担保责任，竞买人需对影响标的价值的一切因素独立进行综合考量后作出是否竞买的决策，并自行承担竞得该等拍卖标的后可能承受的一切风险、损失或无法实现的预期利益。</w:t>
      </w:r>
    </w:p>
    <w:p w14:paraId="4D546D7E">
      <w:pPr>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本次拍卖系管理人依据《中华人民共和国企业破产法》第25条之规定，由管理人依据湖南星城医药有限公司第一次债权人会议表决通过的《湖南星城医药有限公司债务人财产的变价方案》，通过阿里拍卖破产强清平台依法独立履行职责处分星城医药公司财产。</w:t>
      </w:r>
    </w:p>
    <w:p w14:paraId="294D8238">
      <w:pPr>
        <w:spacing w:line="360" w:lineRule="auto"/>
        <w:ind w:firstLine="480" w:firstLineChars="200"/>
        <w:rPr>
          <w:rFonts w:ascii="仿宋" w:hAnsi="仿宋" w:eastAsia="仿宋" w:cs="仿宋"/>
          <w:sz w:val="24"/>
        </w:rPr>
      </w:pPr>
      <w:r>
        <w:rPr>
          <w:rFonts w:hint="eastAsia" w:ascii="仿宋" w:hAnsi="仿宋" w:eastAsia="仿宋" w:cs="仿宋"/>
          <w:sz w:val="24"/>
        </w:rPr>
        <w:t>本次拍卖不同于司法拍卖，不适用最高人民法院关于网络司法拍卖的相关司法解释。本次拍卖咨询、交接等事项及后续所有手续的最终解释权在管理人。</w:t>
      </w:r>
    </w:p>
    <w:p w14:paraId="2E5B774F">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本次网上公开竞价《竞买公告》、《竞买须知》、《标的物详情》等竞买文件（以下简称“竞买文件”）已在阿里网络竞价平台公开展示，竞拍前请务必仔细阅读、遵照，自行调查标的物信息（如权属状态、法律状态、证据情况、回收要求等）、了解竞买资质、委托代理及尾款支付方式等内容。如违反相关约定，您的保证金可能会被划扣并产生其他法律责任，请理性参拍。</w:t>
      </w:r>
    </w:p>
    <w:p w14:paraId="3AE040B8">
      <w:pPr>
        <w:spacing w:line="360" w:lineRule="auto"/>
        <w:ind w:firstLine="482" w:firstLineChars="200"/>
        <w:rPr>
          <w:rFonts w:ascii="仿宋" w:hAnsi="仿宋" w:eastAsia="仿宋" w:cs="仿宋"/>
          <w:b/>
          <w:bCs/>
          <w:sz w:val="24"/>
        </w:rPr>
      </w:pPr>
      <w:r>
        <w:rPr>
          <w:rFonts w:hint="eastAsia" w:ascii="仿宋" w:hAnsi="仿宋" w:eastAsia="仿宋" w:cs="仿宋"/>
          <w:b/>
          <w:bCs/>
          <w:sz w:val="24"/>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709BB9F9">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管理人已将调查了解到的标的物情况在本竞买公告中予以了披露，但不构成任何确认判断或保证。</w:t>
      </w:r>
      <w:r>
        <w:rPr>
          <w:rFonts w:hint="eastAsia" w:ascii="仿宋" w:hAnsi="仿宋" w:eastAsia="仿宋" w:cs="仿宋"/>
          <w:color w:val="C00000"/>
          <w:sz w:val="24"/>
        </w:rPr>
        <w:t>本次竞买公告所作的情况说明以及瑕疵（含显性、隐性瑕疵），仅为竞买人参与竞买提供参考，不能作为竞买人判断、权衡价值的最终依据，不构成对标的物的任何保证。</w:t>
      </w:r>
      <w:r>
        <w:rPr>
          <w:rFonts w:hint="eastAsia" w:ascii="仿宋" w:hAnsi="仿宋" w:eastAsia="仿宋" w:cs="仿宋"/>
          <w:sz w:val="24"/>
        </w:rPr>
        <w:t>竞买人根据自身需求可自行调查、了解、核实。未尽事宜，管理人亦不承担任何责任。</w:t>
      </w:r>
    </w:p>
    <w:p w14:paraId="010E02D0">
      <w:pPr>
        <w:spacing w:line="360" w:lineRule="auto"/>
        <w:ind w:firstLine="480" w:firstLineChars="200"/>
        <w:rPr>
          <w:rFonts w:ascii="仿宋" w:hAnsi="仿宋" w:eastAsia="仿宋" w:cs="仿宋"/>
          <w:color w:val="C00000"/>
          <w:sz w:val="24"/>
        </w:rPr>
      </w:pPr>
      <w:r>
        <w:rPr>
          <w:rFonts w:hint="eastAsia" w:ascii="黑体" w:hAnsi="黑体" w:eastAsia="黑体" w:cs="黑体"/>
          <w:sz w:val="24"/>
        </w:rPr>
        <w:t>5.</w:t>
      </w:r>
      <w:r>
        <w:rPr>
          <w:rFonts w:hint="eastAsia" w:ascii="仿宋" w:hAnsi="仿宋" w:eastAsia="仿宋" w:cs="仿宋"/>
          <w:color w:val="C00000"/>
          <w:sz w:val="24"/>
        </w:rPr>
        <w:t>标的物可能存在其它的瑕疵或尚未发现的缺陷，诸如本公告列举但可能并未穷尽的涉及到标的物的各种瑕疵情况、各种缺陷或者其他的各种不利情况和负担、不利影响等。竞买人务必于竞买前亲自对该竞买标的物的法律及自然现状（含可能隐含的所有各项瑕疵和风险）进行深入而全面地调查了解且在确定能够承受已知或可能存在的瑕疵、缺陷、风险后再作决定，包括亲自向相关债务人交涉等以及其他需注意的事项，或聘请专家提供专业意见。</w:t>
      </w:r>
      <w:r>
        <w:rPr>
          <w:rFonts w:hint="eastAsia" w:ascii="仿宋" w:hAnsi="仿宋" w:eastAsia="仿宋" w:cs="仿宋"/>
          <w:b/>
          <w:bCs/>
          <w:color w:val="C00000"/>
          <w:sz w:val="24"/>
        </w:rPr>
        <w:t>竞买人一旦完成报名手续，即表明对该标的物的现状（含风险）已作全面了解、自行承担全部风险及责任，法院、管理人和拍卖平台不承担对标的物的一切已知和其他可能存在未知的瑕疵及缺陷、风险的任何担保责任。</w:t>
      </w:r>
    </w:p>
    <w:p w14:paraId="2D3277EB">
      <w:pPr>
        <w:spacing w:line="360" w:lineRule="auto"/>
        <w:ind w:firstLine="480" w:firstLineChars="200"/>
        <w:rPr>
          <w:rFonts w:ascii="仿宋" w:hAnsi="仿宋" w:eastAsia="仿宋" w:cs="仿宋"/>
          <w:b/>
          <w:bCs/>
          <w:sz w:val="24"/>
        </w:rPr>
      </w:pPr>
      <w:r>
        <w:rPr>
          <w:rFonts w:hint="eastAsia" w:ascii="黑体" w:hAnsi="黑体" w:eastAsia="黑体" w:cs="黑体"/>
          <w:sz w:val="24"/>
        </w:rPr>
        <w:t>6.</w:t>
      </w:r>
      <w:r>
        <w:rPr>
          <w:rFonts w:hint="eastAsia" w:ascii="仿宋" w:hAnsi="仿宋" w:eastAsia="仿宋" w:cs="仿宋"/>
          <w:b/>
          <w:bCs/>
          <w:sz w:val="24"/>
        </w:rPr>
        <w:t>本次拍卖标的以其现状为准，全部依其现状进行处置与交付。标的物现状是指标的物的数量、质量、内在构成、权属状况、法律效力及其他法律状态、书面资料、资产外观、实现难度、经济效益、潜在损失以及显性、隐性瑕疵、缺陷、风险等现实状况，均以移交时的现状为准，实际权利状态、收回可能性以及收回数额以司法机关等有权机关确认的为准。</w:t>
      </w:r>
      <w:r>
        <w:rPr>
          <w:rFonts w:hint="eastAsia" w:ascii="仿宋" w:hAnsi="仿宋" w:eastAsia="仿宋" w:cs="仿宋"/>
          <w:b/>
          <w:bCs/>
          <w:color w:val="C00000"/>
          <w:sz w:val="24"/>
        </w:rPr>
        <w:t>竞买人一旦报名出价且成交的，则表示竞买人完全了解标的物现状并无条件认可成交时点及交付时点的标的物现状，</w:t>
      </w:r>
      <w:r>
        <w:rPr>
          <w:rFonts w:hint="eastAsia" w:ascii="仿宋" w:hAnsi="仿宋" w:eastAsia="仿宋" w:cs="仿宋"/>
          <w:b/>
          <w:bCs/>
          <w:color w:val="C00000"/>
          <w:sz w:val="24"/>
          <w:highlight w:val="yellow"/>
        </w:rPr>
        <w:t>视为放弃向管理人、长沙中院、拍卖机构提出任何异议、追索、抗辩的权利</w:t>
      </w:r>
      <w:r>
        <w:rPr>
          <w:rFonts w:hint="eastAsia" w:ascii="仿宋" w:hAnsi="仿宋" w:eastAsia="仿宋" w:cs="仿宋"/>
          <w:b/>
          <w:bCs/>
          <w:color w:val="C00000"/>
          <w:sz w:val="24"/>
        </w:rPr>
        <w:t>，自行承担经济及法律上的一切不利后果，否则按竞买人悔拍处理。</w:t>
      </w:r>
      <w:r>
        <w:rPr>
          <w:rFonts w:hint="eastAsia" w:ascii="仿宋" w:hAnsi="仿宋" w:eastAsia="仿宋" w:cs="仿宋"/>
          <w:b/>
          <w:bCs/>
          <w:sz w:val="24"/>
        </w:rPr>
        <w:t>管理人对拍卖标的物所作的说明和提供的材料、图片、资料等，仅供竞买人参考，不构成对标的物的任何担保、承诺。法院与管理人不承担标的物的瑕疵保证责任，不提供任何标的物可收回的保证或承诺。</w:t>
      </w:r>
      <w:r>
        <w:rPr>
          <w:rFonts w:hint="eastAsia" w:ascii="仿宋" w:hAnsi="仿宋" w:eastAsia="仿宋" w:cs="仿宋"/>
          <w:sz w:val="24"/>
        </w:rPr>
        <w:t>除竞买文件披露外，竞买人应对拍卖标的的实际状况（包括但不限于权属、法律状态等）以及瑕疵（含显性、隐性瑕疵）、市场价格的波动、司法认定的标准等自行调查核实、充分考虑、谨慎选择，并承担一切投资风险。</w:t>
      </w:r>
    </w:p>
    <w:p w14:paraId="703E3516">
      <w:pPr>
        <w:spacing w:line="360" w:lineRule="auto"/>
        <w:ind w:firstLine="480" w:firstLineChars="200"/>
        <w:rPr>
          <w:rFonts w:ascii="仿宋" w:hAnsi="仿宋" w:eastAsia="仿宋" w:cs="仿宋"/>
          <w:sz w:val="24"/>
        </w:rPr>
      </w:pPr>
      <w:r>
        <w:rPr>
          <w:rFonts w:hint="eastAsia" w:ascii="黑体" w:hAnsi="黑体" w:eastAsia="黑体" w:cs="黑体"/>
          <w:sz w:val="24"/>
        </w:rPr>
        <w:t>7.</w:t>
      </w:r>
      <w:r>
        <w:rPr>
          <w:rFonts w:hint="eastAsia" w:ascii="仿宋" w:hAnsi="仿宋" w:eastAsia="仿宋" w:cs="仿宋"/>
          <w:sz w:val="24"/>
        </w:rPr>
        <w:t>买受人在拍卖成交后所获得的债权权益以星城医药公司所享有的权益为准，如星城医药公司的权益依法不成立、不存在、不准确或无法转让、无法收回，或存在瑕疵、缺陷或附随义务等，买受人将同样受到该不利事实、瑕疵、缺陷或附随义务等的约束。上述存在的或尚未发现的不利事实、瑕疵、缺陷或附随义务等，由买受人自行调查核实并自行承担全部风险及损失。</w:t>
      </w:r>
    </w:p>
    <w:p w14:paraId="3D5CA0C0">
      <w:pPr>
        <w:spacing w:line="360" w:lineRule="auto"/>
        <w:ind w:firstLine="480" w:firstLineChars="200"/>
        <w:rPr>
          <w:rFonts w:ascii="仿宋" w:hAnsi="仿宋" w:eastAsia="仿宋" w:cs="仿宋"/>
          <w:sz w:val="24"/>
        </w:rPr>
      </w:pPr>
      <w:r>
        <w:rPr>
          <w:rFonts w:hint="eastAsia" w:ascii="黑体" w:hAnsi="黑体" w:eastAsia="黑体" w:cs="黑体"/>
          <w:sz w:val="24"/>
        </w:rPr>
        <w:t>8.</w:t>
      </w:r>
      <w:r>
        <w:rPr>
          <w:rFonts w:hint="eastAsia" w:ascii="仿宋" w:hAnsi="仿宋" w:eastAsia="仿宋" w:cs="仿宋"/>
          <w:sz w:val="24"/>
        </w:rPr>
        <w:t>任何机构及个人（含中介服务机构等）存在与本公告内容不一致的表述与宣称，均属不实言论。</w:t>
      </w:r>
    </w:p>
    <w:p w14:paraId="5A376EA4">
      <w:pPr>
        <w:spacing w:line="360" w:lineRule="auto"/>
        <w:ind w:firstLine="480" w:firstLineChars="200"/>
        <w:rPr>
          <w:rFonts w:ascii="黑体" w:hAnsi="黑体" w:eastAsia="黑体" w:cs="黑体"/>
          <w:sz w:val="24"/>
        </w:rPr>
      </w:pPr>
      <w:r>
        <w:rPr>
          <w:rFonts w:hint="eastAsia" w:ascii="黑体" w:hAnsi="黑体" w:eastAsia="黑体" w:cs="黑体"/>
          <w:sz w:val="24"/>
        </w:rPr>
        <w:t>二、拍卖标的详情</w:t>
      </w:r>
    </w:p>
    <w:p w14:paraId="5DBA6102">
      <w:pPr>
        <w:spacing w:line="360" w:lineRule="auto"/>
        <w:ind w:firstLine="480" w:firstLineChars="200"/>
        <w:rPr>
          <w:rFonts w:ascii="黑体" w:hAnsi="黑体" w:eastAsia="黑体" w:cs="黑体"/>
          <w:sz w:val="24"/>
        </w:rPr>
      </w:pPr>
      <w:r>
        <w:rPr>
          <w:rFonts w:hint="eastAsia" w:ascii="黑体" w:hAnsi="黑体" w:eastAsia="黑体" w:cs="黑体"/>
          <w:sz w:val="24"/>
        </w:rPr>
        <w:t>（一）拍卖标的</w:t>
      </w:r>
    </w:p>
    <w:p w14:paraId="0F974EE5">
      <w:pPr>
        <w:spacing w:line="360" w:lineRule="auto"/>
        <w:ind w:firstLine="480" w:firstLineChars="200"/>
        <w:rPr>
          <w:rFonts w:ascii="黑体" w:hAnsi="黑体" w:eastAsia="黑体" w:cs="黑体"/>
          <w:sz w:val="24"/>
        </w:rPr>
      </w:pPr>
      <w:r>
        <w:rPr>
          <w:rFonts w:hint="eastAsia" w:ascii="仿宋" w:hAnsi="仿宋" w:eastAsia="仿宋" w:cs="仿宋"/>
          <w:sz w:val="24"/>
        </w:rPr>
        <w:t>湖南星城医药有限公司（以下简称“星城医药公司”）</w:t>
      </w:r>
      <w:r>
        <w:rPr>
          <w:rFonts w:hint="eastAsia" w:ascii="仿宋" w:hAnsi="仿宋" w:eastAsia="仿宋" w:cs="仿宋"/>
          <w:sz w:val="24"/>
          <w:shd w:val="clear" w:color="auto" w:fill="FFFFFF"/>
        </w:rPr>
        <w:t>名下的应收款项等债权（又称“标的债权”“拍卖标的”“标的物”），相关情况见下表(催收/统计依据：湖南新财苑会计师事务所有限公司出具的</w:t>
      </w:r>
      <w:r>
        <w:rPr>
          <w:rFonts w:hint="eastAsia" w:ascii="仿宋" w:hAnsi="仿宋" w:eastAsia="仿宋" w:cs="仿宋"/>
          <w:sz w:val="24"/>
          <w:shd w:val="clear" w:color="auto" w:fill="FFFFFF"/>
          <w:lang w:bidi="ar"/>
        </w:rPr>
        <w:t>《湖南星城医药有限公司破产清算专项审计报告【湘财苑专审字</w:t>
      </w:r>
      <w:r>
        <w:rPr>
          <w:rFonts w:ascii="仿宋" w:hAnsi="仿宋" w:eastAsia="仿宋" w:cs="仿宋"/>
          <w:sz w:val="24"/>
          <w:shd w:val="clear" w:color="auto" w:fill="FFFFFF"/>
          <w:lang w:bidi="ar"/>
        </w:rPr>
        <w:t>[2022]第001号】</w:t>
      </w:r>
      <w:r>
        <w:rPr>
          <w:rFonts w:hint="eastAsia" w:ascii="仿宋" w:hAnsi="仿宋" w:eastAsia="仿宋" w:cs="仿宋"/>
          <w:sz w:val="24"/>
          <w:shd w:val="clear" w:color="auto" w:fill="FFFFFF"/>
          <w:lang w:bidi="ar"/>
        </w:rPr>
        <w:t>》及补充审计说明</w:t>
      </w:r>
      <w:r>
        <w:rPr>
          <w:rFonts w:hint="eastAsia" w:ascii="仿宋" w:hAnsi="仿宋" w:eastAsia="仿宋" w:cs="仿宋"/>
          <w:sz w:val="24"/>
          <w:shd w:val="clear" w:color="auto" w:fill="FFFFFF"/>
        </w:rPr>
        <w:t>)（《债权文件材料》见附件，</w:t>
      </w:r>
      <w:r>
        <w:rPr>
          <w:rFonts w:hint="eastAsia" w:ascii="仿宋" w:hAnsi="仿宋" w:eastAsia="仿宋" w:cs="仿宋"/>
          <w:b/>
          <w:bCs/>
          <w:sz w:val="24"/>
          <w:shd w:val="clear" w:color="auto" w:fill="FFFFFF"/>
        </w:rPr>
        <w:t>不代表全部标的物均依法构成债权，以现状为准</w:t>
      </w:r>
      <w:r>
        <w:rPr>
          <w:rFonts w:hint="eastAsia" w:ascii="仿宋" w:hAnsi="仿宋" w:eastAsia="仿宋" w:cs="仿宋"/>
          <w:sz w:val="24"/>
          <w:shd w:val="clear" w:color="auto" w:fill="FFFFFF"/>
        </w:rPr>
        <w:t>）：</w:t>
      </w:r>
    </w:p>
    <w:tbl>
      <w:tblPr>
        <w:tblStyle w:val="8"/>
        <w:tblW w:w="9905" w:type="dxa"/>
        <w:tblInd w:w="-7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83"/>
        <w:gridCol w:w="695"/>
        <w:gridCol w:w="2481"/>
        <w:gridCol w:w="5037"/>
      </w:tblGrid>
      <w:tr w14:paraId="7391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905" w:type="dxa"/>
            <w:gridSpan w:val="5"/>
            <w:vAlign w:val="center"/>
          </w:tcPr>
          <w:p w14:paraId="4FB10E97">
            <w:pPr>
              <w:jc w:val="center"/>
              <w:rPr>
                <w:rFonts w:ascii="黑体" w:hAnsi="黑体" w:eastAsia="黑体" w:cs="黑体"/>
                <w:sz w:val="24"/>
              </w:rPr>
            </w:pPr>
            <w:r>
              <w:rPr>
                <w:rFonts w:hint="eastAsia" w:ascii="黑体" w:hAnsi="黑体" w:eastAsia="黑体" w:cs="黑体"/>
              </w:rPr>
              <w:t>债权明细表</w:t>
            </w:r>
          </w:p>
        </w:tc>
      </w:tr>
      <w:tr w14:paraId="5D227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14:paraId="26FAB696">
            <w:pPr>
              <w:jc w:val="center"/>
              <w:rPr>
                <w:rFonts w:ascii="黑体" w:hAnsi="黑体" w:eastAsia="黑体" w:cs="黑体"/>
                <w:szCs w:val="21"/>
              </w:rPr>
            </w:pPr>
            <w:r>
              <w:rPr>
                <w:rFonts w:hint="eastAsia" w:ascii="黑体" w:hAnsi="黑体" w:eastAsia="黑体" w:cs="黑体"/>
              </w:rPr>
              <w:t>序号</w:t>
            </w:r>
          </w:p>
        </w:tc>
        <w:tc>
          <w:tcPr>
            <w:tcW w:w="983" w:type="dxa"/>
            <w:vAlign w:val="center"/>
          </w:tcPr>
          <w:p w14:paraId="5221A117">
            <w:pPr>
              <w:jc w:val="center"/>
              <w:rPr>
                <w:rFonts w:ascii="黑体" w:hAnsi="黑体" w:eastAsia="黑体" w:cs="黑体"/>
              </w:rPr>
            </w:pPr>
            <w:r>
              <w:rPr>
                <w:rFonts w:hint="eastAsia" w:ascii="黑体" w:hAnsi="黑体" w:eastAsia="黑体" w:cs="黑体"/>
              </w:rPr>
              <w:t>科目</w:t>
            </w:r>
          </w:p>
          <w:p w14:paraId="641DC65C">
            <w:pPr>
              <w:jc w:val="center"/>
              <w:rPr>
                <w:rFonts w:ascii="黑体" w:hAnsi="黑体" w:eastAsia="黑体" w:cs="黑体"/>
                <w:szCs w:val="21"/>
              </w:rPr>
            </w:pPr>
            <w:r>
              <w:rPr>
                <w:rFonts w:hint="eastAsia" w:ascii="黑体" w:hAnsi="黑体" w:eastAsia="黑体" w:cs="黑体"/>
              </w:rPr>
              <w:t>名称</w:t>
            </w:r>
          </w:p>
        </w:tc>
        <w:tc>
          <w:tcPr>
            <w:tcW w:w="695" w:type="dxa"/>
            <w:vAlign w:val="center"/>
          </w:tcPr>
          <w:p w14:paraId="0CFB4EC9">
            <w:pPr>
              <w:jc w:val="center"/>
              <w:rPr>
                <w:rFonts w:ascii="黑体" w:hAnsi="黑体" w:eastAsia="黑体" w:cs="黑体"/>
                <w:szCs w:val="21"/>
              </w:rPr>
            </w:pPr>
            <w:r>
              <w:rPr>
                <w:rFonts w:hint="eastAsia" w:ascii="黑体" w:hAnsi="黑体" w:eastAsia="黑体" w:cs="黑体"/>
              </w:rPr>
              <w:t>性质</w:t>
            </w:r>
          </w:p>
        </w:tc>
        <w:tc>
          <w:tcPr>
            <w:tcW w:w="2481" w:type="dxa"/>
            <w:vAlign w:val="center"/>
          </w:tcPr>
          <w:p w14:paraId="54FB95E2">
            <w:pPr>
              <w:jc w:val="center"/>
              <w:rPr>
                <w:rFonts w:ascii="黑体" w:hAnsi="黑体" w:eastAsia="黑体" w:cs="黑体"/>
                <w:szCs w:val="21"/>
              </w:rPr>
            </w:pPr>
            <w:r>
              <w:rPr>
                <w:rFonts w:hint="eastAsia" w:ascii="黑体" w:hAnsi="黑体" w:eastAsia="黑体" w:cs="黑体"/>
              </w:rPr>
              <w:t>审定金额（元）</w:t>
            </w:r>
          </w:p>
        </w:tc>
        <w:tc>
          <w:tcPr>
            <w:tcW w:w="5037" w:type="dxa"/>
            <w:vAlign w:val="center"/>
          </w:tcPr>
          <w:p w14:paraId="19F822C7">
            <w:pPr>
              <w:jc w:val="center"/>
              <w:rPr>
                <w:rFonts w:ascii="黑体" w:hAnsi="黑体" w:eastAsia="黑体" w:cs="黑体"/>
                <w:kern w:val="0"/>
                <w:szCs w:val="21"/>
                <w:lang w:bidi="ar"/>
              </w:rPr>
            </w:pPr>
            <w:r>
              <w:rPr>
                <w:rFonts w:hint="eastAsia" w:ascii="黑体" w:hAnsi="黑体" w:eastAsia="黑体" w:cs="黑体"/>
              </w:rPr>
              <w:t>审计报告载述内容</w:t>
            </w:r>
          </w:p>
        </w:tc>
      </w:tr>
      <w:tr w14:paraId="7BAC6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35C3ACF">
            <w:pPr>
              <w:jc w:val="center"/>
              <w:rPr>
                <w:rFonts w:ascii="仿宋" w:hAnsi="仿宋" w:eastAsia="仿宋" w:cs="仿宋"/>
                <w:szCs w:val="21"/>
              </w:rPr>
            </w:pPr>
            <w:r>
              <w:rPr>
                <w:rFonts w:hint="eastAsia" w:ascii="仿宋" w:hAnsi="仿宋" w:eastAsia="仿宋" w:cs="仿宋"/>
                <w:szCs w:val="21"/>
              </w:rPr>
              <w:t>1</w:t>
            </w:r>
          </w:p>
        </w:tc>
        <w:tc>
          <w:tcPr>
            <w:tcW w:w="983" w:type="dxa"/>
            <w:vAlign w:val="center"/>
          </w:tcPr>
          <w:p w14:paraId="36D16DD9">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湖南本草纲目医药连锁有限公司</w:t>
            </w:r>
          </w:p>
        </w:tc>
        <w:tc>
          <w:tcPr>
            <w:tcW w:w="695" w:type="dxa"/>
            <w:vAlign w:val="center"/>
          </w:tcPr>
          <w:p w14:paraId="53F31C40">
            <w:pPr>
              <w:widowControl/>
              <w:jc w:val="center"/>
              <w:textAlignment w:val="bottom"/>
              <w:rPr>
                <w:rFonts w:ascii="仿宋" w:hAnsi="仿宋" w:eastAsia="仿宋" w:cs="仿宋"/>
                <w:szCs w:val="21"/>
              </w:rPr>
            </w:pPr>
            <w:r>
              <w:rPr>
                <w:rFonts w:hint="eastAsia" w:ascii="仿宋" w:hAnsi="仿宋" w:eastAsia="仿宋" w:cs="仿宋"/>
                <w:szCs w:val="21"/>
              </w:rPr>
              <w:t>应收账款</w:t>
            </w:r>
          </w:p>
        </w:tc>
        <w:tc>
          <w:tcPr>
            <w:tcW w:w="2481" w:type="dxa"/>
            <w:vAlign w:val="center"/>
          </w:tcPr>
          <w:p w14:paraId="47DA4B17">
            <w:pPr>
              <w:jc w:val="center"/>
              <w:rPr>
                <w:rFonts w:ascii="仿宋" w:hAnsi="仿宋" w:eastAsia="仿宋" w:cs="仿宋"/>
                <w:kern w:val="0"/>
                <w:szCs w:val="21"/>
                <w:lang w:bidi="ar"/>
              </w:rPr>
            </w:pPr>
            <w:r>
              <w:rPr>
                <w:rFonts w:hint="eastAsia" w:ascii="仿宋" w:hAnsi="仿宋" w:eastAsia="仿宋" w:cs="仿宋"/>
                <w:kern w:val="0"/>
                <w:szCs w:val="21"/>
                <w:lang w:bidi="ar"/>
              </w:rPr>
              <w:t>150648.75</w:t>
            </w:r>
          </w:p>
        </w:tc>
        <w:tc>
          <w:tcPr>
            <w:tcW w:w="5037" w:type="dxa"/>
          </w:tcPr>
          <w:p w14:paraId="5A17F4DD">
            <w:pPr>
              <w:spacing w:line="400" w:lineRule="exact"/>
              <w:rPr>
                <w:rFonts w:ascii="仿宋" w:hAnsi="仿宋" w:eastAsia="仿宋" w:cs="仿宋"/>
                <w:szCs w:val="21"/>
              </w:rPr>
            </w:pPr>
            <w:r>
              <w:rPr>
                <w:rFonts w:hint="eastAsia" w:ascii="仿宋" w:hAnsi="仿宋" w:eastAsia="仿宋" w:cs="仿宋"/>
                <w:bCs/>
                <w:szCs w:val="21"/>
              </w:rPr>
              <w:t>根据长沙市岳麓区人民法院2019年9月18日出具的（2019）湘0104民初10383号民事判决书及获取的星城医药会计账簿账面记录，确认湖南本草纲目医药连锁有限公司欠付星城医药货款136318.80元。2022年3月23日，湖南省长沙市中级人民法院作出（2021）湘01破申500号民事裁定书，裁定受理湖南本草纲目医药连锁有限公司破产清算一案。依据湖南本草纲目医药连锁有限公司管理人出具的《债权审核确认书》，确认上述货款利息为14329.95元，债权合计150648.75元，故本次审计补充确认上述货款利息14329.95元，湖南本草纲目医药连锁有限公司应收款总额为150648.75元。</w:t>
            </w:r>
          </w:p>
        </w:tc>
      </w:tr>
      <w:tr w14:paraId="1C1F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25383E0B">
            <w:pPr>
              <w:jc w:val="center"/>
              <w:rPr>
                <w:rFonts w:ascii="仿宋" w:hAnsi="仿宋" w:eastAsia="仿宋" w:cs="仿宋"/>
                <w:szCs w:val="21"/>
              </w:rPr>
            </w:pPr>
            <w:r>
              <w:rPr>
                <w:rFonts w:hint="eastAsia" w:ascii="仿宋" w:hAnsi="仿宋" w:eastAsia="仿宋" w:cs="仿宋"/>
                <w:szCs w:val="21"/>
              </w:rPr>
              <w:t>2</w:t>
            </w:r>
          </w:p>
        </w:tc>
        <w:tc>
          <w:tcPr>
            <w:tcW w:w="983" w:type="dxa"/>
            <w:vAlign w:val="center"/>
          </w:tcPr>
          <w:p w14:paraId="14F1437F">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益阳市中心医院</w:t>
            </w:r>
          </w:p>
        </w:tc>
        <w:tc>
          <w:tcPr>
            <w:tcW w:w="695" w:type="dxa"/>
            <w:vAlign w:val="center"/>
          </w:tcPr>
          <w:p w14:paraId="251A6AC0">
            <w:pPr>
              <w:widowControl/>
              <w:jc w:val="center"/>
              <w:textAlignment w:val="bottom"/>
              <w:rPr>
                <w:rFonts w:ascii="仿宋" w:hAnsi="仿宋" w:eastAsia="仿宋" w:cs="仿宋"/>
                <w:szCs w:val="21"/>
              </w:rPr>
            </w:pPr>
            <w:r>
              <w:rPr>
                <w:rFonts w:hint="eastAsia" w:ascii="仿宋" w:hAnsi="仿宋" w:eastAsia="仿宋" w:cs="仿宋"/>
                <w:szCs w:val="21"/>
              </w:rPr>
              <w:t>应收账款</w:t>
            </w:r>
          </w:p>
        </w:tc>
        <w:tc>
          <w:tcPr>
            <w:tcW w:w="2481" w:type="dxa"/>
            <w:vAlign w:val="center"/>
          </w:tcPr>
          <w:p w14:paraId="246E9479">
            <w:pPr>
              <w:jc w:val="center"/>
              <w:rPr>
                <w:rFonts w:ascii="仿宋" w:hAnsi="仿宋" w:eastAsia="仿宋" w:cs="仿宋"/>
                <w:kern w:val="0"/>
                <w:szCs w:val="21"/>
                <w:lang w:bidi="ar"/>
              </w:rPr>
            </w:pPr>
            <w:r>
              <w:rPr>
                <w:rFonts w:hint="eastAsia" w:ascii="仿宋" w:hAnsi="仿宋" w:eastAsia="仿宋" w:cs="仿宋"/>
                <w:kern w:val="0"/>
                <w:szCs w:val="21"/>
                <w:lang w:bidi="ar"/>
              </w:rPr>
              <w:t>15236.36</w:t>
            </w:r>
          </w:p>
        </w:tc>
        <w:tc>
          <w:tcPr>
            <w:tcW w:w="5037" w:type="dxa"/>
          </w:tcPr>
          <w:p w14:paraId="5F4F208D">
            <w:pPr>
              <w:spacing w:line="400" w:lineRule="exact"/>
              <w:rPr>
                <w:rFonts w:ascii="仿宋" w:hAnsi="仿宋" w:eastAsia="仿宋" w:cs="仿宋"/>
                <w:kern w:val="0"/>
                <w:szCs w:val="21"/>
                <w:lang w:bidi="ar"/>
              </w:rPr>
            </w:pPr>
            <w:r>
              <w:rPr>
                <w:rFonts w:hint="eastAsia" w:ascii="仿宋" w:hAnsi="仿宋" w:eastAsia="仿宋" w:cs="仿宋"/>
                <w:bCs/>
                <w:szCs w:val="21"/>
              </w:rPr>
              <w:t>根据2021年12月21日益阳市中心医院出具的《关于湖南星城医药有限公司账户余额的情况说明》，益阳市中心医院尚欠付星城医药货款15,236.36元，本次审计确认上述应收账款15,236.36元。</w:t>
            </w:r>
          </w:p>
        </w:tc>
      </w:tr>
      <w:tr w14:paraId="0263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DA362A5">
            <w:pPr>
              <w:jc w:val="center"/>
              <w:rPr>
                <w:rFonts w:ascii="仿宋" w:hAnsi="仿宋" w:eastAsia="仿宋" w:cs="仿宋"/>
                <w:szCs w:val="21"/>
              </w:rPr>
            </w:pPr>
            <w:r>
              <w:rPr>
                <w:rFonts w:hint="eastAsia" w:ascii="仿宋" w:hAnsi="仿宋" w:eastAsia="仿宋" w:cs="仿宋"/>
                <w:szCs w:val="21"/>
              </w:rPr>
              <w:t>3</w:t>
            </w:r>
          </w:p>
        </w:tc>
        <w:tc>
          <w:tcPr>
            <w:tcW w:w="983" w:type="dxa"/>
            <w:vAlign w:val="center"/>
          </w:tcPr>
          <w:p w14:paraId="74463E03">
            <w:pPr>
              <w:widowControl/>
              <w:jc w:val="center"/>
              <w:textAlignment w:val="bottom"/>
              <w:rPr>
                <w:rFonts w:ascii="仿宋" w:hAnsi="仿宋" w:eastAsia="仿宋" w:cs="仿宋"/>
                <w:szCs w:val="21"/>
              </w:rPr>
            </w:pPr>
            <w:r>
              <w:rPr>
                <w:rFonts w:hint="eastAsia" w:ascii="仿宋" w:hAnsi="仿宋" w:eastAsia="仿宋" w:cs="仿宋"/>
                <w:szCs w:val="21"/>
              </w:rPr>
              <w:t>湖南星欣贸易有限公司</w:t>
            </w:r>
          </w:p>
        </w:tc>
        <w:tc>
          <w:tcPr>
            <w:tcW w:w="695" w:type="dxa"/>
            <w:vAlign w:val="center"/>
          </w:tcPr>
          <w:p w14:paraId="645C1EAB">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vAlign w:val="center"/>
          </w:tcPr>
          <w:p w14:paraId="216ED8B7">
            <w:pPr>
              <w:jc w:val="center"/>
              <w:rPr>
                <w:rFonts w:ascii="仿宋" w:hAnsi="仿宋" w:eastAsia="仿宋" w:cs="仿宋"/>
                <w:szCs w:val="21"/>
              </w:rPr>
            </w:pPr>
            <w:r>
              <w:rPr>
                <w:rFonts w:hint="eastAsia" w:ascii="仿宋" w:hAnsi="仿宋" w:eastAsia="仿宋" w:cs="仿宋"/>
                <w:szCs w:val="21"/>
              </w:rPr>
              <w:t>15333519.55</w:t>
            </w:r>
          </w:p>
        </w:tc>
        <w:tc>
          <w:tcPr>
            <w:tcW w:w="5037" w:type="dxa"/>
          </w:tcPr>
          <w:p w14:paraId="27587569">
            <w:pPr>
              <w:spacing w:line="400" w:lineRule="exact"/>
              <w:rPr>
                <w:rFonts w:ascii="仿宋" w:hAnsi="仿宋" w:eastAsia="仿宋" w:cs="仿宋"/>
                <w:szCs w:val="21"/>
              </w:rPr>
            </w:pPr>
            <w:r>
              <w:rPr>
                <w:rFonts w:hint="eastAsia" w:ascii="仿宋" w:hAnsi="仿宋" w:eastAsia="仿宋" w:cs="仿宋"/>
                <w:bCs/>
                <w:szCs w:val="21"/>
              </w:rPr>
              <w:t>根据2020年8月29日星城医药与湖南星欣贸易有限公司（以下简称“星欣贸易”）、宁拥军、宁拥华、湖南星恒投资置业有限公司（以下简称“星恒置业”）签订的《协议书》，确认2014年8月、9月星欣贸易因偿付工商银行长沙市树木岭支行贷款本息向星城医药借款4500000.00元，2017年7月至2018年6月，星城医药代星欣贸易支付款项2540000.00元，宁拥军宁拥华、星恒置业对上述款项承担担保责任。获取的星城医药会计账簿账面记录显示，2020年8月29日后星城医药与星欣贸易无往来交易。2021年7月26日，宁乡市人民法院作出（2021）湘0182破申3号民事裁定书，裁定受理湖南星恒投资置业有限公司破产重整一案。依据湖南星恒投资置业有限公司管理人出具的《债权复审函》，确认上述借款、代付款的利息共8293519.55元，债权合计15333519.55元，故本次审计确认应收星欣贸易15333519.55元，宁拥军宁拥华、星恒置业承担连带责任担保。</w:t>
            </w:r>
          </w:p>
        </w:tc>
      </w:tr>
      <w:tr w14:paraId="3096D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09" w:type="dxa"/>
            <w:vAlign w:val="center"/>
          </w:tcPr>
          <w:p w14:paraId="1E22E880">
            <w:pPr>
              <w:jc w:val="center"/>
              <w:rPr>
                <w:rFonts w:ascii="仿宋" w:hAnsi="仿宋" w:eastAsia="仿宋" w:cs="仿宋"/>
                <w:szCs w:val="21"/>
              </w:rPr>
            </w:pPr>
            <w:r>
              <w:rPr>
                <w:rFonts w:hint="eastAsia" w:ascii="仿宋" w:hAnsi="仿宋" w:eastAsia="仿宋" w:cs="仿宋"/>
                <w:szCs w:val="21"/>
              </w:rPr>
              <w:t>4</w:t>
            </w:r>
          </w:p>
        </w:tc>
        <w:tc>
          <w:tcPr>
            <w:tcW w:w="983" w:type="dxa"/>
            <w:shd w:val="clear" w:color="auto" w:fill="auto"/>
            <w:vAlign w:val="center"/>
          </w:tcPr>
          <w:p w14:paraId="4B7E78DC">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湖南康盾健康科技有限公司</w:t>
            </w:r>
          </w:p>
        </w:tc>
        <w:tc>
          <w:tcPr>
            <w:tcW w:w="695" w:type="dxa"/>
            <w:shd w:val="clear" w:color="auto" w:fill="auto"/>
            <w:vAlign w:val="center"/>
          </w:tcPr>
          <w:p w14:paraId="5C8B07A9">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shd w:val="clear" w:color="auto" w:fill="auto"/>
            <w:vAlign w:val="center"/>
          </w:tcPr>
          <w:p w14:paraId="62AE104B">
            <w:pPr>
              <w:jc w:val="center"/>
              <w:rPr>
                <w:rFonts w:ascii="仿宋" w:hAnsi="仿宋" w:eastAsia="仿宋" w:cs="仿宋"/>
                <w:kern w:val="0"/>
                <w:szCs w:val="21"/>
                <w:lang w:bidi="ar"/>
              </w:rPr>
            </w:pPr>
            <w:r>
              <w:rPr>
                <w:rFonts w:hint="eastAsia" w:ascii="仿宋" w:hAnsi="仿宋" w:eastAsia="仿宋" w:cs="仿宋"/>
                <w:kern w:val="0"/>
                <w:szCs w:val="21"/>
                <w:lang w:bidi="ar"/>
              </w:rPr>
              <w:t>1000000.00</w:t>
            </w:r>
          </w:p>
        </w:tc>
        <w:tc>
          <w:tcPr>
            <w:tcW w:w="5037" w:type="dxa"/>
          </w:tcPr>
          <w:p w14:paraId="434E911F">
            <w:pPr>
              <w:spacing w:line="400" w:lineRule="exact"/>
              <w:rPr>
                <w:rFonts w:ascii="仿宋" w:hAnsi="仿宋" w:eastAsia="仿宋" w:cs="仿宋"/>
                <w:szCs w:val="21"/>
              </w:rPr>
            </w:pPr>
            <w:r>
              <w:rPr>
                <w:rFonts w:hint="eastAsia" w:ascii="仿宋" w:hAnsi="仿宋" w:eastAsia="仿宋" w:cs="仿宋"/>
                <w:bCs/>
                <w:szCs w:val="21"/>
              </w:rPr>
              <w:t>根据2020年12月8日星城医药向福建省山河药业有限公司出具的《授权委托书》及2020年12月14日福建省山河药业有限公司向湖南康盾健康科技有限公司支付的1,000,000.00元银行业务回单，湖南康盾健康科技有限公司代星城医药收取了1,000,000.00元。</w:t>
            </w:r>
            <w:r>
              <w:rPr>
                <w:rFonts w:hint="eastAsia" w:ascii="仿宋" w:hAnsi="仿宋" w:eastAsia="仿宋" w:cs="仿宋"/>
                <w:szCs w:val="21"/>
              </w:rPr>
              <w:t>获取的星城医药会计账簿账面记录显示，</w:t>
            </w:r>
            <w:r>
              <w:rPr>
                <w:rFonts w:hint="eastAsia" w:ascii="仿宋" w:hAnsi="仿宋" w:eastAsia="仿宋" w:cs="仿宋"/>
                <w:bCs/>
                <w:szCs w:val="21"/>
              </w:rPr>
              <w:t>星城医药与湖南康盾健康科技有限公司无往来交易，本次审计确认上述其他应收款1,000,000.00元。</w:t>
            </w:r>
          </w:p>
        </w:tc>
      </w:tr>
      <w:tr w14:paraId="0645B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09" w:type="dxa"/>
            <w:vAlign w:val="center"/>
          </w:tcPr>
          <w:p w14:paraId="53581A2B">
            <w:pPr>
              <w:jc w:val="center"/>
              <w:rPr>
                <w:rFonts w:ascii="仿宋" w:hAnsi="仿宋" w:eastAsia="仿宋" w:cs="仿宋"/>
                <w:szCs w:val="21"/>
              </w:rPr>
            </w:pPr>
            <w:r>
              <w:rPr>
                <w:rFonts w:hint="eastAsia" w:ascii="仿宋" w:hAnsi="仿宋" w:eastAsia="仿宋" w:cs="仿宋"/>
                <w:szCs w:val="21"/>
              </w:rPr>
              <w:t>5</w:t>
            </w:r>
          </w:p>
        </w:tc>
        <w:tc>
          <w:tcPr>
            <w:tcW w:w="983" w:type="dxa"/>
            <w:shd w:val="clear" w:color="auto" w:fill="auto"/>
            <w:vAlign w:val="center"/>
          </w:tcPr>
          <w:p w14:paraId="5CFA51F2">
            <w:pPr>
              <w:widowControl/>
              <w:jc w:val="center"/>
              <w:textAlignment w:val="bottom"/>
              <w:rPr>
                <w:rFonts w:ascii="仿宋" w:hAnsi="仿宋" w:eastAsia="仿宋" w:cs="仿宋"/>
                <w:szCs w:val="21"/>
              </w:rPr>
            </w:pPr>
            <w:r>
              <w:rPr>
                <w:rFonts w:hint="eastAsia" w:ascii="仿宋" w:hAnsi="仿宋" w:eastAsia="仿宋" w:cs="仿宋"/>
                <w:szCs w:val="21"/>
              </w:rPr>
              <w:t>代红斌</w:t>
            </w:r>
          </w:p>
        </w:tc>
        <w:tc>
          <w:tcPr>
            <w:tcW w:w="695" w:type="dxa"/>
            <w:shd w:val="clear" w:color="auto" w:fill="auto"/>
            <w:vAlign w:val="center"/>
          </w:tcPr>
          <w:p w14:paraId="6D4E7814">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shd w:val="clear" w:color="auto" w:fill="auto"/>
            <w:vAlign w:val="center"/>
          </w:tcPr>
          <w:p w14:paraId="39528F47">
            <w:pPr>
              <w:jc w:val="center"/>
              <w:rPr>
                <w:rFonts w:ascii="仿宋" w:hAnsi="仿宋" w:eastAsia="仿宋" w:cs="仿宋"/>
                <w:b/>
                <w:bCs/>
                <w:color w:val="000000"/>
                <w:kern w:val="0"/>
                <w:szCs w:val="21"/>
                <w:lang w:bidi="ar"/>
              </w:rPr>
            </w:pPr>
            <w:r>
              <w:rPr>
                <w:rFonts w:hint="eastAsia" w:ascii="仿宋" w:hAnsi="仿宋" w:eastAsia="仿宋" w:cs="仿宋"/>
                <w:color w:val="000000"/>
                <w:kern w:val="0"/>
                <w:szCs w:val="21"/>
                <w:lang w:bidi="ar"/>
              </w:rPr>
              <w:t>826145.00</w:t>
            </w:r>
          </w:p>
        </w:tc>
        <w:tc>
          <w:tcPr>
            <w:tcW w:w="5037" w:type="dxa"/>
          </w:tcPr>
          <w:p w14:paraId="62A3A6CD">
            <w:pPr>
              <w:spacing w:line="400" w:lineRule="exact"/>
              <w:rPr>
                <w:rFonts w:ascii="仿宋" w:hAnsi="仿宋" w:eastAsia="仿宋" w:cs="仿宋"/>
                <w:kern w:val="0"/>
                <w:szCs w:val="21"/>
                <w:lang w:bidi="ar"/>
              </w:rPr>
            </w:pPr>
            <w:r>
              <w:rPr>
                <w:rFonts w:hint="eastAsia" w:ascii="仿宋" w:hAnsi="仿宋" w:eastAsia="仿宋" w:cs="仿宋"/>
                <w:bCs/>
                <w:szCs w:val="21"/>
              </w:rPr>
              <w:t>根据湖南省长沙市岳麓区人民法院2019年1月7日出具的（2018）湘0104民初8682号民事裁定书、2020年12月18日出具的（2020）湘0104执8001号之一民事裁定书，代红斌尚欠星城医药往来款826,145.00元。</w:t>
            </w:r>
            <w:r>
              <w:rPr>
                <w:rFonts w:hint="eastAsia" w:ascii="仿宋" w:hAnsi="仿宋" w:eastAsia="仿宋" w:cs="仿宋"/>
                <w:szCs w:val="21"/>
              </w:rPr>
              <w:t>获取的星城医药会计账簿账面记录显示，</w:t>
            </w:r>
            <w:r>
              <w:rPr>
                <w:rFonts w:hint="eastAsia" w:ascii="仿宋" w:hAnsi="仿宋" w:eastAsia="仿宋" w:cs="仿宋"/>
                <w:bCs/>
                <w:szCs w:val="21"/>
              </w:rPr>
              <w:t>2020年12月18日后星城医药与代红斌无往来交易，本次审计确认上述其他应收款826,145.00元。</w:t>
            </w:r>
          </w:p>
        </w:tc>
      </w:tr>
      <w:tr w14:paraId="110B4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09" w:type="dxa"/>
            <w:vAlign w:val="center"/>
          </w:tcPr>
          <w:p w14:paraId="09916BD7">
            <w:pPr>
              <w:jc w:val="center"/>
              <w:rPr>
                <w:rFonts w:ascii="仿宋" w:hAnsi="仿宋" w:eastAsia="仿宋" w:cs="仿宋"/>
                <w:szCs w:val="21"/>
              </w:rPr>
            </w:pPr>
            <w:r>
              <w:rPr>
                <w:rFonts w:hint="eastAsia" w:ascii="仿宋" w:hAnsi="仿宋" w:eastAsia="仿宋" w:cs="仿宋"/>
                <w:szCs w:val="21"/>
              </w:rPr>
              <w:t>6</w:t>
            </w:r>
          </w:p>
        </w:tc>
        <w:tc>
          <w:tcPr>
            <w:tcW w:w="983" w:type="dxa"/>
            <w:vAlign w:val="center"/>
          </w:tcPr>
          <w:p w14:paraId="5BE5FF40">
            <w:pPr>
              <w:widowControl/>
              <w:jc w:val="center"/>
              <w:textAlignment w:val="bottom"/>
              <w:rPr>
                <w:rFonts w:ascii="仿宋" w:hAnsi="仿宋" w:eastAsia="仿宋" w:cs="仿宋"/>
                <w:szCs w:val="21"/>
              </w:rPr>
            </w:pPr>
            <w:r>
              <w:rPr>
                <w:rFonts w:hint="eastAsia" w:ascii="仿宋" w:hAnsi="仿宋" w:eastAsia="仿宋" w:cs="仿宋"/>
                <w:szCs w:val="21"/>
              </w:rPr>
              <w:t>杭州新草科技有限公司</w:t>
            </w:r>
          </w:p>
        </w:tc>
        <w:tc>
          <w:tcPr>
            <w:tcW w:w="695" w:type="dxa"/>
            <w:vAlign w:val="center"/>
          </w:tcPr>
          <w:p w14:paraId="413B1127">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vAlign w:val="center"/>
          </w:tcPr>
          <w:p w14:paraId="3DD6B4B8">
            <w:pPr>
              <w:jc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30000</w:t>
            </w:r>
          </w:p>
        </w:tc>
        <w:tc>
          <w:tcPr>
            <w:tcW w:w="5037" w:type="dxa"/>
          </w:tcPr>
          <w:p w14:paraId="18454C83">
            <w:pPr>
              <w:spacing w:line="400" w:lineRule="exact"/>
              <w:rPr>
                <w:rFonts w:ascii="仿宋" w:hAnsi="仿宋" w:eastAsia="仿宋" w:cs="仿宋"/>
                <w:szCs w:val="21"/>
              </w:rPr>
            </w:pPr>
            <w:r>
              <w:rPr>
                <w:rFonts w:hint="eastAsia" w:ascii="仿宋" w:hAnsi="仿宋" w:eastAsia="仿宋" w:cs="仿宋"/>
                <w:bCs/>
                <w:szCs w:val="21"/>
              </w:rPr>
              <w:t>根据2018年8月31日星城医药与哈尔滨础润医疗器械有限责任公司、杭州新草科技有限公司签订的《债权债务转让三方协议》，星城医药将其对哈尔滨础润医疗器械有限责任公司享有的30,000.00元保证金转让给杭州新草科技有限公司。</w:t>
            </w:r>
            <w:r>
              <w:rPr>
                <w:rFonts w:hint="eastAsia" w:ascii="仿宋" w:hAnsi="仿宋" w:eastAsia="仿宋" w:cs="仿宋"/>
                <w:szCs w:val="21"/>
              </w:rPr>
              <w:t>获取的星城医药会计账簿账面记录显示，</w:t>
            </w:r>
            <w:r>
              <w:rPr>
                <w:rFonts w:hint="eastAsia" w:ascii="仿宋" w:hAnsi="仿宋" w:eastAsia="仿宋" w:cs="仿宋"/>
                <w:bCs/>
                <w:szCs w:val="21"/>
              </w:rPr>
              <w:t>2018年8月31日后星城医药与杭州新草科技有限公司无往来交易，本次审计确认上述其他应收款30,000.00元。</w:t>
            </w:r>
          </w:p>
        </w:tc>
      </w:tr>
      <w:tr w14:paraId="69FF1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09" w:type="dxa"/>
            <w:vAlign w:val="center"/>
          </w:tcPr>
          <w:p w14:paraId="4A9576F6">
            <w:pPr>
              <w:jc w:val="center"/>
              <w:rPr>
                <w:rFonts w:ascii="仿宋" w:hAnsi="仿宋" w:eastAsia="仿宋" w:cs="仿宋"/>
                <w:szCs w:val="21"/>
              </w:rPr>
            </w:pPr>
            <w:r>
              <w:rPr>
                <w:rFonts w:hint="eastAsia" w:ascii="仿宋" w:hAnsi="仿宋" w:eastAsia="仿宋" w:cs="仿宋"/>
                <w:szCs w:val="21"/>
              </w:rPr>
              <w:t>7</w:t>
            </w:r>
          </w:p>
        </w:tc>
        <w:tc>
          <w:tcPr>
            <w:tcW w:w="983" w:type="dxa"/>
            <w:vAlign w:val="center"/>
          </w:tcPr>
          <w:p w14:paraId="623D61FD">
            <w:pPr>
              <w:widowControl/>
              <w:jc w:val="center"/>
              <w:textAlignment w:val="bottom"/>
              <w:rPr>
                <w:rFonts w:ascii="仿宋" w:hAnsi="仿宋" w:eastAsia="仿宋" w:cs="仿宋"/>
                <w:szCs w:val="21"/>
              </w:rPr>
            </w:pPr>
            <w:r>
              <w:rPr>
                <w:rFonts w:hint="eastAsia" w:ascii="仿宋" w:hAnsi="仿宋" w:eastAsia="仿宋" w:cs="仿宋"/>
                <w:szCs w:val="21"/>
              </w:rPr>
              <w:t>湖南达瑞商贸有限公司</w:t>
            </w:r>
          </w:p>
        </w:tc>
        <w:tc>
          <w:tcPr>
            <w:tcW w:w="695" w:type="dxa"/>
            <w:vAlign w:val="center"/>
          </w:tcPr>
          <w:p w14:paraId="0C970E8C">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481" w:type="dxa"/>
            <w:vAlign w:val="center"/>
          </w:tcPr>
          <w:p w14:paraId="7CF63624">
            <w:pPr>
              <w:jc w:val="center"/>
              <w:rPr>
                <w:rFonts w:ascii="仿宋" w:hAnsi="仿宋" w:eastAsia="仿宋" w:cs="仿宋"/>
                <w:szCs w:val="21"/>
              </w:rPr>
            </w:pPr>
            <w:r>
              <w:rPr>
                <w:rFonts w:hint="eastAsia" w:ascii="仿宋" w:hAnsi="仿宋" w:eastAsia="仿宋" w:cs="仿宋"/>
                <w:szCs w:val="21"/>
              </w:rPr>
              <w:t>5000</w:t>
            </w:r>
          </w:p>
        </w:tc>
        <w:tc>
          <w:tcPr>
            <w:tcW w:w="5037" w:type="dxa"/>
          </w:tcPr>
          <w:p w14:paraId="2B9F6169">
            <w:pPr>
              <w:spacing w:line="400" w:lineRule="exact"/>
              <w:rPr>
                <w:rFonts w:ascii="仿宋" w:hAnsi="仿宋" w:eastAsia="仿宋" w:cs="仿宋"/>
                <w:szCs w:val="21"/>
              </w:rPr>
            </w:pPr>
            <w:r>
              <w:rPr>
                <w:rFonts w:hint="eastAsia" w:ascii="仿宋" w:hAnsi="仿宋" w:eastAsia="仿宋" w:cs="仿宋"/>
                <w:bCs/>
                <w:szCs w:val="21"/>
              </w:rPr>
              <w:t>根据2019年9月22日星城医药与国药控股和记黄埔医药（上海）有限公司、湖南达瑞商贸有限公司签订的《保证金转换申明》及收据存根，星城医药将其对国药控股和记黄埔医药（上海）有限公司享有的5,000.00元保证金转让给湖南达瑞商贸有限公司。</w:t>
            </w:r>
            <w:r>
              <w:rPr>
                <w:rFonts w:hint="eastAsia" w:ascii="仿宋" w:hAnsi="仿宋" w:eastAsia="仿宋" w:cs="仿宋"/>
                <w:szCs w:val="21"/>
              </w:rPr>
              <w:t>获取的星城医药会计账簿账面记录显示，</w:t>
            </w:r>
            <w:r>
              <w:rPr>
                <w:rFonts w:hint="eastAsia" w:ascii="仿宋" w:hAnsi="仿宋" w:eastAsia="仿宋" w:cs="仿宋"/>
                <w:bCs/>
                <w:szCs w:val="21"/>
              </w:rPr>
              <w:t>2019年9月22日后星城医药与湖南达瑞商贸有限公司无往来交易，本次审计确认上述其他应收款5,000.00元。</w:t>
            </w:r>
          </w:p>
        </w:tc>
      </w:tr>
      <w:tr w14:paraId="1EF44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905" w:type="dxa"/>
            <w:gridSpan w:val="5"/>
            <w:vAlign w:val="center"/>
          </w:tcPr>
          <w:p w14:paraId="01614D44">
            <w:pPr>
              <w:pStyle w:val="6"/>
              <w:widowControl/>
              <w:spacing w:beforeAutospacing="0" w:afterAutospacing="0" w:line="360" w:lineRule="auto"/>
              <w:rPr>
                <w:rFonts w:ascii="黑体" w:hAnsi="黑体" w:eastAsia="黑体" w:cs="黑体"/>
                <w:sz w:val="21"/>
                <w:szCs w:val="21"/>
              </w:rPr>
            </w:pPr>
            <w:r>
              <w:rPr>
                <w:rFonts w:hint="eastAsia" w:ascii="黑体" w:hAnsi="黑体" w:eastAsia="黑体" w:cs="黑体"/>
                <w:sz w:val="21"/>
                <w:szCs w:val="21"/>
              </w:rPr>
              <w:t>注：</w:t>
            </w:r>
          </w:p>
          <w:p w14:paraId="45E24A4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1.考虑到可能存在变价所得不足以支付评估费用的情况，故管理人不再聘请评估机构对标的物进行评估。</w:t>
            </w:r>
          </w:p>
          <w:p w14:paraId="29558BAB">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2.上述债权明细表中记载的“审计报告载述内容”仅为湖南新财苑会计师事务所有限公司（简称“审计机构”）提供的审计报告显示内容，仅供参考。债权明细表相关内容、金额、核实情况等详情等均不代表对任何事实信息的确认和保证，仅供参考。</w:t>
            </w:r>
          </w:p>
          <w:p w14:paraId="0DE9A2AF">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3.审计基准日为2022年3月7日，标的物可能存在审计基准日至竞买成交交付日期间因存在全部或部分回款、申请抵销等事项和因素导致债权失效、债权不存在、债权数据变更等与破产案专项审计报告记载内容不一致情形。</w:t>
            </w:r>
          </w:p>
          <w:p w14:paraId="13C3C80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4.竞拍通道正式开启（含第一次及后面次数拍卖，下同）前，如存在部分新证据新凭证新情况且经审计机构审定调整了金额及审计意见的，则债权转让范围及起拍价、保证金、增价幅度等将进行据实调整，按调整后的内容作为竞拍文件内容，并有权选择不再重新挂拍、重新公告（属于第二次及以上次数拍卖的，按比例调整，不再重新启动第一次或前几次拍卖），且任何调整行为均不视为对调整前或调整后内容的任何保证与确认判断。竞拍通道正式开启后，无论是否存在新证据（包括但不限于债务人或相关人提供了标的物不存在、已消灭的相反证据等）、新凭证、新审定意见、新回收情况等，该次拍卖均不再调整，亦不影响拍卖成交结果及成交价格，不进行多退少补，竞买人应自行承担该等风险及后果。</w:t>
            </w:r>
          </w:p>
          <w:p w14:paraId="46361F42">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5.截至竞拍通道正式开启，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归属于星城医药公司，不属于买受人，管理人有权受领而无需向买受人交付上述回款。</w:t>
            </w:r>
          </w:p>
          <w:p w14:paraId="06C7AF60">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6.用以支撑追收上述标的债权的材料严重不齐全，亦无法确认材料的真实性、合法性和关联性，可能存在债务人主体信息错误或缺失、债权不成立、不存在或已消灭、金额存在差别或误差、银行流水等证据材料及权利凭证严重缺失、超出诉讼时效、债权无法通过诉讼等法律途径进行追收或无法实现追收等情况。</w:t>
            </w:r>
          </w:p>
          <w:p w14:paraId="78F6D93C">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7.管理人对本次变价处置的星城医药公司应收款项等债权的真实性、合法性、唯一性、可转让性、权利瑕疵等，银行流水等证据材料的真实性、完整性、准确性、关联性以及回收的可能性等均不作任何保证。</w:t>
            </w:r>
          </w:p>
          <w:p w14:paraId="75B065AD">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8.审计机构出具的相关审定意见，可能受审计资料不完整、无法判断真实性、准确性等，相关审计程序受限，审计过程中全部或部分数据的确定依靠财务记账的经验和判断等各方面原因影响导致出具的意见及数据严重偏离客观实际、与事实不符、导致损失等等，管理人据此开展资产处置但不代表任何确认判断、无需承担任何担保责任或任何形式的赔偿责任、连带责任，相关风险及不利后果由竞买人自行评判、承担。</w:t>
            </w:r>
          </w:p>
          <w:p w14:paraId="38624EA0">
            <w:pPr>
              <w:widowControl/>
              <w:ind w:firstLine="402" w:firstLineChars="200"/>
              <w:jc w:val="left"/>
              <w:rPr>
                <w:rFonts w:ascii="仿宋" w:hAnsi="仿宋" w:eastAsia="仿宋" w:cs="仿宋"/>
                <w:szCs w:val="21"/>
              </w:rPr>
            </w:pPr>
            <w:r>
              <w:rPr>
                <w:rFonts w:hint="eastAsia" w:ascii="黑体" w:hAnsi="黑体" w:eastAsia="黑体" w:cs="黑体"/>
                <w:b/>
                <w:bCs/>
                <w:color w:val="000000"/>
                <w:kern w:val="0"/>
                <w:sz w:val="20"/>
                <w:szCs w:val="20"/>
                <w:lang w:bidi="ar"/>
              </w:rPr>
              <w:t>9.附件不作为交接的凭证，仅作为标的物展示的参考。</w:t>
            </w:r>
          </w:p>
        </w:tc>
      </w:tr>
    </w:tbl>
    <w:p w14:paraId="282897A3">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仿宋" w:hAnsi="仿宋" w:eastAsia="仿宋" w:cs="仿宋"/>
        </w:rPr>
        <w:t>对上述标的权属有异议者，请于</w:t>
      </w:r>
      <w:r>
        <w:rPr>
          <w:rFonts w:hint="eastAsia" w:ascii="仿宋" w:hAnsi="仿宋" w:eastAsia="仿宋" w:cs="仿宋"/>
          <w:b/>
          <w:bCs/>
        </w:rPr>
        <w:t>2024年1</w:t>
      </w:r>
      <w:r>
        <w:rPr>
          <w:rFonts w:hint="eastAsia" w:ascii="仿宋" w:hAnsi="仿宋" w:eastAsia="仿宋" w:cs="仿宋"/>
          <w:b/>
          <w:bCs/>
          <w:lang w:val="en-US" w:eastAsia="zh-CN"/>
        </w:rPr>
        <w:t>2</w:t>
      </w:r>
      <w:r>
        <w:rPr>
          <w:rFonts w:hint="eastAsia" w:ascii="仿宋" w:hAnsi="仿宋" w:eastAsia="仿宋" w:cs="仿宋"/>
          <w:b/>
          <w:bCs/>
        </w:rPr>
        <w:t>月</w:t>
      </w:r>
      <w:r>
        <w:rPr>
          <w:rFonts w:hint="eastAsia" w:ascii="仿宋" w:hAnsi="仿宋" w:eastAsia="仿宋" w:cs="仿宋"/>
          <w:b/>
          <w:bCs/>
          <w:lang w:val="en-US" w:eastAsia="zh-CN"/>
        </w:rPr>
        <w:t>30</w:t>
      </w:r>
      <w:r>
        <w:rPr>
          <w:rFonts w:hint="eastAsia" w:ascii="仿宋" w:hAnsi="仿宋" w:eastAsia="仿宋" w:cs="仿宋"/>
          <w:b/>
          <w:bCs/>
        </w:rPr>
        <w:t>日前</w:t>
      </w:r>
      <w:r>
        <w:rPr>
          <w:rFonts w:hint="eastAsia" w:ascii="仿宋" w:hAnsi="仿宋" w:eastAsia="仿宋" w:cs="仿宋"/>
        </w:rPr>
        <w:t>与管理人联系，联系方式：周律师15558815578，金律师15958012283。</w:t>
      </w:r>
    </w:p>
    <w:p w14:paraId="2AB44ABD">
      <w:pPr>
        <w:keepNext/>
        <w:keepLines/>
        <w:widowControl/>
        <w:spacing w:before="100" w:after="100" w:line="264" w:lineRule="auto"/>
        <w:ind w:firstLine="480" w:firstLineChars="200"/>
        <w:outlineLvl w:val="3"/>
        <w:rPr>
          <w:rFonts w:ascii="Arial" w:hAnsi="Arial" w:eastAsia="黑体" w:cs="Times New Roman"/>
          <w:sz w:val="24"/>
        </w:rPr>
      </w:pPr>
      <w:r>
        <w:rPr>
          <w:rFonts w:hint="eastAsia" w:ascii="Arial" w:hAnsi="Arial" w:eastAsia="黑体" w:cs="Times New Roman"/>
          <w:sz w:val="24"/>
        </w:rPr>
        <w:t>（二）起拍价、保证金及增价幅度</w:t>
      </w:r>
    </w:p>
    <w:p w14:paraId="653BB229">
      <w:pPr>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起拍价：</w:t>
      </w:r>
      <w:r>
        <w:rPr>
          <w:rFonts w:hint="eastAsia" w:ascii="仿宋" w:hAnsi="仿宋" w:eastAsia="仿宋" w:cs="仿宋"/>
          <w:sz w:val="24"/>
          <w:lang w:val="en-US" w:eastAsia="zh-CN"/>
        </w:rPr>
        <w:t>2330093.54</w:t>
      </w:r>
      <w:r>
        <w:rPr>
          <w:rFonts w:hint="eastAsia" w:ascii="仿宋" w:hAnsi="仿宋" w:eastAsia="仿宋" w:cs="仿宋"/>
          <w:sz w:val="24"/>
        </w:rPr>
        <w:t>元；保证金：</w:t>
      </w:r>
      <w:r>
        <w:rPr>
          <w:rFonts w:hint="eastAsia" w:ascii="仿宋" w:hAnsi="仿宋" w:eastAsia="仿宋" w:cs="仿宋"/>
          <w:sz w:val="24"/>
          <w:lang w:val="en-US" w:eastAsia="zh-CN"/>
        </w:rPr>
        <w:t>23</w:t>
      </w:r>
      <w:r>
        <w:rPr>
          <w:rFonts w:hint="eastAsia" w:ascii="仿宋" w:hAnsi="仿宋" w:eastAsia="仿宋" w:cs="仿宋"/>
          <w:sz w:val="24"/>
        </w:rPr>
        <w:t>0000元，增价幅度：</w:t>
      </w:r>
      <w:r>
        <w:rPr>
          <w:rFonts w:hint="eastAsia" w:ascii="仿宋" w:hAnsi="仿宋" w:eastAsia="仿宋" w:cs="仿宋"/>
          <w:sz w:val="24"/>
          <w:lang w:val="en-US" w:eastAsia="zh-CN"/>
        </w:rPr>
        <w:t>2</w:t>
      </w:r>
      <w:r>
        <w:rPr>
          <w:rFonts w:ascii="仿宋" w:hAnsi="仿宋" w:eastAsia="仿宋" w:cs="仿宋"/>
          <w:sz w:val="24"/>
        </w:rPr>
        <w:t>0000</w:t>
      </w:r>
      <w:r>
        <w:rPr>
          <w:rFonts w:hint="eastAsia" w:ascii="仿宋" w:hAnsi="仿宋" w:eastAsia="仿宋" w:cs="仿宋"/>
          <w:sz w:val="24"/>
        </w:rPr>
        <w:t>元及其整数倍。</w:t>
      </w:r>
    </w:p>
    <w:p w14:paraId="1B9BBA11">
      <w:pPr>
        <w:spacing w:line="360" w:lineRule="auto"/>
        <w:ind w:firstLine="480" w:firstLineChars="20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sz w:val="24"/>
        </w:rPr>
        <w:t>拍卖标的审计情况详见附件审计报告，</w:t>
      </w:r>
      <w:r>
        <w:rPr>
          <w:rFonts w:hint="eastAsia" w:ascii="仿宋" w:hAnsi="仿宋" w:eastAsia="仿宋" w:cs="仿宋"/>
          <w:b/>
          <w:bCs/>
          <w:sz w:val="24"/>
        </w:rPr>
        <w:t>审计报告所列债权情况及审定数额等仅供参考，不作为交付依据。经全体债权人会议同意，未聘请评估机构对标的债权进行评估，请竞买人慎重决定竞买。</w:t>
      </w:r>
    </w:p>
    <w:p w14:paraId="5E91A3A3">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b/>
          <w:bCs/>
          <w:sz w:val="24"/>
        </w:rPr>
        <w:t>拍卖人不能保证标的债权的真实性和对应数额的准确性，对标的债权是否成立、存在以及能否收回等均不作任何担保，由买受人自行承担相关风险及责任，由此产生的问题不影响拍卖成交结果及成交价格。</w:t>
      </w:r>
    </w:p>
    <w:p w14:paraId="2D06D3B5">
      <w:pPr>
        <w:spacing w:line="360" w:lineRule="auto"/>
        <w:ind w:firstLine="480" w:firstLineChars="200"/>
        <w:rPr>
          <w:rFonts w:ascii="仿宋" w:hAnsi="仿宋" w:eastAsia="仿宋" w:cs="仿宋"/>
          <w:b/>
          <w:bCs/>
          <w:sz w:val="24"/>
        </w:rPr>
      </w:pPr>
      <w:r>
        <w:rPr>
          <w:rFonts w:hint="eastAsia" w:ascii="黑体" w:hAnsi="黑体" w:eastAsia="黑体" w:cs="黑体"/>
          <w:sz w:val="24"/>
        </w:rPr>
        <w:t>4.</w:t>
      </w:r>
      <w:r>
        <w:rPr>
          <w:rFonts w:hint="eastAsia" w:ascii="仿宋" w:hAnsi="仿宋" w:eastAsia="仿宋" w:cs="仿宋"/>
          <w:b/>
          <w:bCs/>
          <w:sz w:val="24"/>
        </w:rPr>
        <w:t>竞买人不得以买受后标的物实际状态、实际收回债权数额与竞买成交结果或审定结果有较大或巨大差异（包括但不限于债权不成立、未生效、无效、不存在、不准确，款项部分或全部无法收回等），而对拍卖成交结果等提出异议，亦不得以此作为申请撤销拍卖的理由。</w:t>
      </w:r>
    </w:p>
    <w:p w14:paraId="081D21AD">
      <w:pPr>
        <w:pStyle w:val="2"/>
        <w:spacing w:line="360" w:lineRule="auto"/>
        <w:ind w:firstLine="480" w:firstLineChars="200"/>
        <w:rPr>
          <w:rFonts w:ascii="黑体" w:hAnsi="黑体" w:eastAsia="黑体" w:cs="黑体"/>
          <w:sz w:val="24"/>
        </w:rPr>
      </w:pPr>
      <w:r>
        <w:rPr>
          <w:rFonts w:hint="eastAsia" w:ascii="黑体" w:hAnsi="黑体" w:eastAsia="黑体" w:cs="黑体"/>
          <w:sz w:val="24"/>
        </w:rPr>
        <w:t>三、咨询、展示看样的时间</w:t>
      </w:r>
    </w:p>
    <w:p w14:paraId="66C1E52E">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自公告发布之日起至202</w:t>
      </w:r>
      <w:r>
        <w:rPr>
          <w:rFonts w:hint="eastAsia" w:ascii="仿宋" w:hAnsi="仿宋" w:eastAsia="仿宋" w:cs="仿宋"/>
          <w:sz w:val="24"/>
          <w:lang w:val="en-US" w:eastAsia="zh-CN"/>
        </w:rPr>
        <w:t>5</w:t>
      </w:r>
      <w:r>
        <w:rPr>
          <w:rFonts w:hint="eastAsia" w:ascii="仿宋" w:hAnsi="仿宋" w:eastAsia="仿宋" w:cs="仿宋"/>
          <w:sz w:val="24"/>
        </w:rPr>
        <w:t>年1月</w:t>
      </w:r>
      <w:r>
        <w:rPr>
          <w:rFonts w:hint="eastAsia" w:ascii="仿宋" w:hAnsi="仿宋" w:eastAsia="仿宋" w:cs="仿宋"/>
          <w:sz w:val="24"/>
          <w:lang w:val="en-US" w:eastAsia="zh-CN"/>
        </w:rPr>
        <w:t>7</w:t>
      </w:r>
      <w:r>
        <w:rPr>
          <w:rFonts w:hint="eastAsia" w:ascii="仿宋" w:hAnsi="仿宋" w:eastAsia="仿宋" w:cs="仿宋"/>
          <w:sz w:val="24"/>
        </w:rPr>
        <w:t>日10:00止（法定工作日上午9:30-12:00，下午14:30-17:30）接受咨询。</w:t>
      </w:r>
    </w:p>
    <w:p w14:paraId="3AA1F7A6">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2.</w:t>
      </w:r>
      <w:r>
        <w:rPr>
          <w:rFonts w:hint="eastAsia" w:ascii="仿宋" w:hAnsi="仿宋" w:eastAsia="仿宋" w:cs="仿宋"/>
          <w:shd w:val="clear" w:color="auto" w:fill="FFFFFF"/>
        </w:rPr>
        <w:t>集中看样时间：</w:t>
      </w:r>
      <w:r>
        <w:rPr>
          <w:rFonts w:hint="eastAsia" w:ascii="仿宋" w:hAnsi="仿宋" w:eastAsia="仿宋" w:cs="仿宋"/>
          <w:kern w:val="2"/>
        </w:rPr>
        <w:t>不再安排看样。</w:t>
      </w:r>
    </w:p>
    <w:p w14:paraId="475BCDE2">
      <w:pPr>
        <w:pStyle w:val="6"/>
        <w:widowControl/>
        <w:shd w:val="clear" w:color="auto" w:fill="FFFFFF"/>
        <w:spacing w:beforeAutospacing="0" w:afterAutospacing="0" w:line="360" w:lineRule="auto"/>
        <w:ind w:firstLine="482" w:firstLineChars="200"/>
        <w:rPr>
          <w:rFonts w:ascii="仿宋" w:hAnsi="仿宋" w:eastAsia="仿宋" w:cs="仿宋"/>
        </w:rPr>
      </w:pPr>
      <w:r>
        <w:rPr>
          <w:rFonts w:hint="eastAsia" w:ascii="仿宋" w:hAnsi="仿宋" w:eastAsia="仿宋" w:cs="仿宋"/>
          <w:b/>
          <w:bCs/>
          <w:color w:val="C00000"/>
          <w:shd w:val="clear" w:color="auto" w:fill="FFFFFF"/>
        </w:rPr>
        <w:t>重要提醒：竞买人一旦参与竞拍，即表明已完全了解、确认并接受本标的物现状（含一切已知及未知的显性、隐性瑕疵、缺陷、风险等），并自愿参与竞买、自行承担本次竞买活动的一切不利后果，请慎重决定竞买行为。</w:t>
      </w:r>
    </w:p>
    <w:p w14:paraId="18514BDC">
      <w:pPr>
        <w:pStyle w:val="2"/>
        <w:spacing w:line="360" w:lineRule="auto"/>
        <w:ind w:firstLine="480" w:firstLineChars="200"/>
        <w:rPr>
          <w:rFonts w:ascii="仿宋" w:hAnsi="仿宋" w:eastAsia="仿宋" w:cs="仿宋"/>
          <w:sz w:val="24"/>
        </w:rPr>
      </w:pPr>
      <w:r>
        <w:rPr>
          <w:rFonts w:hint="eastAsia" w:ascii="黑体" w:hAnsi="黑体" w:eastAsia="黑体" w:cs="黑体"/>
          <w:sz w:val="24"/>
        </w:rPr>
        <w:t>四、竞买人条件</w:t>
      </w:r>
    </w:p>
    <w:p w14:paraId="2411EB07">
      <w:pPr>
        <w:pStyle w:val="2"/>
        <w:spacing w:line="360" w:lineRule="auto"/>
        <w:ind w:firstLine="480" w:firstLineChars="200"/>
        <w:rPr>
          <w:rFonts w:ascii="仿宋" w:hAnsi="仿宋" w:eastAsia="仿宋" w:cs="仿宋"/>
          <w:b/>
          <w:bCs/>
          <w:sz w:val="24"/>
        </w:rPr>
      </w:pPr>
      <w:r>
        <w:rPr>
          <w:rFonts w:hint="eastAsia" w:ascii="黑体" w:hAnsi="黑体" w:eastAsia="黑体" w:cs="黑体"/>
          <w:sz w:val="24"/>
        </w:rPr>
        <w:t>1.</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5F079C71">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4930EDC3">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699A6D00">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42ACCC65">
      <w:pPr>
        <w:pStyle w:val="2"/>
        <w:spacing w:line="360" w:lineRule="auto"/>
        <w:ind w:firstLine="480" w:firstLineChars="200"/>
        <w:rPr>
          <w:rFonts w:ascii="黑体" w:hAnsi="黑体" w:eastAsia="黑体" w:cs="黑体"/>
          <w:sz w:val="24"/>
        </w:rPr>
      </w:pPr>
      <w:r>
        <w:rPr>
          <w:rFonts w:hint="eastAsia" w:ascii="黑体" w:hAnsi="黑体" w:eastAsia="黑体" w:cs="黑体"/>
          <w:sz w:val="24"/>
        </w:rPr>
        <w:t>五、标的物优先购买权人情况</w:t>
      </w:r>
    </w:p>
    <w:p w14:paraId="1DF5FB39">
      <w:pPr>
        <w:pStyle w:val="2"/>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sz w:val="24"/>
        </w:rPr>
        <w:t>本标的物优先购买权人相关说明：如标的物存在优先购买权人，优先购买权人参加竞买的，</w:t>
      </w:r>
      <w:r>
        <w:rPr>
          <w:rFonts w:hint="eastAsia" w:ascii="仿宋" w:hAnsi="仿宋" w:eastAsia="仿宋" w:cs="仿宋"/>
          <w:b/>
          <w:bCs/>
          <w:sz w:val="24"/>
        </w:rPr>
        <w:t>应于竞价活动开始3个工作日前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49F7E59">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优先购买权人参与竞买的，与其他竞买人以相同的价格出价，没有更高出价的，拍品由优先购买权人竞得。</w:t>
      </w:r>
    </w:p>
    <w:p w14:paraId="07AF310E">
      <w:pPr>
        <w:pStyle w:val="2"/>
        <w:spacing w:line="360" w:lineRule="auto"/>
        <w:ind w:firstLine="480" w:firstLineChars="200"/>
        <w:rPr>
          <w:rFonts w:ascii="黑体" w:hAnsi="黑体" w:eastAsia="黑体" w:cs="黑体"/>
          <w:sz w:val="24"/>
        </w:rPr>
      </w:pPr>
      <w:r>
        <w:rPr>
          <w:rFonts w:hint="eastAsia" w:ascii="黑体" w:hAnsi="黑体" w:eastAsia="黑体" w:cs="黑体"/>
          <w:sz w:val="24"/>
        </w:rPr>
        <w:t>3.</w:t>
      </w:r>
      <w:r>
        <w:rPr>
          <w:rFonts w:hint="eastAsia" w:ascii="仿宋" w:hAnsi="仿宋" w:eastAsia="仿宋" w:cs="仿宋"/>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668E5B2">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本次公告将在阿里拍卖网络平台上进行，管理人不再另行公告。</w:t>
      </w:r>
    </w:p>
    <w:p w14:paraId="7E67A408">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5.</w:t>
      </w:r>
      <w:r>
        <w:rPr>
          <w:rFonts w:hint="eastAsia" w:ascii="仿宋" w:hAnsi="仿宋" w:eastAsia="仿宋" w:cs="仿宋"/>
          <w:kern w:val="2"/>
        </w:rPr>
        <w:t>如拍卖标的存在其他利害关系人的，本次公告公示之日起满五日即视为已通知。</w:t>
      </w:r>
    </w:p>
    <w:p w14:paraId="22521D35">
      <w:pPr>
        <w:pStyle w:val="2"/>
        <w:spacing w:line="360" w:lineRule="auto"/>
        <w:ind w:firstLine="480" w:firstLineChars="200"/>
        <w:rPr>
          <w:rFonts w:ascii="黑体" w:hAnsi="黑体" w:eastAsia="黑体" w:cs="黑体"/>
          <w:sz w:val="24"/>
        </w:rPr>
      </w:pPr>
      <w:r>
        <w:rPr>
          <w:rFonts w:hint="eastAsia" w:ascii="黑体" w:hAnsi="黑体" w:eastAsia="黑体" w:cs="黑体"/>
          <w:sz w:val="24"/>
        </w:rPr>
        <w:t>六、拍卖方式</w:t>
      </w:r>
    </w:p>
    <w:p w14:paraId="592CD4EC">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本次拍卖采取有保留价的增价拍卖方式，保留价即为起拍价，至少一人报名且出价不低于起拍价，方可成交。无人报名或出价的，竞价会流拍。本次拍卖活动设置延时出价功能。每最后五分钟有竞买人</w:t>
      </w:r>
      <w:r>
        <w:rPr>
          <w:rFonts w:ascii="仿宋" w:hAnsi="仿宋" w:eastAsia="仿宋" w:cs="仿宋"/>
          <w:kern w:val="2"/>
        </w:rPr>
        <w:t>出价的，竞价时间自该出价时点顺延五分钟。竞买人以低于起拍价出价的无效。竞价时间应当不少于二十四小时。拍卖竞价价高者得，不限制竞买人数量</w:t>
      </w:r>
      <w:r>
        <w:rPr>
          <w:rFonts w:hint="eastAsia" w:ascii="仿宋" w:hAnsi="仿宋" w:eastAsia="仿宋" w:cs="仿宋"/>
          <w:kern w:val="2"/>
        </w:rPr>
        <w:t>。</w:t>
      </w:r>
      <w:r>
        <w:rPr>
          <w:rFonts w:ascii="仿宋" w:hAnsi="仿宋" w:eastAsia="仿宋" w:cs="仿宋"/>
          <w:kern w:val="2"/>
        </w:rPr>
        <w:t>竞价程序结束前五分钟内无人出价的，最后出价且不低于起拍价的即为成交价</w:t>
      </w:r>
      <w:r>
        <w:rPr>
          <w:rFonts w:hint="eastAsia" w:ascii="仿宋" w:hAnsi="仿宋" w:eastAsia="仿宋" w:cs="仿宋"/>
          <w:kern w:val="2"/>
        </w:rPr>
        <w:t>。</w:t>
      </w:r>
      <w:r>
        <w:rPr>
          <w:rFonts w:ascii="仿宋" w:hAnsi="仿宋" w:eastAsia="仿宋" w:cs="仿宋"/>
          <w:kern w:val="2"/>
        </w:rPr>
        <w:t>竞买人出价时间以进入网络拍卖平台服务系统时间为准。</w:t>
      </w:r>
    </w:p>
    <w:p w14:paraId="69726E8E">
      <w:pPr>
        <w:pStyle w:val="2"/>
        <w:spacing w:line="360" w:lineRule="auto"/>
        <w:ind w:firstLine="480" w:firstLineChars="200"/>
        <w:rPr>
          <w:rFonts w:ascii="黑体" w:hAnsi="黑体" w:eastAsia="黑体" w:cs="黑体"/>
          <w:sz w:val="24"/>
        </w:rPr>
      </w:pPr>
      <w:r>
        <w:rPr>
          <w:rFonts w:hint="eastAsia" w:ascii="黑体" w:hAnsi="黑体" w:eastAsia="黑体" w:cs="黑体"/>
          <w:sz w:val="24"/>
        </w:rPr>
        <w:t>七、保证金和余款支付</w:t>
      </w:r>
    </w:p>
    <w:p w14:paraId="326EF94D">
      <w:pPr>
        <w:pStyle w:val="6"/>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1.</w:t>
      </w:r>
      <w:r>
        <w:rPr>
          <w:rFonts w:hint="eastAsia" w:ascii="仿宋" w:hAnsi="仿宋" w:eastAsia="仿宋" w:cs="仿宋"/>
          <w:kern w:val="2"/>
        </w:rPr>
        <w:t>竞拍前，竞买人实名认证绑定的支付宝账户中应有足够的余额支付竞买保证金。竞拍前，阿里破产强清平台将锁定竞买人实名认证绑定的支付宝账户内相应的资金作为应缴的保证金，拍卖结束后未能竞得者以及竞价未成交的（即流拍的）锁定的保证金自动解锁，锁定期间不计利息。拍卖成交后，竞买人交纳的保证金充抵成交价款，本标的物竞买人原锁定的保证金将在竞买人竞买成功且付清软件服务费后的24小时内自动缴入管理人指定账户。</w:t>
      </w:r>
    </w:p>
    <w:p w14:paraId="1D99AA3F">
      <w:pPr>
        <w:pStyle w:val="6"/>
        <w:widowControl/>
        <w:shd w:val="clear" w:color="auto" w:fill="FFFFFF"/>
        <w:spacing w:beforeAutospacing="0" w:afterAutospacing="0" w:line="360" w:lineRule="auto"/>
        <w:ind w:firstLine="539"/>
        <w:rPr>
          <w:rFonts w:ascii="仿宋" w:hAnsi="仿宋" w:eastAsia="仿宋" w:cs="仿宋"/>
          <w:b/>
          <w:bCs/>
          <w:kern w:val="2"/>
        </w:rPr>
      </w:pPr>
      <w:r>
        <w:rPr>
          <w:rFonts w:hint="eastAsia" w:ascii="黑体" w:hAnsi="黑体" w:eastAsia="黑体" w:cs="黑体"/>
          <w:kern w:val="2"/>
        </w:rPr>
        <w:t>2.</w:t>
      </w:r>
      <w:r>
        <w:rPr>
          <w:rFonts w:hint="eastAsia" w:ascii="仿宋" w:hAnsi="仿宋" w:eastAsia="仿宋" w:cs="仿宋"/>
          <w:b/>
          <w:bCs/>
          <w:kern w:val="2"/>
        </w:rPr>
        <w:t>网拍平台自动生成《网络竞价成功确认书》，即视为拍卖成交。</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4A722D6F">
      <w:pPr>
        <w:pStyle w:val="6"/>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3.</w:t>
      </w:r>
      <w:r>
        <w:rPr>
          <w:rFonts w:hint="eastAsia" w:ascii="仿宋" w:hAnsi="仿宋" w:eastAsia="仿宋" w:cs="仿宋"/>
          <w:kern w:val="2"/>
        </w:rPr>
        <w:t>拍卖成交后，买受人悔拍或者逾期未付清全部拍卖款的，管理人有权撤销本次交易，原买受人交纳的竞买保证金不予退还，计入星城医药破产财产，依次用于支付拍卖产生的费用损失、弥补重新拍卖（不局限于重新拍一次，直至成交前的拍卖均包括在内，下同）成交价款低于原拍卖成交价款的差价等。管理人可提请重新拍卖，重新拍卖时，原买受人不得参加竞买。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35DE4255">
      <w:pPr>
        <w:pStyle w:val="2"/>
        <w:spacing w:line="360" w:lineRule="auto"/>
        <w:ind w:firstLine="480" w:firstLineChars="200"/>
        <w:rPr>
          <w:rFonts w:ascii="黑体" w:hAnsi="黑体" w:eastAsia="黑体" w:cs="黑体"/>
          <w:sz w:val="24"/>
        </w:rPr>
      </w:pPr>
      <w:r>
        <w:rPr>
          <w:rFonts w:hint="eastAsia" w:ascii="黑体" w:hAnsi="黑体" w:eastAsia="黑体" w:cs="黑体"/>
          <w:sz w:val="24"/>
        </w:rPr>
        <w:t>八、税费及其他费用承担</w:t>
      </w:r>
    </w:p>
    <w:p w14:paraId="467BE7F4">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b/>
          <w:bCs/>
          <w:sz w:val="24"/>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w:t>
      </w:r>
      <w:r>
        <w:rPr>
          <w:rFonts w:hint="eastAsia" w:ascii="仿宋" w:hAnsi="仿宋" w:eastAsia="仿宋" w:cs="仿宋"/>
          <w:sz w:val="24"/>
          <w:shd w:val="clear" w:color="auto" w:fill="FFFFFF"/>
        </w:rPr>
        <w:t>标的债权在后续催收过程中与应收对象可能涉及的税务问题，买受人应自行调查、判断、承担。具体费用请竞买人自行到相关职能部门咨询、确认、核定。标的物所涉及的转让费、管理费等以及相关未了受法律保护的债务均由买受人承担。买受人在承担费用后不得据此主张拍卖无效或向管理人、拍卖服务机构索偿。</w:t>
      </w:r>
    </w:p>
    <w:p w14:paraId="42B6885E">
      <w:pPr>
        <w:pStyle w:val="6"/>
        <w:widowControl/>
        <w:shd w:val="clear" w:color="auto" w:fill="FFFFFF"/>
        <w:spacing w:beforeAutospacing="0" w:afterAutospacing="0" w:line="360" w:lineRule="auto"/>
        <w:ind w:firstLine="480" w:firstLineChars="200"/>
        <w:rPr>
          <w:rFonts w:ascii="仿宋" w:hAnsi="仿宋" w:eastAsia="仿宋" w:cs="仿宋"/>
          <w:b/>
          <w:bCs/>
        </w:rPr>
      </w:pPr>
      <w:r>
        <w:rPr>
          <w:rFonts w:hint="eastAsia" w:ascii="黑体" w:hAnsi="黑体" w:eastAsia="黑体" w:cs="黑体"/>
          <w:kern w:val="2"/>
        </w:rPr>
        <w:t>2.</w:t>
      </w:r>
      <w:r>
        <w:rPr>
          <w:rFonts w:hint="eastAsia" w:ascii="仿宋" w:hAnsi="仿宋" w:eastAsia="仿宋" w:cs="仿宋"/>
          <w:b/>
          <w:bCs/>
          <w:kern w:val="2"/>
          <w:shd w:val="clear" w:color="auto" w:fill="FFFFFF"/>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w:t>
      </w:r>
      <w:r>
        <w:rPr>
          <w:rFonts w:hint="eastAsia" w:ascii="仿宋" w:hAnsi="仿宋" w:eastAsia="仿宋" w:cs="仿宋"/>
          <w:kern w:val="2"/>
          <w:shd w:val="clear" w:color="auto" w:fill="FFFFFF"/>
        </w:rPr>
        <w:t>管理人不作任何承诺和保证，不承担担保责任或其他任何责任。</w:t>
      </w:r>
    </w:p>
    <w:p w14:paraId="4EC1BE6E">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sz w:val="24"/>
        </w:rPr>
        <w:t>特别提示：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w:t>
      </w:r>
      <w:r>
        <w:rPr>
          <w:rFonts w:hint="eastAsia" w:ascii="仿宋" w:hAnsi="仿宋" w:eastAsia="仿宋" w:cs="仿宋"/>
          <w:b/>
          <w:bCs/>
          <w:sz w:val="24"/>
        </w:rPr>
        <w:t>上述收费规则详情请自行查看《阿里拍卖破产资产处置频道收费规则》并以阿里平台的规则为准，具体支付的费用以页面展示为准。如发生成交后竞拍不买、成交不卖的情况（由于阿里拍卖平台原因导致的除外），买受人仍负有支付技术服务费的义务。本次标的物竞拍若有网络平台收取的其他手续费等，由买受人承担。前述费用是在拍卖成交金额之外另行收取，由买受人直接向淘宝支付，非管理人收取。</w:t>
      </w:r>
    </w:p>
    <w:p w14:paraId="6014CF57">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竞买人在竞投前应充分考虑到拍卖成交后可能需要支付的相关税、费、金及软件服务费等，并已充分了解标的物在拍卖成交后所产生的标的移交、转让等、相关政策规定及政策性调整所涉及的税费调整及不可抗力因素等方面所引发的风险；竞买人一旦参加竞价，就应对自己的竞买行为承担所有的法律责任和经济责任。拍卖成交后，竞买人即为买受人，买受人不能以任何理由</w:t>
      </w:r>
      <w:r>
        <w:rPr>
          <w:rFonts w:hint="eastAsia" w:ascii="仿宋" w:hAnsi="仿宋" w:eastAsia="仿宋" w:cs="仿宋"/>
          <w:b/>
          <w:bCs/>
          <w:sz w:val="24"/>
        </w:rPr>
        <w:t>（包括“不可抗力”或“政策”等原因）</w:t>
      </w:r>
      <w:r>
        <w:rPr>
          <w:rFonts w:hint="eastAsia" w:ascii="仿宋" w:hAnsi="仿宋" w:eastAsia="仿宋" w:cs="仿宋"/>
          <w:sz w:val="24"/>
        </w:rPr>
        <w:t>要求撤销拍卖结果、退回标的物或拒付拍卖成交价款及软件服务费等。</w:t>
      </w:r>
    </w:p>
    <w:p w14:paraId="4E95B3F8">
      <w:pPr>
        <w:pStyle w:val="2"/>
        <w:spacing w:line="360" w:lineRule="auto"/>
        <w:ind w:firstLine="480" w:firstLineChars="200"/>
        <w:rPr>
          <w:rFonts w:ascii="黑体" w:hAnsi="黑体" w:eastAsia="黑体" w:cs="黑体"/>
          <w:sz w:val="24"/>
        </w:rPr>
      </w:pPr>
      <w:r>
        <w:rPr>
          <w:rFonts w:hint="eastAsia" w:ascii="黑体" w:hAnsi="黑体" w:eastAsia="黑体" w:cs="黑体"/>
          <w:sz w:val="24"/>
        </w:rPr>
        <w:t>九、拍品交付</w:t>
      </w:r>
    </w:p>
    <w:p w14:paraId="23378B2C">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买受人应于</w:t>
      </w:r>
      <w:r>
        <w:rPr>
          <w:rFonts w:hint="eastAsia" w:ascii="仿宋" w:hAnsi="仿宋" w:eastAsia="仿宋" w:cs="仿宋"/>
          <w:b/>
          <w:bCs/>
          <w:color w:val="C00000"/>
          <w:sz w:val="24"/>
        </w:rPr>
        <w:t>付清全部拍卖成交款后七个工作日内</w:t>
      </w:r>
      <w:r>
        <w:rPr>
          <w:rFonts w:hint="eastAsia" w:ascii="仿宋" w:hAnsi="仿宋" w:eastAsia="仿宋" w:cs="仿宋"/>
          <w:sz w:val="24"/>
        </w:rPr>
        <w:t>（遇节假日顺延）凭缴齐全部款项的付款凭证及相关身份材料、委托手续等原件到管理人处【具体方式、联系地址等由管理人另行通知确定】办理相应交接手续。</w:t>
      </w:r>
    </w:p>
    <w:p w14:paraId="32211015">
      <w:pPr>
        <w:spacing w:line="360" w:lineRule="auto"/>
        <w:ind w:firstLine="48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b/>
          <w:bCs/>
          <w:sz w:val="24"/>
        </w:rPr>
        <w:t>管理人仅负责向买受人出具《债权转让通知书》以及移交由管理人确认应当移交的材料凭证的</w:t>
      </w:r>
      <w:r>
        <w:rPr>
          <w:rFonts w:hint="eastAsia" w:ascii="仿宋" w:hAnsi="仿宋" w:eastAsia="仿宋" w:cs="仿宋"/>
          <w:b/>
          <w:bCs/>
          <w:sz w:val="24"/>
          <w:highlight w:val="yellow"/>
        </w:rPr>
        <w:t>复印件</w:t>
      </w:r>
      <w:r>
        <w:rPr>
          <w:rFonts w:hint="eastAsia" w:ascii="仿宋" w:hAnsi="仿宋" w:eastAsia="仿宋" w:cs="仿宋"/>
          <w:b/>
          <w:bCs/>
          <w:sz w:val="24"/>
        </w:rPr>
        <w:t>（参见附件《债权文件材料》，具体由管理人视情况移交）（材料及凭证等并不完整，以交付时的现状为准），即视为管理人履行完拍品交付义务，且完全履行了在本次拍卖交易中的全部法定及约定义务，不再负有其他任何义务或责任（包括但不限于协助责任等）。管理人可以视情况选择给予买受人必要的协助，但管理人不承担任何责任，且管理人有权选择完全不协助，竞买人应于报名参拍前慎重考虑。</w:t>
      </w:r>
    </w:p>
    <w:p w14:paraId="33E7436A">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破产案件受理法院不提供拍卖标的确权、转让、转移登记等与拍卖标的相关的裁定书和协助执行等法院文书。除本条前述第2款所述材料外，管理人不负有其他材料（包括但不限于法院裁定书、协助执行通知书等）的提供义务，相关通知或文书送达由买受人自行负责。</w:t>
      </w:r>
    </w:p>
    <w:p w14:paraId="5A0C4112">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拍卖成交后，买受人应当自行妥善处理与其他人的法律关系。买受人与其他人就标的物产生的一切纠纷由买受人自行处理，管理人不承担任何责任。</w:t>
      </w:r>
    </w:p>
    <w:p w14:paraId="6E69AA03">
      <w:pPr>
        <w:spacing w:line="360" w:lineRule="auto"/>
        <w:ind w:firstLine="480" w:firstLineChars="200"/>
        <w:rPr>
          <w:rFonts w:ascii="仿宋" w:hAnsi="仿宋" w:eastAsia="仿宋" w:cs="仿宋"/>
          <w:b/>
          <w:bCs/>
          <w:sz w:val="24"/>
        </w:rPr>
      </w:pPr>
      <w:r>
        <w:rPr>
          <w:rFonts w:hint="eastAsia" w:ascii="黑体" w:hAnsi="黑体" w:eastAsia="黑体" w:cs="黑体"/>
          <w:sz w:val="24"/>
        </w:rPr>
        <w:t>5.</w:t>
      </w:r>
      <w:r>
        <w:rPr>
          <w:rFonts w:hint="eastAsia" w:ascii="仿宋" w:hAnsi="仿宋" w:eastAsia="仿宋" w:cs="仿宋"/>
          <w:sz w:val="24"/>
        </w:rPr>
        <w:t>自</w:t>
      </w:r>
      <w:r>
        <w:rPr>
          <w:rFonts w:hint="eastAsia" w:ascii="仿宋" w:hAnsi="仿宋" w:eastAsia="仿宋" w:cs="仿宋"/>
          <w:b/>
          <w:bCs/>
          <w:sz w:val="24"/>
        </w:rPr>
        <w:t>网拍平台自动生成《网络竞价成功确认书》之日起</w:t>
      </w:r>
      <w:r>
        <w:rPr>
          <w:rFonts w:hint="eastAsia" w:ascii="仿宋" w:hAnsi="仿宋" w:eastAsia="仿宋" w:cs="仿宋"/>
          <w:sz w:val="24"/>
        </w:rPr>
        <w:t>，标的物（含权利凭证等）产生瑕疵、缺陷、灭失等全部风险以及承担税收等法律责任由买受人自行承担。标的物以目前存在的状态进行移交，移交过程中发生的一切费用均由买受人承担。</w:t>
      </w:r>
    </w:p>
    <w:p w14:paraId="54D3BFC8">
      <w:pPr>
        <w:pStyle w:val="2"/>
        <w:spacing w:line="360" w:lineRule="auto"/>
        <w:ind w:firstLine="480" w:firstLineChars="200"/>
        <w:rPr>
          <w:rFonts w:ascii="黑体" w:hAnsi="黑体" w:eastAsia="黑体" w:cs="黑体"/>
          <w:color w:val="C00000"/>
          <w:sz w:val="24"/>
        </w:rPr>
      </w:pPr>
      <w:r>
        <w:rPr>
          <w:rFonts w:hint="eastAsia" w:ascii="黑体" w:hAnsi="黑体" w:eastAsia="黑体" w:cs="黑体"/>
          <w:color w:val="C00000"/>
          <w:sz w:val="24"/>
          <w:highlight w:val="yellow"/>
          <w:u w:val="single"/>
        </w:rPr>
        <w:t>十、特别提醒</w:t>
      </w:r>
    </w:p>
    <w:p w14:paraId="09AFD295">
      <w:pPr>
        <w:pStyle w:val="2"/>
        <w:spacing w:line="360" w:lineRule="auto"/>
        <w:ind w:firstLine="482" w:firstLineChars="2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本次拍卖标的为</w:t>
      </w:r>
      <w:r>
        <w:rPr>
          <w:rFonts w:hint="eastAsia" w:ascii="仿宋" w:hAnsi="仿宋" w:eastAsia="仿宋" w:cs="仿宋"/>
          <w:b/>
          <w:bCs/>
          <w:sz w:val="24"/>
          <w:highlight w:val="yellow"/>
        </w:rPr>
        <w:t>破产企业不良资产</w:t>
      </w:r>
      <w:r>
        <w:rPr>
          <w:rFonts w:hint="eastAsia" w:ascii="仿宋" w:hAnsi="仿宋" w:eastAsia="仿宋" w:cs="仿宋"/>
          <w:b/>
          <w:bCs/>
          <w:sz w:val="24"/>
        </w:rPr>
        <w:t>，拍卖标的及其从权利可能存在着瑕疵或尚未发现的缺陷、风险，包括但不限于下列一项或多项：</w:t>
      </w:r>
    </w:p>
    <w:p w14:paraId="51BE016E">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管理人仅能提供在破产案件办理过程中已接管的与标的债权有关的部分记账凭证或银行流水等材料（见附件《债权文件材料》），不保证标的债权审计报告、债权明细表、债权文件材料等材料中列示的债权、数额以及账面凭证等证据材料的真实性、合法性、有效性、准确性、关联性或证明力，无法提供或无法完整提供相关合同、往来文件、权利证书等债权支持性文件，可能普遍存在缺少合同、对账单、发票、支付凭证等相关凭证的情况，标的债权可能存在全部或部分不存在、不成立、未生效或无效、违法或违规、无法实现、全部或部分无法追回、清收费用增加、产生损失等情况。</w:t>
      </w:r>
    </w:p>
    <w:p w14:paraId="735DFD13">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w:t>
      </w:r>
      <w:r>
        <w:rPr>
          <w:rFonts w:hint="eastAsia" w:ascii="仿宋" w:hAnsi="仿宋" w:eastAsia="仿宋" w:cs="仿宋"/>
          <w:b/>
          <w:bCs/>
          <w:sz w:val="24"/>
        </w:rPr>
        <w:t>管理人打包、展示的债权明细表、债权文件材料中记载的债务人户数、金额等未取得对应债务人的确认（甚至部分债务人复称与实际不符），也未通过司法程序或其他程序明确，可能存在全部或部分不成立、不准确、不存在等，可能存在与原权利人财务记载的信息不一致的情形。</w:t>
      </w:r>
    </w:p>
    <w:p w14:paraId="2177492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（3）</w:t>
      </w:r>
      <w:r>
        <w:rPr>
          <w:rFonts w:hint="eastAsia" w:ascii="仿宋" w:hAnsi="仿宋" w:eastAsia="仿宋" w:cs="仿宋"/>
          <w:b/>
          <w:bCs/>
          <w:sz w:val="24"/>
        </w:rPr>
        <w:t>标的债权事实上可能已经全部或部分灭失。</w:t>
      </w:r>
    </w:p>
    <w:p w14:paraId="271C3FD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（4）</w:t>
      </w:r>
      <w:r>
        <w:rPr>
          <w:rFonts w:hint="eastAsia" w:ascii="仿宋" w:hAnsi="仿宋" w:eastAsia="仿宋" w:cs="仿宋"/>
          <w:b/>
          <w:bCs/>
          <w:sz w:val="24"/>
        </w:rPr>
        <w:t>全部或部分标的债权可能仅是账面价值、电子账务记录或仅是银行流水反映价值，债权分类、账龄、账面价值等可能仅是记账分类，可能与实际不符，不具有可追收性。</w:t>
      </w:r>
    </w:p>
    <w:p w14:paraId="09F8153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（5）</w:t>
      </w:r>
      <w:r>
        <w:rPr>
          <w:rFonts w:hint="eastAsia" w:ascii="仿宋" w:hAnsi="仿宋" w:eastAsia="仿宋" w:cs="仿宋"/>
          <w:b/>
          <w:bCs/>
          <w:sz w:val="24"/>
        </w:rPr>
        <w:t>全部或部分标的债权可能因未取得入账凭证等原因，可能仅是未处理完毕的费用性记账、应计入工程或其他成本等的技术性挂账、财务错账等，不具有可追收性。</w:t>
      </w:r>
    </w:p>
    <w:p w14:paraId="608AFA0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（6）</w:t>
      </w:r>
      <w:r>
        <w:rPr>
          <w:rFonts w:hint="eastAsia" w:ascii="仿宋" w:hAnsi="仿宋" w:eastAsia="仿宋" w:cs="仿宋"/>
          <w:b/>
          <w:bCs/>
          <w:sz w:val="24"/>
        </w:rPr>
        <w:t>标的债权为审计机构根据案件中接管到的纸质记账凭证、部分电子财务数据、财务人员及其他相关人员陈述等整理得出，因各人对证据采信和事实认定尺度不同、时间过长、事实无从求证、证明材料缺失等而具备极大的不确定性和风险、损失可能性，同时可能存在分析偏差、计算误差、金额错误等情形，且除财务凭证及账务依据性文件存在严重缺失、账目不完整不健全、审计询证期间收悉的补充资料及相关人员陈述可能存在与事实不符甚至串通造假外，星城医药公司还可能存在调账作假或过失错账、调账暂无合理依据等情形，标的债权可能不具备债权真实性、对应数额准确性、证据材料完整性等追收基础。</w:t>
      </w:r>
    </w:p>
    <w:p w14:paraId="334AD088">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（7）</w:t>
      </w:r>
      <w:r>
        <w:rPr>
          <w:rFonts w:hint="eastAsia" w:ascii="仿宋" w:hAnsi="仿宋" w:eastAsia="仿宋" w:cs="仿宋"/>
          <w:b/>
          <w:bCs/>
          <w:sz w:val="24"/>
        </w:rPr>
        <w:t>债权文件材料对于标的债权的行使可能存在不真实、不完整、不准确、不相关，债权凭证及原件缺失、不存在或内容冲突或导致标的债权存在争议、无法收回、产生损失等相关情形。</w:t>
      </w:r>
    </w:p>
    <w:p w14:paraId="541E1E0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（8）</w:t>
      </w:r>
      <w:r>
        <w:rPr>
          <w:rFonts w:hint="eastAsia" w:ascii="仿宋" w:hAnsi="仿宋" w:eastAsia="仿宋" w:cs="仿宋"/>
          <w:b/>
          <w:bCs/>
          <w:sz w:val="24"/>
        </w:rPr>
        <w:t>债权文件材料可能与债权明细表记载不一致导致债权不成立、存在争议、无法收回、产生损失等风险。</w:t>
      </w:r>
    </w:p>
    <w:p w14:paraId="7245458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（9）</w:t>
      </w:r>
      <w:r>
        <w:rPr>
          <w:rFonts w:hint="eastAsia" w:ascii="仿宋" w:hAnsi="仿宋" w:eastAsia="仿宋" w:cs="仿宋"/>
          <w:b/>
          <w:bCs/>
          <w:sz w:val="24"/>
        </w:rPr>
        <w:t>与标的债权相关的债务人和/或担保人和/或其他责任主体可能存在主体名称不全面、不完整、不准确、不存在、身份不明确（含个人无法确认身份信息等）、无联系方式或无法联系到，或可能存在破产、被解散、被注销、被撤销、被关闭、被吊销、歇业、下落不明以及其他主体存续性瑕疵的情形。</w:t>
      </w:r>
    </w:p>
    <w:p w14:paraId="066BBB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（10）</w:t>
      </w:r>
      <w:r>
        <w:rPr>
          <w:rFonts w:hint="eastAsia" w:ascii="仿宋" w:hAnsi="仿宋" w:eastAsia="仿宋" w:cs="仿宋"/>
          <w:b/>
          <w:bCs/>
          <w:sz w:val="24"/>
        </w:rPr>
        <w:t>可能存在债权明细表所显示之债务人并非与星城医药公司存在实质债权债务关系的相对方的风险，可能存在债务人或第三方无财产可清偿债权的风险。</w:t>
      </w:r>
    </w:p>
    <w:p w14:paraId="76A33F3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（11）</w:t>
      </w:r>
      <w:r>
        <w:rPr>
          <w:rFonts w:hint="eastAsia" w:ascii="仿宋" w:hAnsi="仿宋" w:eastAsia="仿宋" w:cs="仿宋"/>
          <w:b/>
          <w:bCs/>
          <w:sz w:val="24"/>
        </w:rPr>
        <w:t>标的债权项下担保权利可能未生效、无效、被撤销、消灭或已过诉讼时效、担保期间等情形（例如主债权未经担保人同意不可转让或担保人只对特定债权人承担担保责任等情形），可能存在潜在的担保人脱保事由，造成担保债权甚至主债权无法实现。</w:t>
      </w:r>
    </w:p>
    <w:p w14:paraId="537C85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（12）</w:t>
      </w:r>
      <w:r>
        <w:rPr>
          <w:rFonts w:hint="eastAsia" w:ascii="仿宋" w:hAnsi="仿宋" w:eastAsia="仿宋" w:cs="仿宋"/>
          <w:b/>
          <w:bCs/>
          <w:sz w:val="24"/>
        </w:rPr>
        <w:t>标的债权可能存在已超过诉讼时效、执行时效、其他法定或约定时效或丧失相关的期间利益（包括但不限于债权人撤销权等），或因其他原因已全部或部分消灭或不能被强制履行、执行（包括但不限于成为自然债等），无法收回、产生损失等情形。</w:t>
      </w:r>
    </w:p>
    <w:p w14:paraId="06B701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（13）</w:t>
      </w:r>
      <w:r>
        <w:rPr>
          <w:rFonts w:hint="eastAsia" w:ascii="仿宋" w:hAnsi="仿宋" w:eastAsia="仿宋" w:cs="仿宋"/>
          <w:b/>
          <w:bCs/>
          <w:sz w:val="24"/>
        </w:rPr>
        <w:t>标的债权可能存在因合同约定、债务人实际已履行、被清偿、减免、免责等原因导致已消灭；因款项系正常支付对价（或其他星城医药公司应付款情况）而导致债权不成立、不存在；因发票未开，或因标的债权无效、被抵销、撤销以及其他原因或纠纷，导致无法收回、产生损失等风险。</w:t>
      </w:r>
    </w:p>
    <w:p w14:paraId="7B200E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（14）</w:t>
      </w:r>
      <w:r>
        <w:rPr>
          <w:rFonts w:hint="eastAsia" w:ascii="仿宋" w:hAnsi="仿宋" w:eastAsia="仿宋" w:cs="仿宋"/>
          <w:b/>
          <w:bCs/>
          <w:sz w:val="24"/>
        </w:rPr>
        <w:t>标的债权可能存在不符合约定的付款条件、付款期限未届满，存在质押、查封、侵权等情况，存在产品质量问题、迟延交货等违约情形，导致标的债权存在争议、无法收回、产生损失等风险。</w:t>
      </w:r>
    </w:p>
    <w:p w14:paraId="436F25B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（15）</w:t>
      </w:r>
      <w:r>
        <w:rPr>
          <w:rFonts w:hint="eastAsia" w:ascii="仿宋" w:hAnsi="仿宋" w:eastAsia="仿宋" w:cs="仿宋"/>
          <w:b/>
          <w:bCs/>
          <w:sz w:val="24"/>
        </w:rPr>
        <w:t>就标的债权进行追索,可能存在反诉、另行起诉等情形要求支付违约金、赔偿损失等，导致标的债权存在争议、无法收回、产生损失等风险。</w:t>
      </w:r>
    </w:p>
    <w:p w14:paraId="7CE615D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（16）</w:t>
      </w:r>
      <w:r>
        <w:rPr>
          <w:rFonts w:hint="eastAsia" w:ascii="仿宋" w:hAnsi="仿宋" w:eastAsia="仿宋" w:cs="仿宋"/>
          <w:b/>
          <w:bCs/>
          <w:sz w:val="24"/>
        </w:rPr>
        <w:t>标的债权相关的义务人（包括但不限于债务人和/或担保人和/或第三方）可能会在买受人向其追索时提出抗辩或抵销或存在涉及刑事责任等情况。</w:t>
      </w:r>
    </w:p>
    <w:p w14:paraId="2BD0D20B">
      <w:pPr>
        <w:pStyle w:val="2"/>
        <w:spacing w:line="360" w:lineRule="auto"/>
        <w:ind w:firstLine="241" w:firstLineChars="100"/>
        <w:rPr>
          <w:rFonts w:ascii="黑体" w:hAnsi="黑体" w:eastAsia="黑体" w:cs="黑体"/>
          <w:b/>
          <w:bCs/>
          <w:sz w:val="24"/>
        </w:rPr>
      </w:pPr>
      <w:r>
        <w:rPr>
          <w:rFonts w:hint="eastAsia" w:ascii="黑体" w:hAnsi="黑体" w:eastAsia="黑体" w:cs="黑体"/>
          <w:b/>
          <w:bCs/>
          <w:sz w:val="24"/>
        </w:rPr>
        <w:t>（17）</w:t>
      </w:r>
      <w:r>
        <w:rPr>
          <w:rFonts w:hint="eastAsia" w:ascii="仿宋" w:hAnsi="仿宋" w:eastAsia="仿宋" w:cs="仿宋"/>
          <w:b/>
          <w:bCs/>
          <w:sz w:val="24"/>
        </w:rPr>
        <w:t>买受人取得债权后，债务人对星城医药公司的抗辩权利（包括但不限于债权异议、债权抵销、正常支付对价、工程维保等）将向买受人行使；买受人应当自行与应收对象进行交涉。</w:t>
      </w:r>
    </w:p>
    <w:p w14:paraId="666A064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（18）</w:t>
      </w:r>
      <w:r>
        <w:rPr>
          <w:rFonts w:hint="eastAsia" w:ascii="仿宋" w:hAnsi="仿宋" w:eastAsia="仿宋" w:cs="仿宋"/>
          <w:b/>
          <w:bCs/>
          <w:sz w:val="24"/>
        </w:rPr>
        <w:t>标的债权可能存在已经被星城医药公司或公司相关人员通过相关方式收取，或已经被其他债权人或第三人收取，或已通过其他方式收取（或抵销）等情形。</w:t>
      </w:r>
    </w:p>
    <w:p w14:paraId="22CE06F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（19）</w:t>
      </w:r>
      <w:r>
        <w:rPr>
          <w:rFonts w:hint="eastAsia" w:ascii="仿宋" w:hAnsi="仿宋" w:eastAsia="仿宋" w:cs="仿宋"/>
          <w:b/>
          <w:bCs/>
          <w:sz w:val="24"/>
        </w:rPr>
        <w:t>标的债权可能存在被转让予第三人，无法受让、无法收回、产生损失的情形。</w:t>
      </w:r>
    </w:p>
    <w:p w14:paraId="1CDCD751">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（20）</w:t>
      </w:r>
      <w:r>
        <w:rPr>
          <w:rFonts w:hint="eastAsia" w:ascii="仿宋" w:hAnsi="仿宋" w:eastAsia="仿宋" w:cs="仿宋"/>
          <w:b/>
          <w:bCs/>
          <w:sz w:val="24"/>
        </w:rPr>
        <w:t>标的债权可能因法律法规规定、政策原因、他项权利限制（包括但不限于被质押等）、存在权利瑕疵（包括但不限于多重转让、多重处置、所有权保留等）、不具备可让与性（包括但不限于根据合同性质、当事人约定或法律规定等不得转让）或其他原因而导致转让不能，或转让后权利实现存在阻碍、干扰或其他风险。</w:t>
      </w:r>
    </w:p>
    <w:p w14:paraId="14CF145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（21）</w:t>
      </w:r>
      <w:r>
        <w:rPr>
          <w:rFonts w:hint="eastAsia" w:ascii="仿宋" w:hAnsi="仿宋" w:eastAsia="仿宋" w:cs="仿宋"/>
          <w:b/>
          <w:bCs/>
          <w:sz w:val="24"/>
        </w:rPr>
        <w:t>标的债权可能受让自第三方且存在未就标的债权转让通知债务人等情况导致债权转让尚未对债务人发生效力、不具备追回的权利基础等。</w:t>
      </w:r>
    </w:p>
    <w:p w14:paraId="57D9D3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（22）</w:t>
      </w:r>
      <w:r>
        <w:rPr>
          <w:rFonts w:hint="eastAsia" w:ascii="仿宋" w:hAnsi="仿宋" w:eastAsia="仿宋" w:cs="仿宋"/>
          <w:b/>
          <w:bCs/>
          <w:sz w:val="24"/>
        </w:rPr>
        <w:t>标的债权可能因法律或政策的不明朗或不支持，买受人受让后以其名义向法院或仲裁机构等提起诉讼或仲裁、申请变更诉讼或执行主体时，该等法院或仲裁机构等不予受理、不予审理、不予支持、不予变更、不予执行等致使买受人权利难以行使或落空，甚至可能存在虚假诉讼等风险。</w:t>
      </w:r>
    </w:p>
    <w:p w14:paraId="4F6B541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（23）</w:t>
      </w:r>
      <w:r>
        <w:rPr>
          <w:rFonts w:hint="eastAsia" w:ascii="仿宋" w:hAnsi="仿宋" w:eastAsia="仿宋" w:cs="仿宋"/>
          <w:b/>
          <w:bCs/>
          <w:sz w:val="24"/>
        </w:rPr>
        <w:t>涉诉标的债权可能存在全部或部分败诉、不能变更诉讼主体、执行主体、相关诉讼、执行费用未付等风险，涉诉标的债权可能在交割前已诉讼终结、执行终结或破产终结。</w:t>
      </w:r>
    </w:p>
    <w:p w14:paraId="68EFDDE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（24）</w:t>
      </w:r>
      <w:r>
        <w:rPr>
          <w:rFonts w:hint="eastAsia" w:ascii="仿宋" w:hAnsi="仿宋" w:eastAsia="仿宋" w:cs="仿宋"/>
          <w:b/>
          <w:bCs/>
          <w:sz w:val="24"/>
        </w:rPr>
        <w:t>其他已经/或尚未发现的可能导致标的债权存在争议、不成立、不存在、未生效、无效、已消灭、无法转让、无法或无法及时收回、违法违规、产生损失等风险。</w:t>
      </w:r>
    </w:p>
    <w:p w14:paraId="29C0EBD7">
      <w:pPr>
        <w:pStyle w:val="6"/>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上述已经存在的、可能存在的以及一切潜在、未知、可能存在的瑕疵、缺陷、风险，均将导致标的债权在</w:t>
      </w:r>
      <w:r>
        <w:rPr>
          <w:rFonts w:hint="eastAsia" w:ascii="仿宋" w:hAnsi="仿宋" w:eastAsia="仿宋" w:cs="仿宋"/>
          <w:b/>
          <w:bCs/>
          <w:color w:val="C00000"/>
          <w:kern w:val="2"/>
        </w:rPr>
        <w:t>是否依法成立、有效、准确、明确、存在、唯一、可转让、可主张、可追回以及转让效力、追回成本、诚信诉讼、产生损失等事项上</w:t>
      </w:r>
      <w:r>
        <w:rPr>
          <w:rFonts w:hint="eastAsia" w:ascii="仿宋" w:hAnsi="仿宋" w:eastAsia="仿宋" w:cs="仿宋"/>
          <w:b/>
          <w:bCs/>
          <w:kern w:val="2"/>
        </w:rPr>
        <w:t>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7E58F3BF">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shd w:val="clear" w:color="auto" w:fill="FFFFFF"/>
        </w:rPr>
        <w:t>2.</w:t>
      </w:r>
      <w:r>
        <w:rPr>
          <w:rFonts w:hint="eastAsia" w:ascii="仿宋" w:hAnsi="仿宋" w:eastAsia="仿宋" w:cs="仿宋"/>
        </w:rPr>
        <w:t>由于管理人获取相关资料和信息的有限性，无法对债权的清收可能性及具体数额作出估算。竞买人应自行评估标的债权是否合法有效存在、具备可让与性等符合债权转让要求的相关规定，债务人是否完整、明确、具有唯一性等，以及通过诉讼程序或其他途径可能实际收回的债权数额。竞买人应于竞买前自行对该竞买标的物的法律及自然现状进行深入而全面地了解，包括亲自查验竞买标的物、向相关方了解、调查、判断并自行确认标的物权利现状、权利凭证持有情况、债务人情况、债权是否合法有效成立、债权是否存在、数额是否准确、债权是否能实现全部或部分收回、转让要求和流程、税费缴付的标准，以及其他需注意的事项，或聘请专家提供专业意见，并承担本次竞拍活动的一切风险。</w:t>
      </w:r>
    </w:p>
    <w:p w14:paraId="2EF50178">
      <w:pPr>
        <w:pStyle w:val="2"/>
        <w:spacing w:line="360" w:lineRule="auto"/>
        <w:ind w:firstLine="480" w:firstLineChars="200"/>
        <w:rPr>
          <w:rFonts w:ascii="仿宋" w:hAnsi="仿宋" w:eastAsia="仿宋" w:cs="仿宋"/>
          <w:sz w:val="24"/>
        </w:rPr>
      </w:pPr>
      <w:r>
        <w:rPr>
          <w:rFonts w:hint="eastAsia" w:ascii="黑体" w:hAnsi="黑体" w:eastAsia="黑体" w:cs="黑体"/>
          <w:sz w:val="24"/>
          <w:shd w:val="clear" w:color="auto" w:fill="FFFFFF"/>
        </w:rPr>
        <w:t>3.</w:t>
      </w:r>
      <w:r>
        <w:rPr>
          <w:rFonts w:hint="eastAsia" w:ascii="仿宋" w:hAnsi="仿宋" w:eastAsia="仿宋" w:cs="仿宋"/>
          <w:sz w:val="24"/>
        </w:rPr>
        <w:t>与本标的物有利害关系的人可参加竞拍，不参加竞拍的请关注本次拍卖活动的整个过程。</w:t>
      </w:r>
    </w:p>
    <w:p w14:paraId="3A832D4D">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由于破产企业长期停业、材料缺失严重，管理人未能接管到完整的项目资料，买受人自行了解资料缺失的影响并承担相应的风险。</w:t>
      </w:r>
    </w:p>
    <w:p w14:paraId="2042E2F0">
      <w:pPr>
        <w:pStyle w:val="6"/>
        <w:widowControl/>
        <w:shd w:val="clear" w:color="auto" w:fill="FFFFFF"/>
        <w:spacing w:beforeAutospacing="0" w:afterAutospacing="0" w:line="360" w:lineRule="auto"/>
        <w:ind w:firstLine="480" w:firstLineChars="200"/>
        <w:rPr>
          <w:rFonts w:ascii="黑体" w:hAnsi="黑体" w:eastAsia="黑体" w:cs="黑体"/>
          <w:kern w:val="2"/>
        </w:rPr>
      </w:pPr>
      <w:r>
        <w:rPr>
          <w:rFonts w:hint="eastAsia" w:ascii="黑体" w:hAnsi="黑体" w:eastAsia="黑体" w:cs="黑体"/>
          <w:kern w:val="2"/>
        </w:rPr>
        <w:t>5.</w:t>
      </w:r>
      <w:r>
        <w:rPr>
          <w:rFonts w:hint="eastAsia" w:ascii="仿宋" w:hAnsi="仿宋" w:eastAsia="仿宋" w:cs="仿宋"/>
          <w:kern w:val="2"/>
        </w:rPr>
        <w:t>参加竞买的人应当遵守竞买文件的规定，不得阻挠其他竞买人竞拍，不得操纵、垄断竞拍价格，严禁竞买人恶意串标，上述行为一经发现，将取消其竞买资格，并追究相关的法律责任。</w:t>
      </w:r>
    </w:p>
    <w:p w14:paraId="34A2D601">
      <w:pPr>
        <w:pStyle w:val="6"/>
        <w:widowControl/>
        <w:shd w:val="clear" w:color="auto" w:fill="FFFFFF"/>
        <w:spacing w:beforeAutospacing="0" w:afterAutospacing="0" w:line="360" w:lineRule="auto"/>
        <w:ind w:firstLine="480" w:firstLineChars="200"/>
        <w:rPr>
          <w:rFonts w:ascii="仿宋" w:hAnsi="仿宋" w:eastAsia="仿宋" w:cs="仿宋"/>
          <w:b/>
          <w:bCs/>
          <w:u w:val="single"/>
        </w:rPr>
      </w:pPr>
      <w:r>
        <w:rPr>
          <w:rFonts w:hint="eastAsia" w:ascii="黑体" w:hAnsi="黑体" w:eastAsia="黑体" w:cs="黑体"/>
          <w:shd w:val="clear" w:color="auto" w:fill="FFFFFF"/>
        </w:rPr>
        <w:t>6.</w:t>
      </w:r>
      <w:r>
        <w:rPr>
          <w:rFonts w:hint="eastAsia" w:ascii="仿宋" w:hAnsi="仿宋" w:eastAsia="仿宋" w:cs="仿宋"/>
          <w:kern w:val="2"/>
        </w:rPr>
        <w:t>长沙市中级人民法院与管理人有权在竞价开始前、竞价过程中，中止竞价或撤回竞价，且无需承担任何责任。</w:t>
      </w:r>
    </w:p>
    <w:p w14:paraId="5D7688D4">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7.</w:t>
      </w:r>
      <w:r>
        <w:rPr>
          <w:rFonts w:hint="eastAsia" w:ascii="仿宋" w:hAnsi="仿宋" w:eastAsia="仿宋" w:cs="仿宋"/>
          <w:shd w:val="clear" w:color="auto" w:fill="FFFFFF"/>
        </w:rPr>
        <w:t>买受人悔拍后，竞买保证金不予退还。买受人付清全部拍卖款后，若标的物需至相关部门办理转让、变更手续的，由买受人自行负责办理。标的物无法办理或迟延办理转让或变更手续等风险，由买受人自行承担。</w:t>
      </w:r>
    </w:p>
    <w:p w14:paraId="3CBF46D8">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8.</w:t>
      </w:r>
      <w:r>
        <w:rPr>
          <w:rFonts w:hint="eastAsia" w:ascii="仿宋" w:hAnsi="仿宋" w:eastAsia="仿宋" w:cs="仿宋"/>
          <w:shd w:val="clear" w:color="auto" w:fill="FFFFFF"/>
        </w:rPr>
        <w:t>因标的物为破产财产性质，标的物成交后，破产企业及管理人无法为本次交易及后续衍生事宜开具任何发票，因此产生的后果由买受人承担。</w:t>
      </w:r>
    </w:p>
    <w:p w14:paraId="76CB8F5B">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9.</w:t>
      </w:r>
      <w:r>
        <w:rPr>
          <w:rFonts w:hint="eastAsia" w:ascii="仿宋" w:hAnsi="仿宋" w:eastAsia="仿宋" w:cs="仿宋"/>
          <w:shd w:val="clear" w:color="auto" w:fill="FFFFFF"/>
        </w:rPr>
        <w:t>竞买人应保证预留于网络平台的联系电话畅通以及送达地址准确，以便于拍卖成交后手续的办理。上述联系方式视为竞买人指定的联系方式，如需更改，竞买人应在拍卖活动结束前与管理人联系确认更改。竞买人应承担可归责于无法联系竞买人导致成交后手续办理延迟或无法办理所产生的必要费用，并承担本标的物可能发生的损毁、灭失等后果。</w:t>
      </w:r>
    </w:p>
    <w:p w14:paraId="7B0B9A2A">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10.</w:t>
      </w:r>
      <w:r>
        <w:rPr>
          <w:rFonts w:hint="eastAsia" w:ascii="仿宋" w:hAnsi="仿宋" w:eastAsia="仿宋" w:cs="仿宋"/>
          <w:shd w:val="clear" w:color="auto" w:fill="FFFFFF"/>
        </w:rPr>
        <w:t>竞买人成功竞得网拍标的物后，网拍平台将生成相应《网络竞价成功确认书》，确认书中载明实际买受人真实身份信息。</w:t>
      </w:r>
    </w:p>
    <w:p w14:paraId="21FE0D46">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kern w:val="2"/>
        </w:rPr>
        <w:t>11.</w:t>
      </w:r>
      <w:r>
        <w:rPr>
          <w:rFonts w:hint="eastAsia" w:ascii="仿宋" w:hAnsi="仿宋" w:eastAsia="仿宋" w:cs="仿宋"/>
          <w:shd w:val="clear" w:color="auto" w:fill="FFFFFF"/>
        </w:rPr>
        <w:t>竞买人在竞买前应认真了解本次拍卖的竞买规则、竞买风险和阿里拍卖平台的出价规则，每一次出价均视为竞买人的真实意思表示并产生相应的法律效力，任何因不熟悉或误解相关规则导致的后果皆由竞买人自行承担。</w:t>
      </w:r>
    </w:p>
    <w:p w14:paraId="73091E66">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kern w:val="2"/>
        </w:rPr>
        <w:t>12.</w:t>
      </w:r>
      <w:r>
        <w:rPr>
          <w:rFonts w:hint="eastAsia" w:ascii="仿宋" w:hAnsi="仿宋" w:eastAsia="仿宋" w:cs="仿宋"/>
          <w:shd w:val="clear" w:color="auto" w:fill="FFFFFF"/>
        </w:rPr>
        <w:t>竞买人在竞价前请务必仔细阅读相应标的竞买公告、竞买须知、标的物详情等竞买文件。本公告其他未尽事宜，请向管理人咨询。</w:t>
      </w:r>
    </w:p>
    <w:p w14:paraId="4F7CF2AB">
      <w:pPr>
        <w:pStyle w:val="2"/>
        <w:spacing w:line="360" w:lineRule="auto"/>
        <w:ind w:firstLine="480" w:firstLineChars="200"/>
        <w:rPr>
          <w:rFonts w:ascii="仿宋" w:hAnsi="仿宋" w:eastAsia="仿宋" w:cs="仿宋"/>
          <w:sz w:val="24"/>
        </w:rPr>
      </w:pPr>
      <w:r>
        <w:rPr>
          <w:rFonts w:hint="eastAsia" w:ascii="仿宋" w:hAnsi="仿宋" w:eastAsia="仿宋" w:cs="仿宋"/>
          <w:sz w:val="24"/>
        </w:rPr>
        <w:t>管理人咨询电话：周律师15558815578，金律师15958012283，联系地址：浙江省温州市鹿城区市府路592号新益大厦A幢802。</w:t>
      </w:r>
    </w:p>
    <w:p w14:paraId="6965348F">
      <w:pPr>
        <w:pStyle w:val="2"/>
        <w:spacing w:line="360" w:lineRule="auto"/>
        <w:ind w:firstLine="480" w:firstLineChars="200"/>
        <w:rPr>
          <w:rFonts w:ascii="仿宋" w:hAnsi="仿宋" w:eastAsia="仿宋" w:cs="仿宋"/>
          <w:kern w:val="0"/>
          <w:sz w:val="24"/>
          <w:shd w:val="clear" w:color="auto" w:fill="FFFFFF"/>
          <w:lang w:bidi="ar"/>
        </w:rPr>
      </w:pPr>
      <w:r>
        <w:rPr>
          <w:rFonts w:hint="eastAsia" w:ascii="黑体" w:hAnsi="黑体" w:eastAsia="黑体" w:cs="黑体"/>
          <w:sz w:val="24"/>
          <w:highlight w:val="yellow"/>
        </w:rPr>
        <w:t>13.</w:t>
      </w:r>
      <w:r>
        <w:rPr>
          <w:rFonts w:hint="eastAsia" w:ascii="仿宋" w:hAnsi="仿宋" w:eastAsia="仿宋" w:cs="仿宋"/>
          <w:b/>
          <w:bCs/>
          <w:kern w:val="0"/>
          <w:sz w:val="24"/>
          <w:highlight w:val="yellow"/>
          <w:shd w:val="clear" w:color="auto" w:fill="FFFFFF"/>
          <w:lang w:bidi="ar"/>
        </w:rPr>
        <w:t>本竞买公告同时为催收公告，要求债权明细表列明的债务人以及债权明细表未列明但对星城医药公司负有债务的债务人或相关人员及时向星城医药公司（包括拍卖成交后的债权受让人）清偿债务。</w:t>
      </w:r>
    </w:p>
    <w:p w14:paraId="159905E4">
      <w:pPr>
        <w:pStyle w:val="2"/>
        <w:spacing w:line="348" w:lineRule="auto"/>
        <w:ind w:firstLine="480" w:firstLineChars="200"/>
        <w:rPr>
          <w:rFonts w:ascii="仿宋" w:hAnsi="仿宋" w:eastAsia="仿宋" w:cs="仿宋"/>
          <w:sz w:val="24"/>
        </w:rPr>
      </w:pPr>
      <w:r>
        <w:rPr>
          <w:rFonts w:hint="eastAsia" w:ascii="黑体" w:hAnsi="黑体" w:eastAsia="黑体" w:cs="黑体"/>
          <w:sz w:val="24"/>
        </w:rPr>
        <w:t>14.</w:t>
      </w:r>
      <w:r>
        <w:rPr>
          <w:rFonts w:hint="eastAsia" w:ascii="仿宋" w:hAnsi="仿宋" w:eastAsia="仿宋" w:cs="仿宋"/>
          <w:sz w:val="24"/>
        </w:rPr>
        <w:t xml:space="preserve">凡发现竞价中有违规行为，可如实举报。 </w:t>
      </w:r>
    </w:p>
    <w:p w14:paraId="0CA606EB">
      <w:pPr>
        <w:pStyle w:val="2"/>
        <w:spacing w:line="348" w:lineRule="auto"/>
        <w:ind w:firstLine="480" w:firstLineChars="200"/>
        <w:rPr>
          <w:rFonts w:ascii="仿宋" w:hAnsi="仿宋" w:eastAsia="仿宋" w:cs="仿宋"/>
          <w:sz w:val="24"/>
        </w:rPr>
      </w:pPr>
      <w:r>
        <w:rPr>
          <w:rFonts w:hint="eastAsia" w:ascii="仿宋" w:hAnsi="仿宋" w:eastAsia="仿宋" w:cs="仿宋"/>
          <w:sz w:val="24"/>
        </w:rPr>
        <w:t>法院举报监督电话：（0554）6612186</w:t>
      </w:r>
    </w:p>
    <w:p w14:paraId="631A62E4">
      <w:pPr>
        <w:pStyle w:val="6"/>
        <w:widowControl/>
        <w:shd w:val="clear" w:color="auto" w:fill="FFFFFF"/>
        <w:spacing w:beforeAutospacing="0" w:afterAutospacing="0" w:line="348" w:lineRule="auto"/>
        <w:ind w:firstLine="480" w:firstLineChars="200"/>
        <w:rPr>
          <w:rFonts w:ascii="仿宋" w:hAnsi="仿宋" w:eastAsia="仿宋" w:cs="仿宋"/>
          <w:kern w:val="2"/>
        </w:rPr>
      </w:pPr>
      <w:r>
        <w:rPr>
          <w:rFonts w:hint="eastAsia" w:ascii="仿宋" w:hAnsi="仿宋" w:eastAsia="仿宋" w:cs="仿宋"/>
          <w:kern w:val="2"/>
        </w:rPr>
        <w:t>此公告在“阿里拍卖破产强清平台”上发布。</w:t>
      </w:r>
    </w:p>
    <w:p w14:paraId="050E0951">
      <w:pPr>
        <w:pStyle w:val="6"/>
        <w:widowControl/>
        <w:shd w:val="clear" w:color="auto" w:fill="FFFFFF"/>
        <w:spacing w:beforeAutospacing="0" w:afterAutospacing="0" w:line="348" w:lineRule="auto"/>
        <w:ind w:firstLine="480" w:firstLineChars="200"/>
        <w:jc w:val="right"/>
        <w:rPr>
          <w:rFonts w:ascii="仿宋" w:hAnsi="仿宋" w:eastAsia="仿宋" w:cs="仿宋"/>
        </w:rPr>
      </w:pPr>
      <w:r>
        <w:rPr>
          <w:rFonts w:hint="eastAsia" w:ascii="仿宋" w:hAnsi="仿宋" w:eastAsia="仿宋" w:cs="仿宋"/>
          <w:shd w:val="clear" w:color="auto" w:fill="FFFFFF"/>
        </w:rPr>
        <w:t>湖南星城医药有限公司管理人</w:t>
      </w:r>
    </w:p>
    <w:p w14:paraId="54113EE3">
      <w:pPr>
        <w:jc w:val="center"/>
      </w:pPr>
      <w:r>
        <w:rPr>
          <w:rFonts w:hint="eastAsia" w:ascii="仿宋" w:hAnsi="仿宋" w:eastAsia="仿宋" w:cs="仿宋"/>
          <w:sz w:val="24"/>
          <w:shd w:val="clear" w:color="auto" w:fill="FFFFFF"/>
        </w:rPr>
        <w:t xml:space="preserve">                                           二〇二四年十</w:t>
      </w:r>
      <w:r>
        <w:rPr>
          <w:rFonts w:hint="eastAsia" w:ascii="仿宋" w:hAnsi="仿宋" w:eastAsia="仿宋" w:cs="仿宋"/>
          <w:sz w:val="24"/>
          <w:shd w:val="clear" w:color="auto" w:fill="FFFFFF"/>
          <w:lang w:eastAsia="zh-CN"/>
        </w:rPr>
        <w:t>二</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eastAsia="zh-CN"/>
        </w:rPr>
        <w:t>二十二</w:t>
      </w:r>
      <w:bookmarkStart w:id="0" w:name="_GoBack"/>
      <w:bookmarkEnd w:id="0"/>
      <w:r>
        <w:rPr>
          <w:rFonts w:hint="eastAsia" w:ascii="仿宋" w:hAnsi="仿宋" w:eastAsia="仿宋" w:cs="仿宋"/>
          <w:sz w:val="24"/>
          <w:shd w:val="clear" w:color="auto" w:fill="FFFFFF"/>
        </w:rPr>
        <w:t>日</w:t>
      </w: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023675224"/>
    </w:sdtPr>
    <w:sdtEndPr>
      <w:rPr>
        <w:rStyle w:val="10"/>
      </w:rPr>
    </w:sdtEndPr>
    <w:sdtContent>
      <w:p w14:paraId="1D6A1534">
        <w:pPr>
          <w:pStyle w:val="4"/>
          <w:framePr w:wrap="auto" w:vAnchor="text" w:hAnchor="margin" w:xAlign="center" w:y="1"/>
          <w:rPr>
            <w:rStyle w:val="10"/>
          </w:rPr>
        </w:pPr>
        <w:r>
          <w:rPr>
            <w:rStyle w:val="10"/>
          </w:rPr>
          <w:fldChar w:fldCharType="begin"/>
        </w:r>
        <w:r>
          <w:rPr>
            <w:rStyle w:val="10"/>
          </w:rPr>
          <w:instrText xml:space="preserve"> PAGE </w:instrText>
        </w:r>
        <w:r>
          <w:rPr>
            <w:rStyle w:val="10"/>
          </w:rPr>
          <w:fldChar w:fldCharType="separate"/>
        </w:r>
        <w:r>
          <w:rPr>
            <w:rStyle w:val="10"/>
          </w:rPr>
          <w:t>18</w:t>
        </w:r>
        <w:r>
          <w:rPr>
            <w:rStyle w:val="10"/>
          </w:rPr>
          <w:fldChar w:fldCharType="end"/>
        </w:r>
      </w:p>
    </w:sdtContent>
  </w:sdt>
  <w:p w14:paraId="6DB3E76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0" w:author="Microsoft Office User" w:date="2024-07-17T21:18:00Z"/>
  <w:sdt>
    <w:sdtPr>
      <w:rPr>
        <w:rStyle w:val="10"/>
      </w:rPr>
      <w:id w:val="-1129770173"/>
    </w:sdtPr>
    <w:sdtEndPr>
      <w:rPr>
        <w:rStyle w:val="10"/>
      </w:rPr>
    </w:sdtEndPr>
    <w:sdtContent>
      <w:customXmlInsRangeEnd w:id="0"/>
      <w:p w14:paraId="51A0673C">
        <w:pPr>
          <w:pStyle w:val="4"/>
          <w:framePr w:wrap="auto" w:vAnchor="text" w:hAnchor="margin" w:xAlign="center" w:y="1"/>
          <w:rPr>
            <w:ins w:id="2" w:author="Microsoft Office User" w:date="2024-07-17T21:18:00Z"/>
            <w:rStyle w:val="10"/>
          </w:rPr>
        </w:pPr>
        <w:ins w:id="4" w:author="Microsoft Office User" w:date="2024-07-17T21:18:00Z">
          <w:r>
            <w:rPr>
              <w:rStyle w:val="10"/>
            </w:rPr>
            <w:fldChar w:fldCharType="begin"/>
          </w:r>
        </w:ins>
        <w:ins w:id="5" w:author="Microsoft Office User" w:date="2024-07-17T21:18:00Z">
          <w:r>
            <w:rPr>
              <w:rStyle w:val="10"/>
            </w:rPr>
            <w:instrText xml:space="preserve"> PAGE </w:instrText>
          </w:r>
        </w:ins>
        <w:ins w:id="6" w:author="Microsoft Office User" w:date="2024-07-17T21:18:00Z">
          <w:r>
            <w:rPr>
              <w:rStyle w:val="10"/>
            </w:rPr>
            <w:fldChar w:fldCharType="end"/>
          </w:r>
        </w:ins>
      </w:p>
      <w:customXmlInsRangeStart w:id="8" w:author="Microsoft Office User" w:date="2024-07-17T21:18:00Z"/>
    </w:sdtContent>
  </w:sdt>
  <w:customXmlInsRangeEnd w:id="8"/>
  <w:p w14:paraId="2E057A4A">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8BE8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4A5A2">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E536">
    <w:pPr>
      <w:pStyle w:val="5"/>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22C7"/>
    <w:rsid w:val="00072D0B"/>
    <w:rsid w:val="00143E38"/>
    <w:rsid w:val="00230757"/>
    <w:rsid w:val="00263EFC"/>
    <w:rsid w:val="00285257"/>
    <w:rsid w:val="003F7218"/>
    <w:rsid w:val="004204C8"/>
    <w:rsid w:val="00481D6C"/>
    <w:rsid w:val="005717AD"/>
    <w:rsid w:val="005D22C7"/>
    <w:rsid w:val="005D6AB8"/>
    <w:rsid w:val="008158EB"/>
    <w:rsid w:val="008816BA"/>
    <w:rsid w:val="008B1CB4"/>
    <w:rsid w:val="0093290F"/>
    <w:rsid w:val="009B436D"/>
    <w:rsid w:val="00A235C8"/>
    <w:rsid w:val="00AC1405"/>
    <w:rsid w:val="00B95F7F"/>
    <w:rsid w:val="00D5527E"/>
    <w:rsid w:val="00D55C43"/>
    <w:rsid w:val="00E03A53"/>
    <w:rsid w:val="02296E92"/>
    <w:rsid w:val="0601740A"/>
    <w:rsid w:val="0EB968C6"/>
    <w:rsid w:val="14822AC0"/>
    <w:rsid w:val="152D72DB"/>
    <w:rsid w:val="15A471DC"/>
    <w:rsid w:val="164A0131"/>
    <w:rsid w:val="17F3464E"/>
    <w:rsid w:val="181A055A"/>
    <w:rsid w:val="18437881"/>
    <w:rsid w:val="1AC35C7E"/>
    <w:rsid w:val="1C316C17"/>
    <w:rsid w:val="1D0D1432"/>
    <w:rsid w:val="2471674B"/>
    <w:rsid w:val="26635AE4"/>
    <w:rsid w:val="268427D4"/>
    <w:rsid w:val="2D417001"/>
    <w:rsid w:val="33C61EE3"/>
    <w:rsid w:val="356565D0"/>
    <w:rsid w:val="35AA1DAA"/>
    <w:rsid w:val="37E666B0"/>
    <w:rsid w:val="3CDE74A9"/>
    <w:rsid w:val="44344809"/>
    <w:rsid w:val="44FC5BF6"/>
    <w:rsid w:val="45B37B81"/>
    <w:rsid w:val="46794B93"/>
    <w:rsid w:val="46E4421C"/>
    <w:rsid w:val="47F46BC7"/>
    <w:rsid w:val="49553696"/>
    <w:rsid w:val="4F510D0C"/>
    <w:rsid w:val="50E01C8B"/>
    <w:rsid w:val="51DF67D5"/>
    <w:rsid w:val="52244857"/>
    <w:rsid w:val="542E2796"/>
    <w:rsid w:val="543D53A9"/>
    <w:rsid w:val="57F566FB"/>
    <w:rsid w:val="589C00A2"/>
    <w:rsid w:val="58FA70AF"/>
    <w:rsid w:val="5A5359CF"/>
    <w:rsid w:val="5F346F0D"/>
    <w:rsid w:val="61E909C7"/>
    <w:rsid w:val="66C64F06"/>
    <w:rsid w:val="66FB3E37"/>
    <w:rsid w:val="688E3473"/>
    <w:rsid w:val="6B20545A"/>
    <w:rsid w:val="6BC151D7"/>
    <w:rsid w:val="6D5F012E"/>
    <w:rsid w:val="6DCC7B1B"/>
    <w:rsid w:val="6F8740A2"/>
    <w:rsid w:val="7104581E"/>
    <w:rsid w:val="75A807F4"/>
    <w:rsid w:val="75EF7EB6"/>
    <w:rsid w:val="76FC0093"/>
    <w:rsid w:val="779C52E9"/>
    <w:rsid w:val="78E15A2B"/>
    <w:rsid w:val="795231FD"/>
    <w:rsid w:val="7C5238E1"/>
    <w:rsid w:val="7E427BE5"/>
    <w:rsid w:val="7F3913BD"/>
    <w:rsid w:val="7FB33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toc 1"/>
    <w:basedOn w:val="1"/>
    <w:next w:val="1"/>
    <w:autoRedefine/>
    <w:qFormat/>
    <w:uiPriority w:val="39"/>
    <w:rPr>
      <w:rFonts w:ascii="Times New Roman" w:hAnsi="Times New Roman" w:eastAsia="宋体" w:cs="Times New Roman"/>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basedOn w:val="9"/>
    <w:autoRedefine/>
    <w:qFormat/>
    <w:uiPriority w:val="0"/>
    <w:rPr>
      <w:color w:val="0000FF"/>
      <w:u w:val="single"/>
    </w:rPr>
  </w:style>
  <w:style w:type="character" w:styleId="12">
    <w:name w:val="annotation reference"/>
    <w:basedOn w:val="9"/>
    <w:qFormat/>
    <w:uiPriority w:val="0"/>
    <w:rPr>
      <w:sz w:val="21"/>
      <w:szCs w:val="21"/>
    </w:rPr>
  </w:style>
  <w:style w:type="paragraph" w:customStyle="1" w:styleId="13">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12331</Words>
  <Characters>12885</Characters>
  <Lines>98</Lines>
  <Paragraphs>27</Paragraphs>
  <TotalTime>45</TotalTime>
  <ScaleCrop>false</ScaleCrop>
  <LinksUpToDate>false</LinksUpToDate>
  <CharactersWithSpaces>12885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2022-09-15T10:08:00Z</dcterms:created>
  <dc:creator>ASUS</dc:creator>
  <cp:lastModifiedBy>Lawer Z</cp:lastModifiedBy>
  <dcterms:modified xsi:type="dcterms:W3CDTF">2024-12-22T13:50:50Z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56B394B5FC2148D2B0F3FD110078E0C8_13</vt:lpwstr>
  </property>
</Properties>
</file>