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A9021F">
      <w:pPr>
        <w:jc w:val="center"/>
        <w:rPr>
          <w:rFonts w:ascii="黑体" w:hAnsi="黑体" w:eastAsia="黑体" w:cs="黑体"/>
          <w:b/>
          <w:bCs/>
          <w:color w:val="000000" w:themeColor="text1"/>
          <w:kern w:val="0"/>
          <w:sz w:val="36"/>
          <w:szCs w:val="36"/>
          <w:lang w:bidi="ar"/>
          <w14:textFill>
            <w14:solidFill>
              <w14:schemeClr w14:val="tx1"/>
            </w14:solidFill>
          </w14:textFill>
        </w:rPr>
      </w:pPr>
      <w:r>
        <w:rPr>
          <w:rFonts w:hint="eastAsia" w:ascii="黑体" w:hAnsi="黑体" w:eastAsia="黑体" w:cs="黑体"/>
          <w:b/>
          <w:bCs/>
          <w:color w:val="000000" w:themeColor="text1"/>
          <w:kern w:val="0"/>
          <w:sz w:val="36"/>
          <w:szCs w:val="36"/>
          <w:lang w:bidi="ar"/>
          <w14:textFill>
            <w14:solidFill>
              <w14:schemeClr w14:val="tx1"/>
            </w14:solidFill>
          </w14:textFill>
        </w:rPr>
        <w:t>标的物介绍</w:t>
      </w:r>
    </w:p>
    <w:tbl>
      <w:tblPr>
        <w:tblStyle w:val="7"/>
        <w:tblpPr w:leftFromText="180" w:rightFromText="180" w:vertAnchor="text" w:horzAnchor="page" w:tblpX="402" w:tblpY="301"/>
        <w:tblOverlap w:val="never"/>
        <w:tblW w:w="10244" w:type="dxa"/>
        <w:tblInd w:w="0" w:type="dxa"/>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2265"/>
        <w:gridCol w:w="7979"/>
      </w:tblGrid>
      <w:tr w14:paraId="63495B47">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shd w:val="clear" w:color="auto" w:fill="FFFFFF"/>
          <w:tblCellMar>
            <w:top w:w="0" w:type="dxa"/>
            <w:left w:w="0" w:type="dxa"/>
            <w:bottom w:w="0" w:type="dxa"/>
            <w:right w:w="0" w:type="dxa"/>
          </w:tblCellMar>
        </w:tblPrEx>
        <w:trPr>
          <w:trHeight w:val="90" w:hRule="atLeast"/>
        </w:trPr>
        <w:tc>
          <w:tcPr>
            <w:tcW w:w="10244" w:type="dxa"/>
            <w:gridSpan w:val="2"/>
            <w:tcBorders>
              <w:top w:val="single" w:color="DCDCDC" w:sz="6" w:space="0"/>
              <w:left w:val="single" w:color="DCDCDC" w:sz="6" w:space="0"/>
              <w:bottom w:val="single" w:color="DCDCDC" w:sz="6" w:space="0"/>
              <w:right w:val="single" w:color="DCDCDC" w:sz="6" w:space="0"/>
            </w:tcBorders>
            <w:shd w:val="clear" w:color="auto" w:fill="FFFFFF"/>
            <w:tcMar>
              <w:top w:w="150" w:type="dxa"/>
              <w:left w:w="150" w:type="dxa"/>
              <w:bottom w:w="150" w:type="dxa"/>
              <w:right w:w="150" w:type="dxa"/>
            </w:tcMar>
            <w:vAlign w:val="center"/>
          </w:tcPr>
          <w:p w14:paraId="49574E3A">
            <w:pPr>
              <w:widowControl/>
              <w:spacing w:line="390" w:lineRule="atLeast"/>
              <w:jc w:val="center"/>
              <w:rPr>
                <w:rFonts w:ascii="宋体" w:hAnsi="宋体" w:eastAsia="宋体" w:cs="宋体"/>
                <w:sz w:val="24"/>
              </w:rPr>
            </w:pPr>
            <w:r>
              <w:rPr>
                <w:rFonts w:ascii="Helvetica" w:hAnsi="Helvetica" w:eastAsia="Helvetica" w:cs="Helvetica"/>
                <w:b/>
                <w:bCs/>
                <w:color w:val="666666"/>
                <w:sz w:val="32"/>
                <w:szCs w:val="32"/>
                <w:shd w:val="clear" w:color="auto" w:fill="FFFFFF"/>
              </w:rPr>
              <w:t>拍卖标的物情况介绍表</w:t>
            </w:r>
          </w:p>
        </w:tc>
      </w:tr>
      <w:tr w14:paraId="2B67BE05">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tblCellMar>
            <w:top w:w="0" w:type="dxa"/>
            <w:left w:w="0" w:type="dxa"/>
            <w:bottom w:w="0" w:type="dxa"/>
            <w:right w:w="0" w:type="dxa"/>
          </w:tblCellMar>
        </w:tblPrEx>
        <w:trPr>
          <w:trHeight w:val="480" w:hRule="atLeast"/>
        </w:trPr>
        <w:tc>
          <w:tcPr>
            <w:tcW w:w="2265" w:type="dxa"/>
            <w:tcBorders>
              <w:top w:val="single" w:color="DCDCDC" w:sz="6" w:space="0"/>
              <w:left w:val="single" w:color="DCDCDC" w:sz="6" w:space="0"/>
              <w:bottom w:val="single" w:color="DCDCDC" w:sz="6" w:space="0"/>
              <w:right w:val="single" w:color="DCDCDC" w:sz="6" w:space="0"/>
            </w:tcBorders>
            <w:shd w:val="clear" w:color="auto" w:fill="FFFFFF"/>
            <w:tcMar>
              <w:top w:w="150" w:type="dxa"/>
              <w:left w:w="150" w:type="dxa"/>
              <w:bottom w:w="150" w:type="dxa"/>
              <w:right w:w="150" w:type="dxa"/>
            </w:tcMar>
            <w:vAlign w:val="center"/>
          </w:tcPr>
          <w:p w14:paraId="203A8AC2">
            <w:pPr>
              <w:widowControl/>
              <w:spacing w:line="390" w:lineRule="atLeast"/>
              <w:jc w:val="left"/>
              <w:rPr>
                <w:rFonts w:ascii="宋体" w:hAnsi="宋体" w:eastAsia="宋体" w:cs="宋体"/>
                <w:sz w:val="24"/>
              </w:rPr>
            </w:pPr>
            <w:r>
              <w:rPr>
                <w:rFonts w:hint="eastAsia" w:ascii="宋体" w:hAnsi="宋体" w:eastAsia="宋体" w:cs="宋体"/>
                <w:kern w:val="0"/>
                <w:sz w:val="24"/>
                <w:lang w:bidi="ar"/>
              </w:rPr>
              <w:t>标的物名称</w:t>
            </w:r>
          </w:p>
        </w:tc>
        <w:tc>
          <w:tcPr>
            <w:tcW w:w="7979" w:type="dxa"/>
            <w:tcBorders>
              <w:top w:val="single" w:color="DCDCDC" w:sz="6" w:space="0"/>
              <w:left w:val="single" w:color="DCDCDC" w:sz="6" w:space="0"/>
              <w:bottom w:val="single" w:color="DCDCDC" w:sz="6" w:space="0"/>
              <w:right w:val="single" w:color="DCDCDC" w:sz="6" w:space="0"/>
            </w:tcBorders>
            <w:shd w:val="clear" w:color="auto" w:fill="FFFFFF"/>
            <w:tcMar>
              <w:top w:w="150" w:type="dxa"/>
              <w:left w:w="150" w:type="dxa"/>
              <w:bottom w:w="150" w:type="dxa"/>
              <w:right w:w="150" w:type="dxa"/>
            </w:tcMar>
            <w:vAlign w:val="center"/>
          </w:tcPr>
          <w:p w14:paraId="24408481">
            <w:pPr>
              <w:widowControl/>
              <w:spacing w:line="390" w:lineRule="atLeast"/>
              <w:jc w:val="left"/>
              <w:rPr>
                <w:rFonts w:ascii="宋体" w:hAnsi="宋体" w:eastAsia="宋体" w:cs="宋体"/>
                <w:sz w:val="24"/>
              </w:rPr>
            </w:pPr>
            <w:r>
              <w:rPr>
                <w:rFonts w:hint="eastAsia" w:ascii="宋体" w:hAnsi="宋体" w:eastAsia="宋体" w:cs="宋体"/>
                <w:sz w:val="24"/>
              </w:rPr>
              <w:t>湖南星城医药有限公司名下办公用品、设备及其他物品</w:t>
            </w:r>
          </w:p>
        </w:tc>
      </w:tr>
      <w:tr w14:paraId="20067E44">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tblCellMar>
            <w:top w:w="0" w:type="dxa"/>
            <w:left w:w="0" w:type="dxa"/>
            <w:bottom w:w="0" w:type="dxa"/>
            <w:right w:w="0" w:type="dxa"/>
          </w:tblCellMar>
        </w:tblPrEx>
        <w:trPr>
          <w:trHeight w:val="348" w:hRule="atLeast"/>
        </w:trPr>
        <w:tc>
          <w:tcPr>
            <w:tcW w:w="2265" w:type="dxa"/>
            <w:tcBorders>
              <w:top w:val="single" w:color="DCDCDC" w:sz="6" w:space="0"/>
              <w:left w:val="single" w:color="DCDCDC" w:sz="6" w:space="0"/>
              <w:bottom w:val="single" w:color="DCDCDC" w:sz="6" w:space="0"/>
              <w:right w:val="single" w:color="DCDCDC" w:sz="6" w:space="0"/>
            </w:tcBorders>
            <w:shd w:val="clear" w:color="auto" w:fill="FFFFFF"/>
            <w:tcMar>
              <w:top w:w="150" w:type="dxa"/>
              <w:left w:w="150" w:type="dxa"/>
              <w:bottom w:w="150" w:type="dxa"/>
              <w:right w:w="150" w:type="dxa"/>
            </w:tcMar>
            <w:vAlign w:val="center"/>
          </w:tcPr>
          <w:p w14:paraId="4416A3FA">
            <w:pPr>
              <w:widowControl/>
              <w:spacing w:line="390" w:lineRule="atLeast"/>
              <w:jc w:val="left"/>
              <w:rPr>
                <w:rFonts w:ascii="宋体" w:hAnsi="宋体" w:eastAsia="宋体" w:cs="宋体"/>
                <w:sz w:val="24"/>
              </w:rPr>
            </w:pPr>
            <w:r>
              <w:rPr>
                <w:rFonts w:hint="eastAsia" w:ascii="宋体" w:hAnsi="宋体" w:eastAsia="宋体" w:cs="宋体"/>
                <w:kern w:val="0"/>
                <w:sz w:val="24"/>
                <w:lang w:bidi="ar"/>
              </w:rPr>
              <w:t>标的物所有权人</w:t>
            </w:r>
          </w:p>
        </w:tc>
        <w:tc>
          <w:tcPr>
            <w:tcW w:w="7979" w:type="dxa"/>
            <w:tcBorders>
              <w:top w:val="single" w:color="DCDCDC" w:sz="6" w:space="0"/>
              <w:left w:val="single" w:color="DCDCDC" w:sz="6" w:space="0"/>
              <w:bottom w:val="single" w:color="DCDCDC" w:sz="6" w:space="0"/>
              <w:right w:val="single" w:color="DCDCDC" w:sz="6" w:space="0"/>
            </w:tcBorders>
            <w:shd w:val="clear" w:color="auto" w:fill="FFFFFF"/>
            <w:tcMar>
              <w:top w:w="150" w:type="dxa"/>
              <w:left w:w="150" w:type="dxa"/>
              <w:bottom w:w="150" w:type="dxa"/>
              <w:right w:w="150" w:type="dxa"/>
            </w:tcMar>
            <w:vAlign w:val="center"/>
          </w:tcPr>
          <w:p w14:paraId="1CEC84B7">
            <w:pPr>
              <w:widowControl/>
              <w:spacing w:line="390" w:lineRule="atLeast"/>
              <w:jc w:val="left"/>
              <w:rPr>
                <w:rFonts w:ascii="宋体" w:hAnsi="宋体" w:eastAsia="宋体" w:cs="宋体"/>
                <w:sz w:val="24"/>
              </w:rPr>
            </w:pPr>
            <w:r>
              <w:rPr>
                <w:rFonts w:hint="eastAsia" w:ascii="宋体" w:hAnsi="宋体" w:eastAsia="宋体" w:cs="宋体"/>
                <w:sz w:val="24"/>
              </w:rPr>
              <w:t>湖南星城医药有限公司</w:t>
            </w:r>
          </w:p>
        </w:tc>
      </w:tr>
      <w:tr w14:paraId="3CAD2270">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tblCellMar>
            <w:top w:w="0" w:type="dxa"/>
            <w:left w:w="0" w:type="dxa"/>
            <w:bottom w:w="0" w:type="dxa"/>
            <w:right w:w="0" w:type="dxa"/>
          </w:tblCellMar>
        </w:tblPrEx>
        <w:trPr>
          <w:trHeight w:val="796" w:hRule="atLeast"/>
        </w:trPr>
        <w:tc>
          <w:tcPr>
            <w:tcW w:w="2265" w:type="dxa"/>
            <w:tcBorders>
              <w:top w:val="single" w:color="DCDCDC" w:sz="6" w:space="0"/>
              <w:left w:val="single" w:color="DCDCDC" w:sz="6" w:space="0"/>
              <w:bottom w:val="single" w:color="DCDCDC" w:sz="6" w:space="0"/>
              <w:right w:val="single" w:color="DCDCDC" w:sz="6" w:space="0"/>
            </w:tcBorders>
            <w:shd w:val="clear" w:color="auto" w:fill="FFFFFF"/>
            <w:tcMar>
              <w:top w:w="150" w:type="dxa"/>
              <w:left w:w="150" w:type="dxa"/>
              <w:bottom w:w="150" w:type="dxa"/>
              <w:right w:w="150" w:type="dxa"/>
            </w:tcMar>
            <w:vAlign w:val="center"/>
          </w:tcPr>
          <w:p w14:paraId="58BBF1C2">
            <w:pPr>
              <w:widowControl/>
              <w:spacing w:line="390" w:lineRule="atLeast"/>
              <w:jc w:val="left"/>
              <w:rPr>
                <w:rFonts w:ascii="宋体" w:hAnsi="宋体" w:eastAsia="宋体" w:cs="宋体"/>
                <w:sz w:val="24"/>
              </w:rPr>
            </w:pPr>
            <w:r>
              <w:rPr>
                <w:rFonts w:hint="eastAsia" w:ascii="宋体" w:hAnsi="宋体" w:eastAsia="宋体" w:cs="宋体"/>
                <w:sz w:val="24"/>
              </w:rPr>
              <w:t>存放地点</w:t>
            </w:r>
          </w:p>
        </w:tc>
        <w:tc>
          <w:tcPr>
            <w:tcW w:w="7979" w:type="dxa"/>
            <w:tcBorders>
              <w:top w:val="single" w:color="DCDCDC" w:sz="6" w:space="0"/>
              <w:left w:val="single" w:color="DCDCDC" w:sz="6" w:space="0"/>
              <w:bottom w:val="single" w:color="DCDCDC" w:sz="6" w:space="0"/>
              <w:right w:val="single" w:color="DCDCDC" w:sz="6" w:space="0"/>
            </w:tcBorders>
            <w:shd w:val="clear" w:color="auto" w:fill="FFFFFF"/>
            <w:tcMar>
              <w:top w:w="150" w:type="dxa"/>
              <w:left w:w="150" w:type="dxa"/>
              <w:bottom w:w="150" w:type="dxa"/>
              <w:right w:w="150" w:type="dxa"/>
            </w:tcMar>
            <w:vAlign w:val="center"/>
          </w:tcPr>
          <w:p w14:paraId="310C6A77">
            <w:pPr>
              <w:widowControl/>
              <w:spacing w:line="390" w:lineRule="atLeast"/>
              <w:jc w:val="left"/>
              <w:rPr>
                <w:rFonts w:ascii="宋体" w:hAnsi="宋体" w:eastAsia="宋体" w:cs="宋体"/>
                <w:sz w:val="24"/>
              </w:rPr>
            </w:pPr>
            <w:r>
              <w:rPr>
                <w:rFonts w:hint="eastAsia" w:ascii="宋体" w:hAnsi="宋体" w:eastAsia="宋体" w:cs="宋体"/>
                <w:sz w:val="24"/>
              </w:rPr>
              <w:t>湖南省长沙市长沙县果园镇古井社区文家组特定存放位置</w:t>
            </w:r>
          </w:p>
        </w:tc>
      </w:tr>
      <w:tr w14:paraId="1BEFFBB1">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tblCellMar>
            <w:top w:w="0" w:type="dxa"/>
            <w:left w:w="0" w:type="dxa"/>
            <w:bottom w:w="0" w:type="dxa"/>
            <w:right w:w="0" w:type="dxa"/>
          </w:tblCellMar>
        </w:tblPrEx>
        <w:trPr>
          <w:trHeight w:val="2736" w:hRule="atLeast"/>
        </w:trPr>
        <w:tc>
          <w:tcPr>
            <w:tcW w:w="2265" w:type="dxa"/>
            <w:tcBorders>
              <w:top w:val="single" w:color="DCDCDC" w:sz="6" w:space="0"/>
              <w:left w:val="single" w:color="DCDCDC" w:sz="6" w:space="0"/>
              <w:bottom w:val="single" w:color="DCDCDC" w:sz="6" w:space="0"/>
              <w:right w:val="single" w:color="DCDCDC" w:sz="6" w:space="0"/>
            </w:tcBorders>
            <w:shd w:val="clear" w:color="auto" w:fill="FFFFFF"/>
            <w:tcMar>
              <w:top w:w="150" w:type="dxa"/>
              <w:left w:w="150" w:type="dxa"/>
              <w:bottom w:w="150" w:type="dxa"/>
              <w:right w:w="150" w:type="dxa"/>
            </w:tcMar>
            <w:vAlign w:val="center"/>
          </w:tcPr>
          <w:p w14:paraId="755F5558">
            <w:pPr>
              <w:widowControl/>
              <w:spacing w:line="390" w:lineRule="atLeast"/>
              <w:jc w:val="left"/>
              <w:rPr>
                <w:rFonts w:ascii="宋体" w:hAnsi="宋体" w:eastAsia="宋体" w:cs="宋体"/>
                <w:sz w:val="24"/>
              </w:rPr>
            </w:pPr>
            <w:r>
              <w:rPr>
                <w:rFonts w:hint="eastAsia" w:ascii="宋体" w:hAnsi="宋体" w:eastAsia="宋体" w:cs="宋体"/>
                <w:kern w:val="0"/>
                <w:sz w:val="24"/>
                <w:lang w:bidi="ar"/>
              </w:rPr>
              <w:t>标的物情况</w:t>
            </w:r>
          </w:p>
        </w:tc>
        <w:tc>
          <w:tcPr>
            <w:tcW w:w="7979" w:type="dxa"/>
            <w:tcBorders>
              <w:top w:val="single" w:color="DCDCDC" w:sz="6" w:space="0"/>
              <w:left w:val="single" w:color="DCDCDC" w:sz="6" w:space="0"/>
              <w:bottom w:val="single" w:color="DCDCDC" w:sz="6" w:space="0"/>
              <w:right w:val="single" w:color="DCDCDC" w:sz="6" w:space="0"/>
            </w:tcBorders>
            <w:shd w:val="clear" w:color="auto" w:fill="FFFFFF"/>
            <w:tcMar>
              <w:top w:w="150" w:type="dxa"/>
              <w:left w:w="150" w:type="dxa"/>
              <w:bottom w:w="150" w:type="dxa"/>
              <w:right w:w="150" w:type="dxa"/>
            </w:tcMar>
            <w:vAlign w:val="center"/>
          </w:tcPr>
          <w:p w14:paraId="79ED37EE">
            <w:pPr>
              <w:widowControl/>
              <w:spacing w:line="390" w:lineRule="atLeast"/>
              <w:jc w:val="left"/>
              <w:rPr>
                <w:rFonts w:ascii="宋体" w:hAnsi="宋体" w:eastAsia="宋体" w:cs="宋体"/>
                <w:sz w:val="24"/>
              </w:rPr>
            </w:pPr>
            <w:r>
              <w:rPr>
                <w:rFonts w:hint="eastAsia" w:ascii="宋体" w:hAnsi="宋体" w:eastAsia="宋体" w:cs="宋体"/>
                <w:sz w:val="24"/>
              </w:rPr>
              <w:t>明细见《竞买公告》的第二条第1款“标的物简介”，</w:t>
            </w:r>
            <w:r>
              <w:rPr>
                <w:rFonts w:hint="eastAsia" w:ascii="宋体" w:hAnsi="宋体" w:eastAsia="宋体" w:cs="宋体"/>
                <w:b/>
                <w:bCs/>
                <w:sz w:val="24"/>
              </w:rPr>
              <w:t>附件中由审计机构出具的《固定资产盘盈明细表》仅供买受人参考，其中所列物品仅有一部分为此次拍卖标的，本次拍卖标的以《竞买公告》第二条第1款“标的物简介”中的“标的物清单”所列物品为准</w:t>
            </w:r>
            <w:r>
              <w:rPr>
                <w:rFonts w:hint="eastAsia" w:ascii="宋体" w:hAnsi="宋体" w:eastAsia="宋体" w:cs="宋体"/>
                <w:sz w:val="24"/>
              </w:rPr>
              <w:t>，</w:t>
            </w:r>
            <w:r>
              <w:rPr>
                <w:rFonts w:hint="eastAsia" w:ascii="宋体" w:hAnsi="宋体" w:eastAsia="宋体" w:cs="宋体"/>
                <w:b/>
                <w:bCs/>
                <w:sz w:val="24"/>
              </w:rPr>
              <w:t>拍卖标的物清单以及相关附件图片中的设备编号、设备名称、规格型号、</w:t>
            </w:r>
            <w:r>
              <w:rPr>
                <w:rFonts w:hint="eastAsia" w:ascii="宋体" w:hAnsi="宋体" w:eastAsia="宋体" w:cs="宋体"/>
                <w:b/>
                <w:bCs/>
                <w:color w:val="000000" w:themeColor="text1"/>
                <w:sz w:val="24"/>
                <w14:textFill>
                  <w14:solidFill>
                    <w14:schemeClr w14:val="tx1"/>
                  </w14:solidFill>
                </w14:textFill>
              </w:rPr>
              <w:t>品相、重量、生产厂家、成份含量、成色、工艺、材质、标的物真伪和影响标的物价值的其他因素等</w:t>
            </w:r>
            <w:r>
              <w:rPr>
                <w:rFonts w:hint="eastAsia" w:ascii="宋体" w:hAnsi="宋体" w:eastAsia="宋体" w:cs="宋体"/>
                <w:b/>
                <w:bCs/>
                <w:sz w:val="24"/>
              </w:rPr>
              <w:t>是根据星城公司有关工作人员介绍、或结合相关资料及周边财产情况推测等编写，实际交付标的物现状可能与清单中所述不完全一致，管理人不再组织现场踏勘。</w:t>
            </w:r>
            <w:r>
              <w:rPr>
                <w:rFonts w:hint="eastAsia" w:ascii="宋体" w:hAnsi="宋体" w:eastAsia="宋体" w:cs="宋体"/>
                <w:sz w:val="24"/>
              </w:rPr>
              <w:t>标的物存放现场同时存放了不属于本次拍卖标的物的星城公司财产或第三人的财物，拍卖标的物交接时以管理人指认交付为准，竞得人须无条件服从管理人指认交付，否则，因此引发的一切损失均由竞得人承担。</w:t>
            </w:r>
          </w:p>
        </w:tc>
      </w:tr>
      <w:tr w14:paraId="63BEE96D">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8" w:hRule="atLeast"/>
        </w:trPr>
        <w:tc>
          <w:tcPr>
            <w:tcW w:w="2265" w:type="dxa"/>
            <w:tcBorders>
              <w:top w:val="single" w:color="DCDCDC" w:sz="6" w:space="0"/>
              <w:left w:val="single" w:color="DCDCDC" w:sz="6" w:space="0"/>
              <w:bottom w:val="single" w:color="DCDCDC" w:sz="6" w:space="0"/>
              <w:right w:val="single" w:color="DCDCDC" w:sz="6" w:space="0"/>
            </w:tcBorders>
            <w:shd w:val="clear" w:color="auto" w:fill="FFFFFF"/>
            <w:tcMar>
              <w:top w:w="150" w:type="dxa"/>
              <w:left w:w="150" w:type="dxa"/>
              <w:bottom w:w="150" w:type="dxa"/>
              <w:right w:w="150" w:type="dxa"/>
            </w:tcMar>
            <w:vAlign w:val="center"/>
          </w:tcPr>
          <w:p w14:paraId="410F9BE2">
            <w:pPr>
              <w:widowControl/>
              <w:spacing w:line="390" w:lineRule="atLeast"/>
              <w:jc w:val="left"/>
              <w:rPr>
                <w:rFonts w:ascii="宋体" w:hAnsi="宋体" w:eastAsia="宋体" w:cs="宋体"/>
                <w:kern w:val="0"/>
                <w:sz w:val="24"/>
                <w:lang w:bidi="ar"/>
              </w:rPr>
            </w:pPr>
            <w:r>
              <w:rPr>
                <w:rFonts w:hint="eastAsia" w:ascii="宋体" w:hAnsi="宋体" w:eastAsia="宋体" w:cs="宋体"/>
                <w:kern w:val="0"/>
                <w:sz w:val="24"/>
                <w:lang w:bidi="ar"/>
              </w:rPr>
              <w:t>成交后提供的文件</w:t>
            </w:r>
          </w:p>
        </w:tc>
        <w:tc>
          <w:tcPr>
            <w:tcW w:w="7979" w:type="dxa"/>
            <w:tcBorders>
              <w:top w:val="single" w:color="DCDCDC" w:sz="6" w:space="0"/>
              <w:left w:val="single" w:color="DCDCDC" w:sz="6" w:space="0"/>
              <w:bottom w:val="single" w:color="DCDCDC" w:sz="6" w:space="0"/>
              <w:right w:val="single" w:color="DCDCDC" w:sz="6" w:space="0"/>
            </w:tcBorders>
            <w:shd w:val="clear" w:color="auto" w:fill="FFFFFF"/>
            <w:tcMar>
              <w:top w:w="150" w:type="dxa"/>
              <w:left w:w="150" w:type="dxa"/>
              <w:bottom w:w="150" w:type="dxa"/>
              <w:right w:w="150" w:type="dxa"/>
            </w:tcMar>
            <w:vAlign w:val="center"/>
          </w:tcPr>
          <w:p w14:paraId="26E5978B">
            <w:pPr>
              <w:widowControl/>
              <w:spacing w:line="390" w:lineRule="atLeast"/>
              <w:jc w:val="left"/>
              <w:rPr>
                <w:rFonts w:ascii="宋体" w:hAnsi="宋体" w:eastAsia="宋体" w:cs="宋体"/>
                <w:sz w:val="24"/>
              </w:rPr>
            </w:pPr>
            <w:r>
              <w:rPr>
                <w:rFonts w:hint="eastAsia" w:ascii="宋体" w:hAnsi="宋体" w:eastAsia="宋体" w:cs="宋体"/>
                <w:sz w:val="24"/>
              </w:rPr>
              <w:t>《网络竞价成功确认书》</w:t>
            </w:r>
          </w:p>
        </w:tc>
      </w:tr>
      <w:tr w14:paraId="10707B49">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tblCellMar>
            <w:top w:w="0" w:type="dxa"/>
            <w:left w:w="0" w:type="dxa"/>
            <w:bottom w:w="0" w:type="dxa"/>
            <w:right w:w="0" w:type="dxa"/>
          </w:tblCellMar>
        </w:tblPrEx>
        <w:trPr>
          <w:trHeight w:val="1924" w:hRule="atLeast"/>
        </w:trPr>
        <w:tc>
          <w:tcPr>
            <w:tcW w:w="2265" w:type="dxa"/>
            <w:tcBorders>
              <w:top w:val="single" w:color="DCDCDC" w:sz="6" w:space="0"/>
              <w:left w:val="single" w:color="DCDCDC" w:sz="6" w:space="0"/>
              <w:bottom w:val="single" w:color="DCDCDC" w:sz="6" w:space="0"/>
              <w:right w:val="single" w:color="DCDCDC" w:sz="6" w:space="0"/>
            </w:tcBorders>
            <w:shd w:val="clear" w:color="auto" w:fill="FFFFFF"/>
            <w:tcMar>
              <w:top w:w="150" w:type="dxa"/>
              <w:left w:w="150" w:type="dxa"/>
              <w:bottom w:w="150" w:type="dxa"/>
              <w:right w:w="150" w:type="dxa"/>
            </w:tcMar>
            <w:vAlign w:val="center"/>
          </w:tcPr>
          <w:p w14:paraId="74D02B5D">
            <w:pPr>
              <w:widowControl/>
              <w:spacing w:line="390" w:lineRule="atLeast"/>
              <w:jc w:val="left"/>
              <w:rPr>
                <w:rFonts w:ascii="宋体" w:hAnsi="宋体" w:eastAsia="宋体" w:cs="宋体"/>
                <w:sz w:val="24"/>
              </w:rPr>
            </w:pPr>
            <w:r>
              <w:rPr>
                <w:rFonts w:hint="eastAsia" w:ascii="宋体" w:hAnsi="宋体" w:eastAsia="宋体" w:cs="宋体"/>
                <w:sz w:val="24"/>
              </w:rPr>
              <w:t>特别事项说明</w:t>
            </w:r>
          </w:p>
        </w:tc>
        <w:tc>
          <w:tcPr>
            <w:tcW w:w="7979" w:type="dxa"/>
            <w:tcBorders>
              <w:top w:val="single" w:color="DCDCDC" w:sz="6" w:space="0"/>
              <w:left w:val="single" w:color="DCDCDC" w:sz="6" w:space="0"/>
              <w:bottom w:val="single" w:color="DCDCDC" w:sz="6" w:space="0"/>
              <w:right w:val="single" w:color="DCDCDC" w:sz="6" w:space="0"/>
            </w:tcBorders>
            <w:shd w:val="clear" w:color="auto" w:fill="FFFFFF"/>
            <w:tcMar>
              <w:top w:w="150" w:type="dxa"/>
              <w:left w:w="150" w:type="dxa"/>
              <w:bottom w:w="150" w:type="dxa"/>
              <w:right w:w="150" w:type="dxa"/>
            </w:tcMar>
            <w:vAlign w:val="center"/>
          </w:tcPr>
          <w:p w14:paraId="16986762">
            <w:pPr>
              <w:widowControl/>
              <w:numPr>
                <w:ilvl w:val="255"/>
                <w:numId w:val="0"/>
              </w:numPr>
              <w:jc w:val="left"/>
              <w:rPr>
                <w:rFonts w:ascii="宋体" w:hAnsi="宋体" w:eastAsia="宋体" w:cs="宋体"/>
                <w:kern w:val="0"/>
                <w:sz w:val="24"/>
                <w:lang w:bidi="ar"/>
              </w:rPr>
            </w:pPr>
            <w:r>
              <w:rPr>
                <w:rFonts w:hint="eastAsia" w:ascii="宋体" w:hAnsi="宋体" w:eastAsia="宋体" w:cs="宋体"/>
                <w:kern w:val="0"/>
                <w:sz w:val="24"/>
                <w:lang w:bidi="ar"/>
              </w:rPr>
              <w:t>1、标的物成交以现状为准，拍卖人不承担任何瑕疵担保责任，竞买人参拍即视为对本标的物现状及全部瑕疵、风险等的确认，标的物的一切瑕疵责任由买受人自负。</w:t>
            </w:r>
          </w:p>
          <w:p w14:paraId="4544510B">
            <w:pPr>
              <w:widowControl/>
              <w:numPr>
                <w:ilvl w:val="255"/>
                <w:numId w:val="0"/>
              </w:numPr>
              <w:jc w:val="left"/>
              <w:rPr>
                <w:rFonts w:ascii="宋体" w:hAnsi="宋体" w:eastAsia="宋体" w:cs="宋体"/>
                <w:kern w:val="0"/>
                <w:sz w:val="24"/>
                <w:lang w:bidi="ar"/>
              </w:rPr>
            </w:pPr>
            <w:r>
              <w:rPr>
                <w:rFonts w:hint="eastAsia" w:ascii="宋体" w:hAnsi="宋体" w:eastAsia="宋体" w:cs="宋体"/>
                <w:kern w:val="0"/>
                <w:sz w:val="24"/>
                <w:lang w:bidi="ar"/>
              </w:rPr>
              <w:t>2、</w:t>
            </w:r>
            <w:r>
              <w:rPr>
                <w:rFonts w:ascii="宋体" w:hAnsi="宋体" w:eastAsia="宋体" w:cs="宋体"/>
                <w:kern w:val="0"/>
                <w:sz w:val="24"/>
                <w:lang w:bidi="ar"/>
              </w:rPr>
              <w:t>标的物已经破产企业正常经营时使用过，且自破产企业陷入不正常经营至今</w:t>
            </w:r>
            <w:r>
              <w:rPr>
                <w:rFonts w:hint="eastAsia" w:ascii="宋体" w:hAnsi="宋体" w:eastAsia="宋体" w:cs="宋体"/>
                <w:kern w:val="0"/>
                <w:sz w:val="24"/>
                <w:lang w:bidi="ar"/>
              </w:rPr>
              <w:t>已有几年之久</w:t>
            </w:r>
            <w:r>
              <w:rPr>
                <w:rFonts w:ascii="宋体" w:hAnsi="宋体" w:eastAsia="宋体" w:cs="宋体"/>
                <w:kern w:val="0"/>
                <w:sz w:val="24"/>
                <w:lang w:bidi="ar"/>
              </w:rPr>
              <w:t>，期间未经</w:t>
            </w:r>
            <w:r>
              <w:rPr>
                <w:rFonts w:hint="eastAsia" w:ascii="宋体" w:hAnsi="宋体" w:eastAsia="宋体" w:cs="宋体"/>
                <w:kern w:val="0"/>
                <w:sz w:val="24"/>
                <w:lang w:bidi="ar"/>
              </w:rPr>
              <w:t>检测、</w:t>
            </w:r>
            <w:r>
              <w:rPr>
                <w:rFonts w:ascii="宋体" w:hAnsi="宋体" w:eastAsia="宋体" w:cs="宋体"/>
                <w:kern w:val="0"/>
                <w:sz w:val="24"/>
                <w:lang w:bidi="ar"/>
              </w:rPr>
              <w:t>保管、维护、修缮</w:t>
            </w:r>
            <w:r>
              <w:rPr>
                <w:rFonts w:hint="eastAsia" w:ascii="宋体" w:hAnsi="宋体" w:eastAsia="宋体" w:cs="宋体"/>
                <w:kern w:val="0"/>
                <w:sz w:val="24"/>
                <w:lang w:bidi="ar"/>
              </w:rPr>
              <w:t>等</w:t>
            </w:r>
            <w:r>
              <w:rPr>
                <w:rFonts w:ascii="宋体" w:hAnsi="宋体" w:eastAsia="宋体" w:cs="宋体"/>
                <w:kern w:val="0"/>
                <w:sz w:val="24"/>
                <w:lang w:bidi="ar"/>
              </w:rPr>
              <w:t>，存放环境差，故拍卖标的可能存在零件缺失、功能瑕疵或缺陷、质量问题、安全风险等问题，竞标人应慎重报名、自行综合考虑资金、时间等各项成本并自行承担一切不利后果及责任风险，包括但不限于标的物难以或无法使用、无法运行、丧失全部性能与价值、引发安全事故、导致人身伤亡或财产损失等。</w:t>
            </w:r>
          </w:p>
          <w:p w14:paraId="213C30A7">
            <w:pPr>
              <w:widowControl/>
              <w:numPr>
                <w:ilvl w:val="255"/>
                <w:numId w:val="0"/>
              </w:numPr>
              <w:jc w:val="left"/>
              <w:rPr>
                <w:rFonts w:ascii="宋体" w:hAnsi="宋体" w:eastAsia="宋体" w:cs="宋体"/>
                <w:kern w:val="0"/>
                <w:sz w:val="24"/>
                <w:lang w:bidi="ar"/>
              </w:rPr>
            </w:pPr>
            <w:r>
              <w:rPr>
                <w:rFonts w:hint="eastAsia" w:ascii="宋体" w:hAnsi="宋体" w:eastAsia="宋体" w:cs="宋体"/>
                <w:kern w:val="0"/>
                <w:sz w:val="24"/>
                <w:lang w:bidi="ar"/>
              </w:rPr>
              <w:t>3、电脑主机等设备在拍卖时将会取出内存条等存储设备、内容物、数据存储介质，内存条等存储设备、内容物、数据信息存储介质以及其它管理人认为不宜交付的物品，不在本次拍卖及交付范围之内。</w:t>
            </w:r>
          </w:p>
          <w:p w14:paraId="775A7864">
            <w:pPr>
              <w:pStyle w:val="6"/>
              <w:widowControl/>
              <w:spacing w:beforeAutospacing="0" w:afterAutospacing="0"/>
              <w:rPr>
                <w:rFonts w:ascii="Helvetica" w:hAnsi="Helvetica" w:eastAsia="Helvetica" w:cs="Helvetica"/>
                <w:color w:val="666666"/>
                <w:sz w:val="21"/>
                <w:szCs w:val="21"/>
              </w:rPr>
            </w:pPr>
            <w:r>
              <w:rPr>
                <w:rFonts w:hint="eastAsia" w:ascii="宋体" w:hAnsi="宋体" w:eastAsia="宋体" w:cs="宋体"/>
                <w:lang w:bidi="ar"/>
              </w:rPr>
              <w:t>4、</w:t>
            </w:r>
            <w:r>
              <w:rPr>
                <w:rFonts w:hint="eastAsia" w:ascii="宋体" w:hAnsi="宋体" w:eastAsia="宋体" w:cs="宋体"/>
                <w:color w:val="000000"/>
              </w:rPr>
              <w:t>若拍卖标的物与所在地有关部门或相关企业/自然人存在遗留问题的，由买受人自行解决并承担有关费用、损失，责任自负。</w:t>
            </w:r>
          </w:p>
          <w:p w14:paraId="037D9213">
            <w:pPr>
              <w:widowControl/>
              <w:numPr>
                <w:ilvl w:val="255"/>
                <w:numId w:val="0"/>
              </w:numPr>
              <w:jc w:val="left"/>
              <w:rPr>
                <w:rFonts w:ascii="宋体" w:hAnsi="宋体" w:eastAsia="宋体" w:cs="宋体"/>
                <w:kern w:val="0"/>
                <w:sz w:val="24"/>
                <w:lang w:bidi="ar"/>
              </w:rPr>
            </w:pPr>
            <w:r>
              <w:rPr>
                <w:rFonts w:hint="eastAsia" w:ascii="宋体" w:hAnsi="宋体" w:eastAsia="宋体" w:cs="宋体"/>
                <w:kern w:val="0"/>
                <w:sz w:val="24"/>
                <w:lang w:bidi="ar"/>
              </w:rPr>
              <w:t>5、具体标的物状况、规格、性能及数量等以实际现状为准，标明或未标明的一切瑕疵均不在拍卖人承担范围。请各竞买人自行了解、承担。</w:t>
            </w:r>
          </w:p>
        </w:tc>
      </w:tr>
      <w:tr w14:paraId="1C3317ED">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tblCellMar>
            <w:top w:w="0" w:type="dxa"/>
            <w:left w:w="0" w:type="dxa"/>
            <w:bottom w:w="0" w:type="dxa"/>
            <w:right w:w="0" w:type="dxa"/>
          </w:tblCellMar>
        </w:tblPrEx>
        <w:trPr>
          <w:trHeight w:val="1013" w:hRule="atLeast"/>
        </w:trPr>
        <w:tc>
          <w:tcPr>
            <w:tcW w:w="2265" w:type="dxa"/>
            <w:tcBorders>
              <w:top w:val="single" w:color="DCDCDC" w:sz="6" w:space="0"/>
              <w:left w:val="single" w:color="DCDCDC" w:sz="6" w:space="0"/>
              <w:bottom w:val="single" w:color="DCDCDC" w:sz="6" w:space="0"/>
              <w:right w:val="single" w:color="DCDCDC" w:sz="6" w:space="0"/>
            </w:tcBorders>
            <w:shd w:val="clear" w:color="auto" w:fill="FFFFFF"/>
            <w:tcMar>
              <w:top w:w="150" w:type="dxa"/>
              <w:left w:w="150" w:type="dxa"/>
              <w:bottom w:w="150" w:type="dxa"/>
              <w:right w:w="150" w:type="dxa"/>
            </w:tcMar>
            <w:vAlign w:val="center"/>
          </w:tcPr>
          <w:p w14:paraId="342A07AE">
            <w:pPr>
              <w:widowControl/>
              <w:spacing w:line="390" w:lineRule="atLeast"/>
              <w:jc w:val="left"/>
              <w:rPr>
                <w:rFonts w:ascii="宋体" w:hAnsi="宋体" w:eastAsia="宋体" w:cs="宋体"/>
                <w:sz w:val="24"/>
              </w:rPr>
            </w:pPr>
            <w:r>
              <w:rPr>
                <w:rFonts w:hint="eastAsia" w:ascii="宋体" w:hAnsi="宋体" w:eastAsia="宋体" w:cs="宋体"/>
                <w:sz w:val="24"/>
              </w:rPr>
              <w:t>新旧程度</w:t>
            </w:r>
          </w:p>
        </w:tc>
        <w:tc>
          <w:tcPr>
            <w:tcW w:w="7979" w:type="dxa"/>
            <w:tcBorders>
              <w:top w:val="single" w:color="DCDCDC" w:sz="6" w:space="0"/>
              <w:left w:val="single" w:color="DCDCDC" w:sz="6" w:space="0"/>
              <w:bottom w:val="single" w:color="DCDCDC" w:sz="6" w:space="0"/>
              <w:right w:val="single" w:color="DCDCDC" w:sz="6" w:space="0"/>
            </w:tcBorders>
            <w:shd w:val="clear" w:color="auto" w:fill="FFFFFF"/>
            <w:tcMar>
              <w:top w:w="150" w:type="dxa"/>
              <w:left w:w="150" w:type="dxa"/>
              <w:bottom w:w="150" w:type="dxa"/>
              <w:right w:w="150" w:type="dxa"/>
            </w:tcMar>
            <w:vAlign w:val="center"/>
          </w:tcPr>
          <w:p w14:paraId="12B1378B">
            <w:pPr>
              <w:widowControl/>
              <w:spacing w:line="390" w:lineRule="atLeast"/>
              <w:jc w:val="left"/>
              <w:rPr>
                <w:rFonts w:ascii="宋体" w:hAnsi="宋体" w:eastAsia="宋体" w:cs="宋体"/>
                <w:kern w:val="0"/>
                <w:sz w:val="24"/>
                <w:lang w:bidi="ar"/>
              </w:rPr>
            </w:pPr>
            <w:r>
              <w:rPr>
                <w:rFonts w:hint="eastAsia" w:ascii="宋体" w:hAnsi="宋体" w:eastAsia="宋体" w:cs="宋体"/>
                <w:kern w:val="0"/>
                <w:sz w:val="24"/>
                <w:lang w:bidi="ar"/>
              </w:rPr>
              <w:t>旧，性能、状况等不详。</w:t>
            </w:r>
          </w:p>
        </w:tc>
      </w:tr>
    </w:tbl>
    <w:p w14:paraId="7F0B0A7A">
      <w:pPr>
        <w:jc w:val="left"/>
        <w:rPr>
          <w:rFonts w:ascii="宋体" w:hAnsi="宋体" w:eastAsia="宋体" w:cs="宋体"/>
          <w:b/>
          <w:bCs/>
          <w:color w:val="000000" w:themeColor="text1"/>
          <w:sz w:val="36"/>
          <w:szCs w:val="36"/>
          <w14:textFill>
            <w14:solidFill>
              <w14:schemeClr w14:val="tx1"/>
            </w14:solidFill>
          </w14:textFill>
        </w:rPr>
      </w:pPr>
      <w:r>
        <w:rPr>
          <w:rFonts w:hint="eastAsia" w:ascii="宋体" w:hAnsi="宋体" w:eastAsia="宋体" w:cs="宋体"/>
          <w:b/>
          <w:bCs/>
          <w:color w:val="000000" w:themeColor="text1"/>
          <w:sz w:val="36"/>
          <w:szCs w:val="36"/>
          <w14:textFill>
            <w14:solidFill>
              <w14:schemeClr w14:val="tx1"/>
            </w14:solidFill>
          </w14:textFill>
        </w:rPr>
        <w:br w:type="page"/>
      </w:r>
    </w:p>
    <w:p w14:paraId="55FD3565">
      <w:pPr>
        <w:rPr>
          <w:rFonts w:ascii="宋体" w:hAnsi="宋体" w:eastAsia="宋体" w:cs="宋体"/>
          <w:b/>
          <w:bCs/>
          <w:color w:val="000000" w:themeColor="text1"/>
          <w:sz w:val="36"/>
          <w:szCs w:val="36"/>
          <w14:textFill>
            <w14:solidFill>
              <w14:schemeClr w14:val="tx1"/>
            </w14:solidFill>
          </w14:textFill>
        </w:rPr>
      </w:pPr>
      <w:r>
        <w:rPr>
          <w:rFonts w:hint="eastAsia" w:ascii="宋体" w:hAnsi="宋体" w:eastAsia="宋体" w:cs="宋体"/>
          <w:b/>
          <w:bCs/>
          <w:color w:val="000000" w:themeColor="text1"/>
          <w:sz w:val="36"/>
          <w:szCs w:val="36"/>
          <w14:textFill>
            <w14:solidFill>
              <w14:schemeClr w14:val="tx1"/>
            </w14:solidFill>
          </w14:textFill>
        </w:rPr>
        <w:t>附件excel（带图版）</w:t>
      </w:r>
      <w:r>
        <w:rPr>
          <w:rFonts w:hint="eastAsia" w:ascii="宋体" w:hAnsi="宋体" w:eastAsia="宋体" w:cs="宋体"/>
          <w:b/>
          <w:bCs/>
          <w:color w:val="000000" w:themeColor="text1"/>
          <w:sz w:val="36"/>
          <w:szCs w:val="36"/>
          <w14:textFill>
            <w14:solidFill>
              <w14:schemeClr w14:val="tx1"/>
            </w14:solidFill>
          </w14:textFill>
        </w:rPr>
        <w:br w:type="page"/>
      </w:r>
    </w:p>
    <w:p w14:paraId="14C3182D">
      <w:pPr>
        <w:jc w:val="center"/>
        <w:rPr>
          <w:rFonts w:ascii="黑体" w:hAnsi="黑体" w:eastAsia="黑体" w:cs="黑体"/>
          <w:b/>
          <w:bCs/>
          <w:color w:val="000000" w:themeColor="text1"/>
          <w:sz w:val="32"/>
          <w:szCs w:val="32"/>
          <w14:textFill>
            <w14:solidFill>
              <w14:schemeClr w14:val="tx1"/>
            </w14:solidFill>
          </w14:textFill>
        </w:rPr>
      </w:pPr>
      <w:r>
        <w:rPr>
          <w:rFonts w:hint="eastAsia" w:ascii="黑体" w:hAnsi="黑体" w:eastAsia="黑体" w:cs="黑体"/>
          <w:b/>
          <w:bCs/>
          <w:color w:val="000000" w:themeColor="text1"/>
          <w:sz w:val="32"/>
          <w:szCs w:val="32"/>
          <w14:textFill>
            <w14:solidFill>
              <w14:schemeClr w14:val="tx1"/>
            </w14:solidFill>
          </w14:textFill>
        </w:rPr>
        <w:t>标的物位置</w:t>
      </w:r>
    </w:p>
    <w:p w14:paraId="002C1B0E">
      <w:pPr>
        <w:rPr>
          <w:rFonts w:ascii="黑体" w:hAnsi="黑体" w:eastAsia="黑体" w:cs="黑体"/>
          <w:b/>
          <w:bCs/>
          <w:color w:val="000000" w:themeColor="text1"/>
          <w:sz w:val="32"/>
          <w:szCs w:val="32"/>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湖南省长沙市长沙县果园镇古井社区文家组特定存放位置</w:t>
      </w:r>
      <w:r>
        <w:rPr>
          <w:rFonts w:hint="eastAsia" w:ascii="黑体" w:hAnsi="黑体" w:eastAsia="黑体" w:cs="黑体"/>
          <w:b/>
          <w:bCs/>
          <w:color w:val="000000" w:themeColor="text1"/>
          <w:sz w:val="32"/>
          <w:szCs w:val="32"/>
          <w14:textFill>
            <w14:solidFill>
              <w14:schemeClr w14:val="tx1"/>
            </w14:solidFill>
          </w14:textFill>
        </w:rPr>
        <w:br w:type="page"/>
      </w:r>
    </w:p>
    <w:p w14:paraId="2094B7BC">
      <w:pPr>
        <w:pStyle w:val="6"/>
        <w:widowControl/>
        <w:spacing w:beforeAutospacing="0" w:after="150" w:afterAutospacing="0" w:line="360" w:lineRule="auto"/>
        <w:jc w:val="center"/>
        <w:rPr>
          <w:rFonts w:ascii="黑体" w:hAnsi="黑体" w:eastAsia="黑体" w:cs="黑体"/>
          <w:b/>
          <w:bCs/>
          <w:color w:val="000000" w:themeColor="text1"/>
          <w:kern w:val="2"/>
          <w:sz w:val="32"/>
          <w:szCs w:val="32"/>
          <w14:textFill>
            <w14:solidFill>
              <w14:schemeClr w14:val="tx1"/>
            </w14:solidFill>
          </w14:textFill>
        </w:rPr>
      </w:pPr>
      <w:r>
        <w:rPr>
          <w:rFonts w:hint="eastAsia" w:ascii="黑体" w:hAnsi="黑体" w:eastAsia="黑体" w:cs="黑体"/>
          <w:b/>
          <w:bCs/>
          <w:color w:val="000000" w:themeColor="text1"/>
          <w:kern w:val="2"/>
          <w:sz w:val="32"/>
          <w:szCs w:val="32"/>
          <w14:textFill>
            <w14:solidFill>
              <w14:schemeClr w14:val="tx1"/>
            </w14:solidFill>
          </w14:textFill>
        </w:rPr>
        <w:t>竞买公告</w:t>
      </w:r>
    </w:p>
    <w:p w14:paraId="177D0134">
      <w:pPr>
        <w:pStyle w:val="6"/>
        <w:widowControl/>
        <w:spacing w:beforeAutospacing="0" w:after="150" w:afterAutospacing="0" w:line="360" w:lineRule="auto"/>
        <w:jc w:val="center"/>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b/>
          <w:bCs/>
          <w:color w:val="000000" w:themeColor="text1"/>
          <w:sz w:val="32"/>
          <w:szCs w:val="32"/>
          <w14:textFill>
            <w14:solidFill>
              <w14:schemeClr w14:val="tx1"/>
            </w14:solidFill>
          </w14:textFill>
        </w:rPr>
        <w:t>（破）湖南星城医药有限公司管理人</w:t>
      </w:r>
    </w:p>
    <w:p w14:paraId="500FF478">
      <w:pPr>
        <w:pStyle w:val="6"/>
        <w:widowControl/>
        <w:spacing w:beforeAutospacing="0" w:after="150" w:afterAutospacing="0" w:line="360" w:lineRule="auto"/>
        <w:jc w:val="center"/>
        <w:rPr>
          <w:rFonts w:ascii="黑体" w:hAnsi="黑体" w:eastAsia="黑体" w:cs="黑体"/>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关于湖南星城医药有限公司名下办公用品、设备及其他物品的竞买公告</w:t>
      </w:r>
    </w:p>
    <w:p w14:paraId="2619156A">
      <w:pPr>
        <w:pStyle w:val="6"/>
        <w:widowControl/>
        <w:spacing w:beforeAutospacing="0" w:afterAutospacing="0" w:line="360" w:lineRule="auto"/>
        <w:ind w:firstLine="480"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湖南星城医药有限公司管理人（以下简称“管理人”）将于</w:t>
      </w:r>
      <w:r>
        <w:rPr>
          <w:rFonts w:hint="eastAsia" w:ascii="宋体" w:hAnsi="宋体" w:eastAsia="宋体" w:cs="宋体"/>
          <w:b/>
          <w:bCs/>
          <w:color w:val="000000" w:themeColor="text1"/>
          <w14:textFill>
            <w14:solidFill>
              <w14:schemeClr w14:val="tx1"/>
            </w14:solidFill>
          </w14:textFill>
        </w:rPr>
        <w:t>2024年12月</w:t>
      </w:r>
      <w:r>
        <w:rPr>
          <w:rFonts w:hint="eastAsia" w:ascii="宋体" w:hAnsi="宋体" w:eastAsia="宋体" w:cs="宋体"/>
          <w:b/>
          <w:bCs/>
          <w:color w:val="000000" w:themeColor="text1"/>
          <w:lang w:val="en-US" w:eastAsia="zh-CN"/>
          <w14:textFill>
            <w14:solidFill>
              <w14:schemeClr w14:val="tx1"/>
            </w14:solidFill>
          </w14:textFill>
        </w:rPr>
        <w:t>27</w:t>
      </w:r>
      <w:r>
        <w:rPr>
          <w:rFonts w:hint="eastAsia" w:ascii="宋体" w:hAnsi="宋体" w:eastAsia="宋体" w:cs="宋体"/>
          <w:b/>
          <w:bCs/>
          <w:color w:val="000000" w:themeColor="text1"/>
          <w14:textFill>
            <w14:solidFill>
              <w14:schemeClr w14:val="tx1"/>
            </w14:solidFill>
          </w14:textFill>
        </w:rPr>
        <w:t>日10时至2024年12月</w:t>
      </w:r>
      <w:r>
        <w:rPr>
          <w:rFonts w:hint="eastAsia" w:ascii="宋体" w:hAnsi="宋体" w:eastAsia="宋体" w:cs="宋体"/>
          <w:b/>
          <w:bCs/>
          <w:color w:val="000000" w:themeColor="text1"/>
          <w:lang w:val="en-US" w:eastAsia="zh-CN"/>
          <w14:textFill>
            <w14:solidFill>
              <w14:schemeClr w14:val="tx1"/>
            </w14:solidFill>
          </w14:textFill>
        </w:rPr>
        <w:t>28</w:t>
      </w:r>
      <w:r>
        <w:rPr>
          <w:rFonts w:hint="eastAsia" w:ascii="宋体" w:hAnsi="宋体" w:eastAsia="宋体" w:cs="宋体"/>
          <w:b/>
          <w:bCs/>
          <w:color w:val="000000" w:themeColor="text1"/>
          <w14:textFill>
            <w14:solidFill>
              <w14:schemeClr w14:val="tx1"/>
            </w14:solidFill>
          </w14:textFill>
        </w:rPr>
        <w:t>日10时止（延时除外）</w:t>
      </w:r>
      <w:r>
        <w:rPr>
          <w:rFonts w:hint="eastAsia" w:ascii="宋体" w:hAnsi="宋体" w:eastAsia="宋体" w:cs="宋体"/>
          <w:color w:val="000000" w:themeColor="text1"/>
          <w14:textFill>
            <w14:solidFill>
              <w14:schemeClr w14:val="tx1"/>
            </w14:solidFill>
          </w14:textFill>
        </w:rPr>
        <w:t>在淘宝网阿里拍卖破产强清平台（处置单位：湖南星城医药有限公司管理人，监督单位：湖南省长沙市中级人民法院，网址：</w:t>
      </w: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color w:val="000000" w:themeColor="text1"/>
          <w14:textFill>
            <w14:solidFill>
              <w14:schemeClr w14:val="tx1"/>
            </w14:solidFill>
          </w14:textFill>
        </w:rPr>
        <w:instrText xml:space="preserve"> HYPERLINK "https://susong.taobao.com/court_item.htm?user_%EF%BC%89%E8%BF%9B%E8%A1%8C%E5%85%AC%E5%BC%80%E6%8B%8D%E5%8D%96%E6%B4%BB%E5%8A%A8" </w:instrText>
      </w:r>
      <w:r>
        <w:rPr>
          <w:rFonts w:hint="eastAsia" w:ascii="宋体" w:hAnsi="宋体" w:eastAsia="宋体" w:cs="宋体"/>
          <w:color w:val="000000" w:themeColor="text1"/>
          <w14:textFill>
            <w14:solidFill>
              <w14:schemeClr w14:val="tx1"/>
            </w14:solidFill>
          </w14:textFill>
        </w:rPr>
        <w:fldChar w:fldCharType="separate"/>
      </w:r>
      <w:r>
        <w:rPr>
          <w:rStyle w:val="10"/>
          <w:rFonts w:hint="eastAsia" w:ascii="宋体" w:hAnsi="宋体" w:eastAsia="宋体" w:cs="宋体"/>
          <w:b/>
          <w:bCs/>
          <w:color w:val="000000" w:themeColor="text1"/>
          <w:u w:val="none"/>
          <w14:textFill>
            <w14:solidFill>
              <w14:schemeClr w14:val="tx1"/>
            </w14:solidFill>
          </w14:textFill>
        </w:rPr>
        <w:t>https://susong.taobao.com）</w:t>
      </w:r>
      <w:r>
        <w:rPr>
          <w:rStyle w:val="10"/>
          <w:rFonts w:hint="eastAsia" w:ascii="宋体" w:hAnsi="宋体" w:eastAsia="宋体" w:cs="宋体"/>
          <w:color w:val="000000" w:themeColor="text1"/>
          <w:u w:val="none"/>
          <w14:textFill>
            <w14:solidFill>
              <w14:schemeClr w14:val="tx1"/>
            </w14:solidFill>
          </w14:textFill>
        </w:rPr>
        <w:t>进行公开拍卖活动</w:t>
      </w:r>
      <w:r>
        <w:rPr>
          <w:rFonts w:hint="eastAsia" w:ascii="宋体" w:hAnsi="宋体" w:eastAsia="宋体" w:cs="宋体"/>
          <w:color w:val="000000" w:themeColor="text1"/>
          <w14:textFill>
            <w14:solidFill>
              <w14:schemeClr w14:val="tx1"/>
            </w14:solidFill>
          </w14:textFill>
        </w:rPr>
        <w:fldChar w:fldCharType="end"/>
      </w:r>
      <w:r>
        <w:rPr>
          <w:rFonts w:hint="eastAsia" w:ascii="宋体" w:hAnsi="宋体" w:eastAsia="宋体" w:cs="宋体"/>
          <w:color w:val="000000" w:themeColor="text1"/>
          <w14:textFill>
            <w14:solidFill>
              <w14:schemeClr w14:val="tx1"/>
            </w14:solidFill>
          </w14:textFill>
        </w:rPr>
        <w:t>，现公告如下：</w:t>
      </w:r>
    </w:p>
    <w:p w14:paraId="0632E6E9">
      <w:pPr>
        <w:pStyle w:val="6"/>
        <w:widowControl/>
        <w:spacing w:beforeAutospacing="0" w:afterAutospacing="0" w:line="360" w:lineRule="auto"/>
        <w:ind w:firstLine="482" w:firstLineChars="200"/>
        <w:rPr>
          <w:rFonts w:ascii="黑体" w:hAnsi="黑体" w:eastAsia="黑体" w:cs="黑体"/>
          <w:b/>
          <w:bCs/>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一、重要提示</w:t>
      </w:r>
    </w:p>
    <w:p w14:paraId="530B6055">
      <w:pPr>
        <w:pStyle w:val="6"/>
        <w:widowControl/>
        <w:spacing w:beforeAutospacing="0" w:afterAutospacing="0" w:line="360" w:lineRule="auto"/>
        <w:ind w:firstLine="482" w:firstLineChars="200"/>
        <w:rPr>
          <w:rFonts w:ascii="宋体" w:hAnsi="宋体" w:eastAsia="宋体" w:cs="宋体"/>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1.</w:t>
      </w:r>
      <w:r>
        <w:rPr>
          <w:rFonts w:hint="eastAsia" w:ascii="宋体" w:hAnsi="宋体" w:eastAsia="宋体" w:cs="宋体"/>
          <w:color w:val="000000" w:themeColor="text1"/>
          <w14:textFill>
            <w14:solidFill>
              <w14:schemeClr w14:val="tx1"/>
            </w14:solidFill>
          </w14:textFill>
        </w:rPr>
        <w:t>本次拍卖系管理人依据《中华人民共和国企业破产法》第25条之规定，由管理人依据湖南星城医药有限公司第一次债权人会议表决通过的《债务人财产的变价方案》，通过阿里拍卖破产强清平台依法独立履行职责处分破产财产。</w:t>
      </w:r>
    </w:p>
    <w:p w14:paraId="1ADD9E5D">
      <w:pPr>
        <w:pStyle w:val="6"/>
        <w:widowControl/>
        <w:spacing w:beforeAutospacing="0" w:afterAutospacing="0" w:line="360" w:lineRule="auto"/>
        <w:ind w:firstLine="480" w:firstLineChars="200"/>
        <w:jc w:val="both"/>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本次拍卖不同于司法拍卖，不适用最高人民法院关于网络司法拍卖的相关司法解释。本次拍卖咨询、交接等事项及后续所有手续的最终解释权在管理人。</w:t>
      </w:r>
    </w:p>
    <w:p w14:paraId="32CFA78F">
      <w:pPr>
        <w:pStyle w:val="6"/>
        <w:widowControl/>
        <w:spacing w:beforeAutospacing="0" w:afterAutospacing="0" w:line="360" w:lineRule="auto"/>
        <w:ind w:firstLine="482" w:firstLineChars="200"/>
        <w:rPr>
          <w:rFonts w:ascii="宋体" w:hAnsi="宋体" w:eastAsia="宋体" w:cs="宋体"/>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2.</w:t>
      </w:r>
      <w:r>
        <w:rPr>
          <w:rFonts w:hint="eastAsia" w:ascii="宋体" w:hAnsi="宋体" w:eastAsia="宋体" w:cs="宋体"/>
          <w:color w:val="000000" w:themeColor="text1"/>
          <w14:textFill>
            <w14:solidFill>
              <w14:schemeClr w14:val="tx1"/>
            </w14:solidFill>
          </w14:textFill>
        </w:rPr>
        <w:t>本次网上公开竞价《竞买公告》、《竞买须知》、《标的物介绍》等竞买文件（以下简称“竞买文件”）已在阿里网络竞价平台公开展示，竞拍前请务必仔细阅读、遵照，自行调查标的物状况及相关信息（包括但不限于设备编号、设备名称、规格型号、品相、重量、生产厂家、成份含量、成色、工艺、材质、性能、标的物真伪和影响标的物价值的其他因素等）、了解竞买资质、委托代理及尾款支付方式等内容，由此产生的问题也不影响拍卖成交结果及成交价格。如违反相关约定，您的保证金可能会被划扣并产生其他法律责任，请理性参拍。</w:t>
      </w:r>
    </w:p>
    <w:p w14:paraId="5085552F">
      <w:pPr>
        <w:spacing w:line="360" w:lineRule="auto"/>
        <w:ind w:firstLine="482" w:firstLineChars="200"/>
        <w:rPr>
          <w:rFonts w:ascii="宋体" w:hAnsi="宋体" w:eastAsia="宋体" w:cs="宋体"/>
          <w:b/>
          <w:bCs/>
          <w:color w:val="000000" w:themeColor="text1"/>
          <w:kern w:val="0"/>
          <w:sz w:val="24"/>
          <w:lang w:bidi="ar"/>
          <w14:textFill>
            <w14:solidFill>
              <w14:schemeClr w14:val="tx1"/>
            </w14:solidFill>
          </w14:textFill>
        </w:rPr>
      </w:pPr>
      <w:r>
        <w:rPr>
          <w:rFonts w:hint="eastAsia" w:ascii="宋体" w:hAnsi="宋体" w:eastAsia="宋体" w:cs="宋体"/>
          <w:b/>
          <w:bCs/>
          <w:color w:val="000000" w:themeColor="text1"/>
          <w:kern w:val="0"/>
          <w:sz w:val="24"/>
          <w:lang w:bidi="ar"/>
          <w14:textFill>
            <w14:solidFill>
              <w14:schemeClr w14:val="tx1"/>
            </w14:solidFill>
          </w14:textFill>
        </w:rPr>
        <w:t>管理人已就竞买文件的所有条款向竞买人如实告知并做出详细说明，竞买人知悉并同意接受竞买文件的全部条款和内容，竞买人和拍卖方双方不存在任何歧异和误认，竞买人承诺不对竞买文件的条款存在任何异议。</w:t>
      </w:r>
    </w:p>
    <w:p w14:paraId="7A569626">
      <w:pPr>
        <w:spacing w:line="360" w:lineRule="auto"/>
        <w:ind w:firstLine="482" w:firstLineChars="200"/>
        <w:rPr>
          <w:rFonts w:ascii="宋体" w:hAnsi="宋体" w:eastAsia="宋体" w:cs="宋体"/>
          <w:color w:val="000000" w:themeColor="text1"/>
          <w:kern w:val="0"/>
          <w:sz w:val="24"/>
          <w:lang w:bidi="ar"/>
          <w14:textFill>
            <w14:solidFill>
              <w14:schemeClr w14:val="tx1"/>
            </w14:solidFill>
          </w14:textFill>
        </w:rPr>
      </w:pPr>
      <w:r>
        <w:rPr>
          <w:rFonts w:hint="eastAsia" w:ascii="黑体" w:hAnsi="黑体" w:eastAsia="黑体" w:cs="黑体"/>
          <w:b/>
          <w:bCs/>
          <w:color w:val="000000" w:themeColor="text1"/>
          <w:kern w:val="0"/>
          <w:sz w:val="24"/>
          <w:lang w:bidi="ar"/>
          <w14:textFill>
            <w14:solidFill>
              <w14:schemeClr w14:val="tx1"/>
            </w14:solidFill>
          </w14:textFill>
        </w:rPr>
        <w:t>3.</w:t>
      </w:r>
      <w:r>
        <w:rPr>
          <w:rFonts w:hint="eastAsia" w:ascii="宋体" w:hAnsi="宋体" w:eastAsia="宋体" w:cs="宋体"/>
          <w:b/>
          <w:bCs/>
          <w:color w:val="C00000"/>
          <w:kern w:val="0"/>
          <w:sz w:val="24"/>
          <w:lang w:bidi="ar"/>
        </w:rPr>
        <w:t>管理人已将调查了解到的标的物情况在本竞买公告中予以披露，但不构成任何确认判断或保证。本次竞买公告所作的情况说明以及瑕疵（含显性、隐性瑕疵）或提供的相关资料，仅为竞买人参与竞买提供参考，不能作为竞买人判断、权衡价值的最终依据，不构成对标的物的任何保证。</w:t>
      </w:r>
      <w:r>
        <w:rPr>
          <w:rFonts w:hint="eastAsia" w:ascii="宋体" w:hAnsi="宋体" w:eastAsia="宋体" w:cs="宋体"/>
          <w:b/>
          <w:bCs/>
          <w:color w:val="000000" w:themeColor="text1"/>
          <w:kern w:val="0"/>
          <w:sz w:val="24"/>
          <w:lang w:bidi="ar"/>
          <w14:textFill>
            <w14:solidFill>
              <w14:schemeClr w14:val="tx1"/>
            </w14:solidFill>
          </w14:textFill>
        </w:rPr>
        <w:t>本次拍卖标的物均以现状为准，标的物的外观、结构及内在质量、权属状态、使用情况等均以交接时的现状为准。</w:t>
      </w:r>
      <w:r>
        <w:rPr>
          <w:rFonts w:hint="eastAsia" w:ascii="宋体" w:hAnsi="宋体" w:eastAsia="宋体" w:cs="宋体"/>
          <w:color w:val="000000" w:themeColor="text1"/>
          <w:kern w:val="0"/>
          <w:sz w:val="24"/>
          <w:lang w:bidi="ar"/>
          <w14:textFill>
            <w14:solidFill>
              <w14:schemeClr w14:val="tx1"/>
            </w14:solidFill>
          </w14:textFill>
        </w:rPr>
        <w:t>竞买人应根据自身需求自行调查、了解、核实。未尽事宜，管理人不承担任何责任。</w:t>
      </w:r>
    </w:p>
    <w:p w14:paraId="1F59572A">
      <w:pPr>
        <w:spacing w:line="360" w:lineRule="auto"/>
        <w:ind w:firstLine="482" w:firstLineChars="200"/>
        <w:rPr>
          <w:rFonts w:eastAsia="仿宋"/>
          <w:color w:val="C00000"/>
        </w:rPr>
      </w:pPr>
      <w:r>
        <w:rPr>
          <w:rFonts w:hint="eastAsia" w:ascii="黑体" w:hAnsi="黑体" w:eastAsia="黑体" w:cs="黑体"/>
          <w:b/>
          <w:bCs/>
          <w:color w:val="000000" w:themeColor="text1"/>
          <w:kern w:val="0"/>
          <w:sz w:val="24"/>
          <w:lang w:bidi="ar"/>
          <w14:textFill>
            <w14:solidFill>
              <w14:schemeClr w14:val="tx1"/>
            </w14:solidFill>
          </w14:textFill>
        </w:rPr>
        <w:t>4.</w:t>
      </w:r>
      <w:r>
        <w:rPr>
          <w:rFonts w:hint="eastAsia" w:ascii="宋体" w:hAnsi="宋体" w:eastAsia="宋体" w:cs="宋体"/>
          <w:color w:val="C00000"/>
          <w:kern w:val="0"/>
          <w:sz w:val="24"/>
          <w:lang w:bidi="ar"/>
        </w:rPr>
        <w:t>标的物可能存在其它的瑕疵或尚未发现的缺陷，诸如本公告列举但可能并未穷尽的涉及到标的物的各种瑕疵情况、各种欠费、罚款、滞纳金以及其他的相关费用或者其他的各种不利情况和负担、不利影响等。竞买人务必于竞买前亲自对该竞买标的物的法律、自然现状以及其他需注意的事项进行深入而全面地了解，或聘请专家提供专业意见。</w:t>
      </w:r>
      <w:r>
        <w:rPr>
          <w:rFonts w:hint="eastAsia" w:ascii="宋体" w:hAnsi="宋体" w:eastAsia="宋体" w:cs="宋体"/>
          <w:b/>
          <w:bCs/>
          <w:color w:val="C00000"/>
          <w:kern w:val="0"/>
          <w:sz w:val="24"/>
          <w:lang w:bidi="ar"/>
        </w:rPr>
        <w:t>竞买人一旦完成报名手续，即表明对该标的物的现状已作全面了解、自行承担全部风险，法院、管理人和拍卖平台不承担对标的物的一切已知和其他可能存在未知的瑕疵及缺陷的任何担保责任。</w:t>
      </w:r>
    </w:p>
    <w:p w14:paraId="6DDE7592">
      <w:pPr>
        <w:spacing w:line="360" w:lineRule="auto"/>
        <w:ind w:firstLine="482" w:firstLineChars="200"/>
        <w:rPr>
          <w:rFonts w:ascii="仿宋" w:hAnsi="仿宋" w:eastAsia="仿宋" w:cs="仿宋"/>
          <w:b/>
          <w:bCs/>
          <w:sz w:val="24"/>
          <w:highlight w:val="yellow"/>
        </w:rPr>
      </w:pPr>
      <w:r>
        <w:rPr>
          <w:rFonts w:hint="eastAsia" w:ascii="黑体" w:hAnsi="黑体" w:eastAsia="黑体" w:cs="黑体"/>
          <w:b/>
          <w:bCs/>
          <w:color w:val="000000" w:themeColor="text1"/>
          <w:kern w:val="0"/>
          <w:sz w:val="24"/>
          <w:lang w:bidi="ar"/>
          <w14:textFill>
            <w14:solidFill>
              <w14:schemeClr w14:val="tx1"/>
            </w14:solidFill>
          </w14:textFill>
        </w:rPr>
        <w:t>5.</w:t>
      </w:r>
      <w:r>
        <w:rPr>
          <w:rFonts w:hint="eastAsia" w:ascii="宋体" w:hAnsi="宋体" w:eastAsia="宋体" w:cs="宋体"/>
          <w:b/>
          <w:bCs/>
          <w:color w:val="000000" w:themeColor="text1"/>
          <w:kern w:val="0"/>
          <w:sz w:val="24"/>
          <w:lang w:bidi="ar"/>
          <w14:textFill>
            <w14:solidFill>
              <w14:schemeClr w14:val="tx1"/>
            </w14:solidFill>
          </w14:textFill>
        </w:rPr>
        <w:t>本次拍卖标的情况较为复杂，标的物以其现状为准，法院与管理人不承担标的物的瑕疵保证责任。</w:t>
      </w:r>
      <w:r>
        <w:rPr>
          <w:rFonts w:hint="eastAsia" w:ascii="宋体" w:hAnsi="宋体" w:eastAsia="宋体" w:cs="宋体"/>
          <w:color w:val="000000" w:themeColor="text1"/>
          <w:kern w:val="0"/>
          <w:sz w:val="24"/>
          <w:lang w:bidi="ar"/>
          <w14:textFill>
            <w14:solidFill>
              <w14:schemeClr w14:val="tx1"/>
            </w14:solidFill>
          </w14:textFill>
        </w:rPr>
        <w:t>本次拍卖标的物的真实性、合法性、有效性上可能存在的争议和风险由买受人自行考察、甄别、判断和承受。除竞买文件披露外，竞买人应对拍卖标的的实际状况以及瑕疵（含显性、隐性瑕疵）等自行调查核实、承担相应风险。</w:t>
      </w:r>
      <w:r>
        <w:rPr>
          <w:rFonts w:hint="eastAsia" w:ascii="宋体" w:hAnsi="宋体" w:eastAsia="宋体" w:cs="宋体"/>
          <w:b/>
          <w:bCs/>
          <w:color w:val="000000" w:themeColor="text1"/>
          <w:kern w:val="0"/>
          <w:sz w:val="24"/>
          <w:lang w:bidi="ar"/>
          <w14:textFill>
            <w14:solidFill>
              <w14:schemeClr w14:val="tx1"/>
            </w14:solidFill>
          </w14:textFill>
        </w:rPr>
        <w:t>有意者一旦参与竞拍，标的物及相关实物现状的一切风险及责任自负。一旦竞买成功，买受人不得以标的物外观、内部状态、规格型号、品相、重量、生产厂家、成份含量、成色、工艺、性能、材质、标的物真伪和影响标的物价值、存在功能缺陷、影响使用、甚至无法使用的其他条件等问题为由拒绝或迟延或减轻履行支付等义务，或要求管理人（或法院）承担标的物瑕疵担保责任。</w:t>
      </w:r>
    </w:p>
    <w:p w14:paraId="65BB0870">
      <w:pPr>
        <w:pStyle w:val="6"/>
        <w:widowControl/>
        <w:spacing w:beforeAutospacing="0" w:afterAutospacing="0" w:line="360" w:lineRule="auto"/>
        <w:ind w:firstLine="482" w:firstLineChars="200"/>
        <w:rPr>
          <w:rFonts w:ascii="宋体" w:hAnsi="宋体" w:eastAsia="宋体" w:cs="宋体"/>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6.</w:t>
      </w:r>
      <w:r>
        <w:rPr>
          <w:rFonts w:hint="eastAsia" w:ascii="宋体" w:hAnsi="宋体" w:eastAsia="宋体" w:cs="宋体"/>
          <w:color w:val="000000" w:themeColor="text1"/>
          <w14:textFill>
            <w14:solidFill>
              <w14:schemeClr w14:val="tx1"/>
            </w14:solidFill>
          </w14:textFill>
        </w:rPr>
        <w:t>竞买人在淘宝网阿里拍卖破产强清平台参与竞拍，竞买成功后（包含悔拍），买受人需另行向网拍平台支付相应的软件服务费。</w:t>
      </w:r>
    </w:p>
    <w:p w14:paraId="3A0EFC98">
      <w:pPr>
        <w:pStyle w:val="5"/>
        <w:spacing w:line="360" w:lineRule="auto"/>
        <w:ind w:firstLine="482" w:firstLineChars="200"/>
        <w:rPr>
          <w:rFonts w:ascii="宋体" w:hAnsi="宋体" w:cs="宋体"/>
          <w:color w:val="000000" w:themeColor="text1"/>
          <w:sz w:val="24"/>
          <w14:textFill>
            <w14:solidFill>
              <w14:schemeClr w14:val="tx1"/>
            </w14:solidFill>
          </w14:textFill>
        </w:rPr>
      </w:pPr>
      <w:r>
        <w:rPr>
          <w:rFonts w:hint="eastAsia" w:ascii="黑体" w:hAnsi="黑体" w:eastAsia="黑体" w:cs="黑体"/>
          <w:b/>
          <w:bCs/>
          <w:color w:val="000000" w:themeColor="text1"/>
          <w:kern w:val="0"/>
          <w:sz w:val="24"/>
          <w:lang w:bidi="ar"/>
          <w14:textFill>
            <w14:solidFill>
              <w14:schemeClr w14:val="tx1"/>
            </w14:solidFill>
          </w14:textFill>
        </w:rPr>
        <w:t>7.</w:t>
      </w:r>
      <w:r>
        <w:rPr>
          <w:rFonts w:hint="eastAsia" w:ascii="宋体" w:hAnsi="宋体" w:cs="宋体"/>
          <w:color w:val="000000" w:themeColor="text1"/>
          <w:kern w:val="0"/>
          <w:sz w:val="24"/>
          <w:lang w:bidi="ar"/>
          <w14:textFill>
            <w14:solidFill>
              <w14:schemeClr w14:val="tx1"/>
            </w14:solidFill>
          </w14:textFill>
        </w:rPr>
        <w:t>任何机构及个人（含中介服务机构等）存在与竞拍文件内容不一致的表述与宣称，均属不实言论。</w:t>
      </w:r>
    </w:p>
    <w:p w14:paraId="02B91039">
      <w:pPr>
        <w:pStyle w:val="6"/>
        <w:widowControl/>
        <w:spacing w:beforeAutospacing="0" w:afterAutospacing="0" w:line="360" w:lineRule="auto"/>
        <w:ind w:firstLine="482" w:firstLineChars="200"/>
        <w:rPr>
          <w:rFonts w:ascii="黑体" w:hAnsi="黑体" w:eastAsia="黑体" w:cs="黑体"/>
          <w:b/>
          <w:bCs/>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二、拍卖标的物</w:t>
      </w:r>
    </w:p>
    <w:p w14:paraId="06B15DCC">
      <w:pPr>
        <w:pStyle w:val="6"/>
        <w:widowControl/>
        <w:spacing w:beforeAutospacing="0" w:afterAutospacing="0" w:line="360" w:lineRule="auto"/>
        <w:ind w:firstLine="482" w:firstLineChars="200"/>
        <w:rPr>
          <w:rFonts w:ascii="宋体" w:hAnsi="宋体" w:eastAsia="宋体" w:cs="宋体"/>
        </w:rPr>
      </w:pPr>
      <w:r>
        <w:rPr>
          <w:rFonts w:hint="eastAsia" w:ascii="黑体" w:hAnsi="黑体" w:eastAsia="黑体" w:cs="黑体"/>
          <w:b/>
          <w:bCs/>
          <w:color w:val="000000" w:themeColor="text1"/>
          <w:lang w:bidi="ar"/>
          <w14:textFill>
            <w14:solidFill>
              <w14:schemeClr w14:val="tx1"/>
            </w14:solidFill>
          </w14:textFill>
        </w:rPr>
        <w:t>1.</w:t>
      </w:r>
      <w:r>
        <w:rPr>
          <w:rFonts w:hint="eastAsia" w:ascii="黑体" w:hAnsi="黑体" w:eastAsia="黑体" w:cs="黑体"/>
          <w:color w:val="000000" w:themeColor="text1"/>
          <w:lang w:bidi="ar"/>
          <w14:textFill>
            <w14:solidFill>
              <w14:schemeClr w14:val="tx1"/>
            </w14:solidFill>
          </w14:textFill>
        </w:rPr>
        <w:t>标的物简介：</w:t>
      </w:r>
      <w:r>
        <w:rPr>
          <w:rFonts w:hint="eastAsia" w:ascii="宋体" w:hAnsi="宋体" w:eastAsia="宋体" w:cs="宋体"/>
          <w:color w:val="000000" w:themeColor="text1"/>
          <w14:textFill>
            <w14:solidFill>
              <w14:schemeClr w14:val="tx1"/>
            </w14:solidFill>
          </w14:textFill>
        </w:rPr>
        <w:t>拍卖标的物为湖南星城医药有限公司名下办公用品、设备以及，具体见下表</w:t>
      </w:r>
      <w:r>
        <w:rPr>
          <w:rFonts w:hint="eastAsia" w:ascii="宋体" w:hAnsi="宋体" w:eastAsia="宋体" w:cs="宋体"/>
        </w:rPr>
        <w:t>。</w:t>
      </w:r>
      <w:r>
        <w:rPr>
          <w:rFonts w:hint="eastAsia" w:ascii="宋体" w:hAnsi="宋体" w:eastAsia="宋体" w:cs="宋体"/>
          <w:b/>
          <w:bCs/>
          <w:color w:val="000000" w:themeColor="text1"/>
          <w14:textFill>
            <w14:solidFill>
              <w14:schemeClr w14:val="tx1"/>
            </w14:solidFill>
          </w14:textFill>
        </w:rPr>
        <w:t>但本次拍卖标的物实际现状可能与该等清单中所述不完全一致甚至存在较大、巨大差异</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rPr>
        <w:t>拍卖标的物清单中的设备编号、设备名称、规格型号、</w:t>
      </w:r>
      <w:r>
        <w:rPr>
          <w:rFonts w:hint="eastAsia" w:ascii="宋体" w:hAnsi="宋体" w:eastAsia="宋体" w:cs="宋体"/>
          <w:color w:val="000000" w:themeColor="text1"/>
          <w14:textFill>
            <w14:solidFill>
              <w14:schemeClr w14:val="tx1"/>
            </w14:solidFill>
          </w14:textFill>
        </w:rPr>
        <w:t>品相、重量、生产厂家、成份含量、成色、工艺、材质、标的物真伪和影响标的物价值的其他因素等</w:t>
      </w:r>
      <w:r>
        <w:rPr>
          <w:rFonts w:hint="eastAsia" w:ascii="宋体" w:hAnsi="宋体" w:eastAsia="宋体" w:cs="宋体"/>
        </w:rPr>
        <w:t>是根据星城公司有关工作人员介绍或结合相关资料及周边财产情况推测等编写，仅供参考，竞买人应自行了解拍卖财产的实际情状。</w:t>
      </w:r>
      <w:r>
        <w:rPr>
          <w:rFonts w:hint="eastAsia" w:ascii="宋体" w:hAnsi="宋体" w:eastAsia="宋体" w:cs="宋体"/>
          <w:color w:val="000000" w:themeColor="text1"/>
          <w14:textFill>
            <w14:solidFill>
              <w14:schemeClr w14:val="tx1"/>
            </w14:solidFill>
          </w14:textFill>
        </w:rPr>
        <w:t>现场物品是否属于此次拍卖标的物，最终以管理人现场指认交付为准。买受人擅自搬走未经管理人确认系拍卖标的物的物品，应按经管理人确认的该项物品价格的三倍支付违约金，若管理人因此而遭受包括但不限于被第三方追索、被索赔等，买受人还应承担相应的赔偿责任，管理人保留一切追究权利。</w:t>
      </w:r>
    </w:p>
    <w:tbl>
      <w:tblPr>
        <w:tblStyle w:val="7"/>
        <w:tblW w:w="86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6"/>
        <w:gridCol w:w="1653"/>
        <w:gridCol w:w="3262"/>
        <w:gridCol w:w="1223"/>
        <w:gridCol w:w="754"/>
        <w:gridCol w:w="1059"/>
      </w:tblGrid>
      <w:tr w14:paraId="51AF5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8657" w:type="dxa"/>
            <w:gridSpan w:val="6"/>
            <w:vAlign w:val="center"/>
          </w:tcPr>
          <w:p w14:paraId="505CDABA">
            <w:pPr>
              <w:jc w:val="center"/>
              <w:rPr>
                <w:szCs w:val="21"/>
              </w:rPr>
            </w:pPr>
            <w:r>
              <w:rPr>
                <w:rFonts w:hint="eastAsia" w:ascii="黑体" w:hAnsi="黑体" w:eastAsia="黑体" w:cs="黑体"/>
                <w:sz w:val="24"/>
                <w:lang w:eastAsia="zh-Hans"/>
              </w:rPr>
              <w:t>标的物清单</w:t>
            </w:r>
          </w:p>
        </w:tc>
      </w:tr>
      <w:tr w14:paraId="53B6C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6" w:type="dxa"/>
            <w:vAlign w:val="center"/>
          </w:tcPr>
          <w:p w14:paraId="480C265C">
            <w:pPr>
              <w:jc w:val="center"/>
              <w:rPr>
                <w:b/>
                <w:bCs/>
                <w:szCs w:val="21"/>
              </w:rPr>
            </w:pPr>
            <w:r>
              <w:rPr>
                <w:rFonts w:hint="eastAsia"/>
                <w:b/>
                <w:bCs/>
                <w:szCs w:val="21"/>
              </w:rPr>
              <w:t>序号</w:t>
            </w:r>
          </w:p>
        </w:tc>
        <w:tc>
          <w:tcPr>
            <w:tcW w:w="1653" w:type="dxa"/>
            <w:vAlign w:val="center"/>
          </w:tcPr>
          <w:p w14:paraId="0E092E32">
            <w:pPr>
              <w:jc w:val="center"/>
              <w:rPr>
                <w:b/>
                <w:bCs/>
                <w:szCs w:val="21"/>
              </w:rPr>
            </w:pPr>
            <w:r>
              <w:rPr>
                <w:rFonts w:hint="eastAsia"/>
                <w:b/>
                <w:bCs/>
                <w:szCs w:val="21"/>
                <w:lang w:eastAsia="zh-Hans"/>
              </w:rPr>
              <w:t>设备</w:t>
            </w:r>
            <w:r>
              <w:rPr>
                <w:rFonts w:hint="eastAsia"/>
                <w:b/>
                <w:bCs/>
                <w:szCs w:val="21"/>
              </w:rPr>
              <w:t>名称</w:t>
            </w:r>
          </w:p>
        </w:tc>
        <w:tc>
          <w:tcPr>
            <w:tcW w:w="3262" w:type="dxa"/>
            <w:vAlign w:val="center"/>
          </w:tcPr>
          <w:p w14:paraId="5E8431DA">
            <w:pPr>
              <w:jc w:val="center"/>
              <w:rPr>
                <w:rFonts w:eastAsia="宋体"/>
                <w:b/>
                <w:bCs/>
                <w:szCs w:val="21"/>
                <w:lang w:eastAsia="zh-Hans"/>
              </w:rPr>
            </w:pPr>
            <w:r>
              <w:rPr>
                <w:rFonts w:hint="eastAsia"/>
                <w:b/>
                <w:bCs/>
                <w:szCs w:val="21"/>
                <w:lang w:eastAsia="zh-Hans"/>
              </w:rPr>
              <w:t>规格型号</w:t>
            </w:r>
          </w:p>
        </w:tc>
        <w:tc>
          <w:tcPr>
            <w:tcW w:w="1223" w:type="dxa"/>
            <w:vAlign w:val="center"/>
          </w:tcPr>
          <w:p w14:paraId="7E49F9FC">
            <w:pPr>
              <w:jc w:val="center"/>
              <w:rPr>
                <w:rFonts w:eastAsia="宋体"/>
                <w:b/>
                <w:bCs/>
                <w:szCs w:val="21"/>
                <w:lang w:eastAsia="zh-Hans"/>
              </w:rPr>
            </w:pPr>
            <w:r>
              <w:rPr>
                <w:rFonts w:hint="eastAsia"/>
                <w:b/>
                <w:bCs/>
                <w:szCs w:val="21"/>
                <w:lang w:eastAsia="zh-Hans"/>
              </w:rPr>
              <w:t>计量单位</w:t>
            </w:r>
          </w:p>
        </w:tc>
        <w:tc>
          <w:tcPr>
            <w:tcW w:w="754" w:type="dxa"/>
            <w:vAlign w:val="center"/>
          </w:tcPr>
          <w:p w14:paraId="414168D7">
            <w:pPr>
              <w:jc w:val="center"/>
              <w:rPr>
                <w:b/>
                <w:bCs/>
                <w:szCs w:val="21"/>
                <w:lang w:eastAsia="zh-Hans"/>
              </w:rPr>
            </w:pPr>
            <w:r>
              <w:rPr>
                <w:rFonts w:hint="eastAsia"/>
                <w:b/>
                <w:bCs/>
                <w:szCs w:val="21"/>
                <w:lang w:eastAsia="zh-Hans"/>
              </w:rPr>
              <w:t>数量</w:t>
            </w:r>
          </w:p>
        </w:tc>
        <w:tc>
          <w:tcPr>
            <w:tcW w:w="1059" w:type="dxa"/>
            <w:vAlign w:val="center"/>
          </w:tcPr>
          <w:p w14:paraId="22AE169C">
            <w:pPr>
              <w:jc w:val="center"/>
              <w:rPr>
                <w:b/>
                <w:bCs/>
                <w:szCs w:val="21"/>
              </w:rPr>
            </w:pPr>
            <w:r>
              <w:rPr>
                <w:rFonts w:hint="eastAsia"/>
                <w:b/>
                <w:bCs/>
                <w:szCs w:val="21"/>
              </w:rPr>
              <w:t>估值（元）</w:t>
            </w:r>
          </w:p>
        </w:tc>
      </w:tr>
      <w:tr w14:paraId="0F362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6" w:type="dxa"/>
            <w:vAlign w:val="center"/>
          </w:tcPr>
          <w:p w14:paraId="60B6D071">
            <w:pPr>
              <w:widowControl/>
              <w:jc w:val="center"/>
              <w:textAlignment w:val="center"/>
              <w:rPr>
                <w:szCs w:val="21"/>
              </w:rPr>
            </w:pPr>
            <w:r>
              <w:rPr>
                <w:rFonts w:ascii="Calibri" w:hAnsi="Calibri" w:eastAsia="DengXian" w:cs="Calibri"/>
                <w:color w:val="000000"/>
                <w:kern w:val="0"/>
                <w:szCs w:val="21"/>
                <w:lang w:bidi="ar"/>
              </w:rPr>
              <w:t>1</w:t>
            </w:r>
          </w:p>
        </w:tc>
        <w:tc>
          <w:tcPr>
            <w:tcW w:w="1653" w:type="dxa"/>
            <w:vAlign w:val="center"/>
          </w:tcPr>
          <w:p w14:paraId="1A87CC42">
            <w:pPr>
              <w:jc w:val="center"/>
              <w:rPr>
                <w:rFonts w:eastAsia="宋体"/>
                <w:szCs w:val="21"/>
              </w:rPr>
            </w:pPr>
            <w:r>
              <w:rPr>
                <w:rFonts w:hint="eastAsia" w:eastAsia="宋体"/>
                <w:szCs w:val="21"/>
              </w:rPr>
              <w:t>电脑显示器</w:t>
            </w:r>
          </w:p>
        </w:tc>
        <w:tc>
          <w:tcPr>
            <w:tcW w:w="3262" w:type="dxa"/>
            <w:vAlign w:val="center"/>
          </w:tcPr>
          <w:p w14:paraId="4E7323E3">
            <w:pPr>
              <w:jc w:val="center"/>
              <w:rPr>
                <w:rFonts w:eastAsia="宋体"/>
                <w:szCs w:val="21"/>
              </w:rPr>
            </w:pPr>
            <w:r>
              <w:rPr>
                <w:rFonts w:hint="eastAsia" w:eastAsia="宋体"/>
                <w:szCs w:val="21"/>
              </w:rPr>
              <w:t>品牌：acer</w:t>
            </w:r>
          </w:p>
          <w:p w14:paraId="22746925">
            <w:pPr>
              <w:jc w:val="center"/>
              <w:rPr>
                <w:rFonts w:eastAsia="宋体"/>
                <w:szCs w:val="21"/>
              </w:rPr>
            </w:pPr>
            <w:r>
              <w:rPr>
                <w:rFonts w:hint="eastAsia" w:eastAsia="宋体"/>
                <w:szCs w:val="21"/>
              </w:rPr>
              <w:t>型号：G195HQV</w:t>
            </w:r>
          </w:p>
        </w:tc>
        <w:tc>
          <w:tcPr>
            <w:tcW w:w="1223" w:type="dxa"/>
            <w:vAlign w:val="center"/>
          </w:tcPr>
          <w:p w14:paraId="2FFF9F33">
            <w:pPr>
              <w:jc w:val="center"/>
              <w:rPr>
                <w:rFonts w:eastAsia="宋体"/>
                <w:szCs w:val="21"/>
              </w:rPr>
            </w:pPr>
            <w:r>
              <w:rPr>
                <w:rFonts w:hint="eastAsia" w:eastAsia="宋体"/>
                <w:szCs w:val="21"/>
              </w:rPr>
              <w:t>台</w:t>
            </w:r>
          </w:p>
        </w:tc>
        <w:tc>
          <w:tcPr>
            <w:tcW w:w="754" w:type="dxa"/>
            <w:vAlign w:val="center"/>
          </w:tcPr>
          <w:p w14:paraId="3F380D0A">
            <w:pPr>
              <w:jc w:val="center"/>
              <w:rPr>
                <w:szCs w:val="21"/>
              </w:rPr>
            </w:pPr>
            <w:r>
              <w:rPr>
                <w:rFonts w:hint="eastAsia"/>
                <w:szCs w:val="21"/>
              </w:rPr>
              <w:t>1</w:t>
            </w:r>
          </w:p>
        </w:tc>
        <w:tc>
          <w:tcPr>
            <w:tcW w:w="1059" w:type="dxa"/>
            <w:vAlign w:val="center"/>
          </w:tcPr>
          <w:p w14:paraId="0DFD0EF6">
            <w:pPr>
              <w:jc w:val="center"/>
              <w:rPr>
                <w:szCs w:val="21"/>
              </w:rPr>
            </w:pPr>
            <w:r>
              <w:rPr>
                <w:rFonts w:hint="eastAsia"/>
                <w:szCs w:val="21"/>
              </w:rPr>
              <w:t>743</w:t>
            </w:r>
          </w:p>
        </w:tc>
      </w:tr>
      <w:tr w14:paraId="36944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6" w:type="dxa"/>
            <w:vAlign w:val="center"/>
          </w:tcPr>
          <w:p w14:paraId="44CCA7DA">
            <w:pPr>
              <w:widowControl/>
              <w:jc w:val="center"/>
              <w:textAlignment w:val="bottom"/>
              <w:rPr>
                <w:szCs w:val="21"/>
              </w:rPr>
            </w:pPr>
            <w:r>
              <w:rPr>
                <w:rFonts w:ascii="Calibri" w:hAnsi="Calibri" w:eastAsia="DengXian" w:cs="Calibri"/>
                <w:color w:val="000000"/>
                <w:kern w:val="0"/>
                <w:szCs w:val="21"/>
                <w:lang w:bidi="ar"/>
              </w:rPr>
              <w:t>2</w:t>
            </w:r>
          </w:p>
        </w:tc>
        <w:tc>
          <w:tcPr>
            <w:tcW w:w="1653" w:type="dxa"/>
            <w:vAlign w:val="center"/>
          </w:tcPr>
          <w:p w14:paraId="00723A57">
            <w:pPr>
              <w:jc w:val="center"/>
              <w:rPr>
                <w:rFonts w:eastAsia="宋体"/>
                <w:szCs w:val="21"/>
              </w:rPr>
            </w:pPr>
            <w:r>
              <w:rPr>
                <w:rFonts w:hint="eastAsia" w:eastAsia="宋体"/>
                <w:szCs w:val="21"/>
              </w:rPr>
              <w:t>电脑主机</w:t>
            </w:r>
          </w:p>
        </w:tc>
        <w:tc>
          <w:tcPr>
            <w:tcW w:w="3262" w:type="dxa"/>
            <w:vAlign w:val="center"/>
          </w:tcPr>
          <w:p w14:paraId="5568CC40">
            <w:pPr>
              <w:jc w:val="center"/>
              <w:rPr>
                <w:rFonts w:eastAsia="宋体"/>
                <w:szCs w:val="21"/>
              </w:rPr>
            </w:pPr>
            <w:r>
              <w:rPr>
                <w:rFonts w:hint="eastAsia" w:eastAsia="宋体"/>
                <w:szCs w:val="21"/>
              </w:rPr>
              <w:t>品牌：至睿</w:t>
            </w:r>
          </w:p>
        </w:tc>
        <w:tc>
          <w:tcPr>
            <w:tcW w:w="1223" w:type="dxa"/>
            <w:vAlign w:val="center"/>
          </w:tcPr>
          <w:p w14:paraId="727E8783">
            <w:pPr>
              <w:jc w:val="center"/>
              <w:rPr>
                <w:rFonts w:eastAsia="宋体"/>
                <w:szCs w:val="21"/>
              </w:rPr>
            </w:pPr>
            <w:r>
              <w:rPr>
                <w:rFonts w:hint="eastAsia" w:eastAsia="宋体"/>
                <w:szCs w:val="21"/>
              </w:rPr>
              <w:t>台</w:t>
            </w:r>
          </w:p>
        </w:tc>
        <w:tc>
          <w:tcPr>
            <w:tcW w:w="754" w:type="dxa"/>
            <w:vAlign w:val="center"/>
          </w:tcPr>
          <w:p w14:paraId="233CE813">
            <w:pPr>
              <w:jc w:val="center"/>
              <w:rPr>
                <w:szCs w:val="21"/>
              </w:rPr>
            </w:pPr>
            <w:r>
              <w:rPr>
                <w:rFonts w:hint="eastAsia"/>
                <w:szCs w:val="21"/>
              </w:rPr>
              <w:t>1</w:t>
            </w:r>
          </w:p>
        </w:tc>
        <w:tc>
          <w:tcPr>
            <w:tcW w:w="1059" w:type="dxa"/>
            <w:vAlign w:val="center"/>
          </w:tcPr>
          <w:p w14:paraId="424BA55F">
            <w:pPr>
              <w:jc w:val="center"/>
              <w:rPr>
                <w:szCs w:val="21"/>
              </w:rPr>
            </w:pPr>
            <w:r>
              <w:rPr>
                <w:rFonts w:hint="eastAsia"/>
                <w:szCs w:val="21"/>
              </w:rPr>
              <w:t>1999</w:t>
            </w:r>
          </w:p>
        </w:tc>
      </w:tr>
      <w:tr w14:paraId="74B02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6" w:type="dxa"/>
            <w:vAlign w:val="center"/>
          </w:tcPr>
          <w:p w14:paraId="34B411F7">
            <w:pPr>
              <w:widowControl/>
              <w:jc w:val="center"/>
              <w:textAlignment w:val="center"/>
              <w:rPr>
                <w:szCs w:val="21"/>
              </w:rPr>
            </w:pPr>
            <w:r>
              <w:rPr>
                <w:rFonts w:ascii="Calibri" w:hAnsi="Calibri" w:eastAsia="DengXian" w:cs="Calibri"/>
                <w:color w:val="000000"/>
                <w:kern w:val="0"/>
                <w:szCs w:val="21"/>
                <w:lang w:bidi="ar"/>
              </w:rPr>
              <w:t>3</w:t>
            </w:r>
          </w:p>
        </w:tc>
        <w:tc>
          <w:tcPr>
            <w:tcW w:w="1653" w:type="dxa"/>
            <w:vAlign w:val="center"/>
          </w:tcPr>
          <w:p w14:paraId="04FCF282">
            <w:pPr>
              <w:jc w:val="center"/>
              <w:rPr>
                <w:rFonts w:eastAsia="宋体"/>
                <w:szCs w:val="21"/>
              </w:rPr>
            </w:pPr>
            <w:r>
              <w:rPr>
                <w:rFonts w:hint="eastAsia" w:eastAsia="宋体"/>
                <w:szCs w:val="21"/>
              </w:rPr>
              <w:t>电脑主机</w:t>
            </w:r>
          </w:p>
        </w:tc>
        <w:tc>
          <w:tcPr>
            <w:tcW w:w="3262" w:type="dxa"/>
            <w:vAlign w:val="center"/>
          </w:tcPr>
          <w:p w14:paraId="2A464AB6">
            <w:pPr>
              <w:jc w:val="center"/>
              <w:rPr>
                <w:rFonts w:eastAsia="宋体"/>
                <w:szCs w:val="21"/>
              </w:rPr>
            </w:pPr>
            <w:r>
              <w:rPr>
                <w:rFonts w:hint="eastAsia" w:eastAsia="宋体"/>
                <w:szCs w:val="21"/>
              </w:rPr>
              <w:t>品牌：Great Wall</w:t>
            </w:r>
          </w:p>
        </w:tc>
        <w:tc>
          <w:tcPr>
            <w:tcW w:w="1223" w:type="dxa"/>
            <w:vAlign w:val="center"/>
          </w:tcPr>
          <w:p w14:paraId="4AA3F630">
            <w:pPr>
              <w:jc w:val="center"/>
              <w:rPr>
                <w:rFonts w:eastAsia="宋体"/>
                <w:szCs w:val="21"/>
              </w:rPr>
            </w:pPr>
            <w:r>
              <w:rPr>
                <w:rFonts w:hint="eastAsia" w:eastAsia="宋体"/>
                <w:szCs w:val="21"/>
              </w:rPr>
              <w:t>台</w:t>
            </w:r>
          </w:p>
        </w:tc>
        <w:tc>
          <w:tcPr>
            <w:tcW w:w="754" w:type="dxa"/>
            <w:vAlign w:val="center"/>
          </w:tcPr>
          <w:p w14:paraId="677E95A4">
            <w:pPr>
              <w:jc w:val="center"/>
              <w:rPr>
                <w:szCs w:val="21"/>
              </w:rPr>
            </w:pPr>
            <w:r>
              <w:rPr>
                <w:rFonts w:hint="eastAsia"/>
                <w:szCs w:val="21"/>
              </w:rPr>
              <w:t>1</w:t>
            </w:r>
          </w:p>
        </w:tc>
        <w:tc>
          <w:tcPr>
            <w:tcW w:w="1059" w:type="dxa"/>
            <w:vAlign w:val="center"/>
          </w:tcPr>
          <w:p w14:paraId="24D13826">
            <w:pPr>
              <w:jc w:val="center"/>
              <w:rPr>
                <w:szCs w:val="21"/>
              </w:rPr>
            </w:pPr>
            <w:r>
              <w:rPr>
                <w:rFonts w:hint="eastAsia"/>
                <w:szCs w:val="21"/>
              </w:rPr>
              <w:t>1699</w:t>
            </w:r>
          </w:p>
        </w:tc>
      </w:tr>
      <w:tr w14:paraId="72B39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6" w:type="dxa"/>
            <w:vAlign w:val="center"/>
          </w:tcPr>
          <w:p w14:paraId="7AE2F139">
            <w:pPr>
              <w:widowControl/>
              <w:jc w:val="center"/>
              <w:textAlignment w:val="bottom"/>
              <w:rPr>
                <w:szCs w:val="21"/>
              </w:rPr>
            </w:pPr>
            <w:r>
              <w:rPr>
                <w:rFonts w:ascii="Calibri" w:hAnsi="Calibri" w:eastAsia="DengXian" w:cs="Calibri"/>
                <w:color w:val="000000"/>
                <w:kern w:val="0"/>
                <w:szCs w:val="21"/>
                <w:lang w:bidi="ar"/>
              </w:rPr>
              <w:t>4</w:t>
            </w:r>
          </w:p>
        </w:tc>
        <w:tc>
          <w:tcPr>
            <w:tcW w:w="1653" w:type="dxa"/>
            <w:vAlign w:val="center"/>
          </w:tcPr>
          <w:p w14:paraId="4B2440E9">
            <w:pPr>
              <w:jc w:val="center"/>
              <w:rPr>
                <w:rFonts w:eastAsia="宋体"/>
                <w:szCs w:val="21"/>
              </w:rPr>
            </w:pPr>
            <w:r>
              <w:rPr>
                <w:rFonts w:hint="eastAsia" w:eastAsia="宋体"/>
                <w:szCs w:val="21"/>
              </w:rPr>
              <w:t>电脑显示屏</w:t>
            </w:r>
          </w:p>
        </w:tc>
        <w:tc>
          <w:tcPr>
            <w:tcW w:w="3262" w:type="dxa"/>
            <w:vAlign w:val="center"/>
          </w:tcPr>
          <w:p w14:paraId="1F6DF0DD">
            <w:pPr>
              <w:jc w:val="center"/>
              <w:rPr>
                <w:rFonts w:eastAsia="宋体"/>
                <w:szCs w:val="21"/>
              </w:rPr>
            </w:pPr>
            <w:r>
              <w:rPr>
                <w:rFonts w:hint="eastAsia" w:eastAsia="宋体"/>
                <w:szCs w:val="21"/>
              </w:rPr>
              <w:t>品牌：AOC</w:t>
            </w:r>
          </w:p>
          <w:p w14:paraId="745278E4">
            <w:pPr>
              <w:jc w:val="center"/>
              <w:rPr>
                <w:rFonts w:eastAsia="宋体"/>
                <w:szCs w:val="21"/>
              </w:rPr>
            </w:pPr>
            <w:r>
              <w:rPr>
                <w:rFonts w:hint="eastAsia" w:eastAsia="宋体"/>
                <w:szCs w:val="21"/>
              </w:rPr>
              <w:t>型号：215LM00020</w:t>
            </w:r>
          </w:p>
        </w:tc>
        <w:tc>
          <w:tcPr>
            <w:tcW w:w="1223" w:type="dxa"/>
            <w:vAlign w:val="center"/>
          </w:tcPr>
          <w:p w14:paraId="375D0224">
            <w:pPr>
              <w:jc w:val="center"/>
              <w:rPr>
                <w:rFonts w:eastAsia="宋体"/>
                <w:szCs w:val="21"/>
              </w:rPr>
            </w:pPr>
            <w:r>
              <w:rPr>
                <w:rFonts w:hint="eastAsia" w:eastAsia="宋体"/>
                <w:szCs w:val="21"/>
              </w:rPr>
              <w:t>台</w:t>
            </w:r>
          </w:p>
        </w:tc>
        <w:tc>
          <w:tcPr>
            <w:tcW w:w="754" w:type="dxa"/>
            <w:vAlign w:val="center"/>
          </w:tcPr>
          <w:p w14:paraId="1344786E">
            <w:pPr>
              <w:jc w:val="center"/>
              <w:rPr>
                <w:szCs w:val="21"/>
              </w:rPr>
            </w:pPr>
            <w:r>
              <w:rPr>
                <w:rFonts w:hint="eastAsia"/>
                <w:szCs w:val="21"/>
              </w:rPr>
              <w:t>1</w:t>
            </w:r>
          </w:p>
        </w:tc>
        <w:tc>
          <w:tcPr>
            <w:tcW w:w="1059" w:type="dxa"/>
            <w:vAlign w:val="center"/>
          </w:tcPr>
          <w:p w14:paraId="6346604F">
            <w:pPr>
              <w:jc w:val="center"/>
              <w:rPr>
                <w:szCs w:val="21"/>
              </w:rPr>
            </w:pPr>
            <w:r>
              <w:rPr>
                <w:rFonts w:hint="eastAsia"/>
                <w:szCs w:val="21"/>
              </w:rPr>
              <w:t>498</w:t>
            </w:r>
          </w:p>
        </w:tc>
      </w:tr>
      <w:tr w14:paraId="245E6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6" w:type="dxa"/>
            <w:vAlign w:val="center"/>
          </w:tcPr>
          <w:p w14:paraId="2E5703FB">
            <w:pPr>
              <w:widowControl/>
              <w:jc w:val="center"/>
              <w:textAlignment w:val="center"/>
              <w:rPr>
                <w:szCs w:val="21"/>
              </w:rPr>
            </w:pPr>
            <w:r>
              <w:rPr>
                <w:rFonts w:ascii="Calibri" w:hAnsi="Calibri" w:eastAsia="DengXian" w:cs="Calibri"/>
                <w:color w:val="000000"/>
                <w:kern w:val="0"/>
                <w:szCs w:val="21"/>
                <w:lang w:bidi="ar"/>
              </w:rPr>
              <w:t>5</w:t>
            </w:r>
          </w:p>
        </w:tc>
        <w:tc>
          <w:tcPr>
            <w:tcW w:w="1653" w:type="dxa"/>
            <w:vAlign w:val="center"/>
          </w:tcPr>
          <w:p w14:paraId="422D7392">
            <w:pPr>
              <w:jc w:val="center"/>
              <w:rPr>
                <w:szCs w:val="21"/>
              </w:rPr>
            </w:pPr>
            <w:r>
              <w:rPr>
                <w:rFonts w:hint="eastAsia"/>
                <w:szCs w:val="21"/>
              </w:rPr>
              <w:t>电脑显示屏</w:t>
            </w:r>
          </w:p>
        </w:tc>
        <w:tc>
          <w:tcPr>
            <w:tcW w:w="3262" w:type="dxa"/>
            <w:vAlign w:val="center"/>
          </w:tcPr>
          <w:p w14:paraId="2F75EC91">
            <w:pPr>
              <w:jc w:val="center"/>
              <w:rPr>
                <w:szCs w:val="21"/>
              </w:rPr>
            </w:pPr>
            <w:r>
              <w:rPr>
                <w:rFonts w:hint="eastAsia"/>
                <w:szCs w:val="21"/>
              </w:rPr>
              <w:t>品牌：联想</w:t>
            </w:r>
          </w:p>
          <w:p w14:paraId="672BF3F8">
            <w:pPr>
              <w:jc w:val="center"/>
              <w:rPr>
                <w:szCs w:val="21"/>
              </w:rPr>
            </w:pPr>
            <w:r>
              <w:rPr>
                <w:rFonts w:hint="eastAsia"/>
                <w:szCs w:val="21"/>
              </w:rPr>
              <w:t>型号</w:t>
            </w:r>
            <w:r>
              <w:rPr>
                <w:szCs w:val="21"/>
              </w:rPr>
              <w:t>L197wD</w:t>
            </w:r>
          </w:p>
        </w:tc>
        <w:tc>
          <w:tcPr>
            <w:tcW w:w="1223" w:type="dxa"/>
            <w:vAlign w:val="center"/>
          </w:tcPr>
          <w:p w14:paraId="28744FD1">
            <w:pPr>
              <w:jc w:val="center"/>
              <w:rPr>
                <w:szCs w:val="21"/>
              </w:rPr>
            </w:pPr>
            <w:r>
              <w:rPr>
                <w:rFonts w:hint="eastAsia"/>
                <w:szCs w:val="21"/>
              </w:rPr>
              <w:t>台</w:t>
            </w:r>
          </w:p>
        </w:tc>
        <w:tc>
          <w:tcPr>
            <w:tcW w:w="754" w:type="dxa"/>
            <w:vAlign w:val="center"/>
          </w:tcPr>
          <w:p w14:paraId="67BFA0DC">
            <w:pPr>
              <w:jc w:val="center"/>
              <w:rPr>
                <w:szCs w:val="21"/>
              </w:rPr>
            </w:pPr>
            <w:r>
              <w:rPr>
                <w:rFonts w:hint="eastAsia"/>
                <w:szCs w:val="21"/>
              </w:rPr>
              <w:t>1</w:t>
            </w:r>
          </w:p>
        </w:tc>
        <w:tc>
          <w:tcPr>
            <w:tcW w:w="1059" w:type="dxa"/>
            <w:vAlign w:val="center"/>
          </w:tcPr>
          <w:p w14:paraId="24D14539">
            <w:pPr>
              <w:jc w:val="center"/>
              <w:rPr>
                <w:szCs w:val="21"/>
              </w:rPr>
            </w:pPr>
            <w:r>
              <w:rPr>
                <w:rFonts w:hint="eastAsia"/>
                <w:szCs w:val="21"/>
              </w:rPr>
              <w:t>873</w:t>
            </w:r>
          </w:p>
        </w:tc>
      </w:tr>
      <w:tr w14:paraId="677DE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6" w:type="dxa"/>
            <w:vAlign w:val="center"/>
          </w:tcPr>
          <w:p w14:paraId="78E3A039">
            <w:pPr>
              <w:widowControl/>
              <w:jc w:val="center"/>
              <w:textAlignment w:val="bottom"/>
              <w:rPr>
                <w:szCs w:val="21"/>
              </w:rPr>
            </w:pPr>
            <w:r>
              <w:rPr>
                <w:rFonts w:ascii="Calibri" w:hAnsi="Calibri" w:eastAsia="DengXian" w:cs="Calibri"/>
                <w:color w:val="000000"/>
                <w:kern w:val="0"/>
                <w:szCs w:val="21"/>
                <w:lang w:bidi="ar"/>
              </w:rPr>
              <w:t>6</w:t>
            </w:r>
          </w:p>
        </w:tc>
        <w:tc>
          <w:tcPr>
            <w:tcW w:w="1653" w:type="dxa"/>
            <w:vAlign w:val="center"/>
          </w:tcPr>
          <w:p w14:paraId="1D3BB1CD">
            <w:pPr>
              <w:jc w:val="center"/>
              <w:rPr>
                <w:szCs w:val="21"/>
              </w:rPr>
            </w:pPr>
            <w:r>
              <w:rPr>
                <w:rFonts w:hint="eastAsia"/>
                <w:szCs w:val="21"/>
              </w:rPr>
              <w:t>电脑显示屏</w:t>
            </w:r>
          </w:p>
        </w:tc>
        <w:tc>
          <w:tcPr>
            <w:tcW w:w="3262" w:type="dxa"/>
            <w:vAlign w:val="center"/>
          </w:tcPr>
          <w:p w14:paraId="2E49D0D1">
            <w:pPr>
              <w:jc w:val="center"/>
              <w:rPr>
                <w:szCs w:val="21"/>
              </w:rPr>
            </w:pPr>
            <w:r>
              <w:rPr>
                <w:rFonts w:hint="eastAsia"/>
                <w:szCs w:val="21"/>
              </w:rPr>
              <w:t>品牌：BenQ</w:t>
            </w:r>
          </w:p>
          <w:p w14:paraId="406EDA12">
            <w:pPr>
              <w:jc w:val="center"/>
              <w:rPr>
                <w:szCs w:val="21"/>
              </w:rPr>
            </w:pPr>
            <w:r>
              <w:rPr>
                <w:rFonts w:hint="eastAsia"/>
                <w:szCs w:val="21"/>
              </w:rPr>
              <w:t>型号：ET-0021-N</w:t>
            </w:r>
          </w:p>
        </w:tc>
        <w:tc>
          <w:tcPr>
            <w:tcW w:w="1223" w:type="dxa"/>
            <w:vAlign w:val="center"/>
          </w:tcPr>
          <w:p w14:paraId="1DA2B182">
            <w:pPr>
              <w:jc w:val="center"/>
              <w:rPr>
                <w:szCs w:val="21"/>
              </w:rPr>
            </w:pPr>
            <w:r>
              <w:rPr>
                <w:rFonts w:hint="eastAsia"/>
                <w:szCs w:val="21"/>
              </w:rPr>
              <w:t>台</w:t>
            </w:r>
          </w:p>
        </w:tc>
        <w:tc>
          <w:tcPr>
            <w:tcW w:w="754" w:type="dxa"/>
            <w:vAlign w:val="center"/>
          </w:tcPr>
          <w:p w14:paraId="4D76A3E1">
            <w:pPr>
              <w:jc w:val="center"/>
              <w:rPr>
                <w:szCs w:val="21"/>
              </w:rPr>
            </w:pPr>
            <w:r>
              <w:rPr>
                <w:rFonts w:hint="eastAsia"/>
                <w:szCs w:val="21"/>
              </w:rPr>
              <w:t>1</w:t>
            </w:r>
          </w:p>
        </w:tc>
        <w:tc>
          <w:tcPr>
            <w:tcW w:w="1059" w:type="dxa"/>
            <w:vAlign w:val="center"/>
          </w:tcPr>
          <w:p w14:paraId="0E52E0FB">
            <w:pPr>
              <w:jc w:val="center"/>
              <w:rPr>
                <w:szCs w:val="21"/>
              </w:rPr>
            </w:pPr>
            <w:r>
              <w:rPr>
                <w:rFonts w:hint="eastAsia"/>
                <w:szCs w:val="21"/>
              </w:rPr>
              <w:t>498</w:t>
            </w:r>
          </w:p>
        </w:tc>
      </w:tr>
      <w:tr w14:paraId="26F06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6" w:type="dxa"/>
            <w:vAlign w:val="center"/>
          </w:tcPr>
          <w:p w14:paraId="551A0A41">
            <w:pPr>
              <w:widowControl/>
              <w:jc w:val="center"/>
              <w:textAlignment w:val="center"/>
              <w:rPr>
                <w:szCs w:val="21"/>
              </w:rPr>
            </w:pPr>
            <w:r>
              <w:rPr>
                <w:rFonts w:ascii="Calibri" w:hAnsi="Calibri" w:eastAsia="DengXian" w:cs="Calibri"/>
                <w:color w:val="000000"/>
                <w:kern w:val="0"/>
                <w:szCs w:val="21"/>
                <w:lang w:bidi="ar"/>
              </w:rPr>
              <w:t>7</w:t>
            </w:r>
          </w:p>
        </w:tc>
        <w:tc>
          <w:tcPr>
            <w:tcW w:w="1653" w:type="dxa"/>
            <w:vAlign w:val="center"/>
          </w:tcPr>
          <w:p w14:paraId="3308645A">
            <w:pPr>
              <w:jc w:val="center"/>
              <w:rPr>
                <w:szCs w:val="21"/>
              </w:rPr>
            </w:pPr>
            <w:r>
              <w:rPr>
                <w:rFonts w:hint="eastAsia"/>
                <w:szCs w:val="21"/>
              </w:rPr>
              <w:t>电脑主机</w:t>
            </w:r>
          </w:p>
        </w:tc>
        <w:tc>
          <w:tcPr>
            <w:tcW w:w="3262" w:type="dxa"/>
            <w:vAlign w:val="center"/>
          </w:tcPr>
          <w:p w14:paraId="3D09001E">
            <w:pPr>
              <w:jc w:val="center"/>
              <w:rPr>
                <w:szCs w:val="21"/>
              </w:rPr>
            </w:pPr>
            <w:r>
              <w:rPr>
                <w:rFonts w:hint="eastAsia"/>
                <w:szCs w:val="21"/>
              </w:rPr>
              <w:t>品牌：Great Wall</w:t>
            </w:r>
          </w:p>
        </w:tc>
        <w:tc>
          <w:tcPr>
            <w:tcW w:w="1223" w:type="dxa"/>
            <w:vAlign w:val="center"/>
          </w:tcPr>
          <w:p w14:paraId="05D41BAF">
            <w:pPr>
              <w:jc w:val="center"/>
              <w:rPr>
                <w:szCs w:val="21"/>
              </w:rPr>
            </w:pPr>
            <w:r>
              <w:rPr>
                <w:rFonts w:hint="eastAsia"/>
                <w:szCs w:val="21"/>
              </w:rPr>
              <w:t>台</w:t>
            </w:r>
          </w:p>
        </w:tc>
        <w:tc>
          <w:tcPr>
            <w:tcW w:w="754" w:type="dxa"/>
            <w:vAlign w:val="center"/>
          </w:tcPr>
          <w:p w14:paraId="7EFE3D23">
            <w:pPr>
              <w:jc w:val="center"/>
              <w:rPr>
                <w:szCs w:val="21"/>
              </w:rPr>
            </w:pPr>
            <w:r>
              <w:rPr>
                <w:rFonts w:hint="eastAsia"/>
                <w:szCs w:val="21"/>
              </w:rPr>
              <w:t>1</w:t>
            </w:r>
          </w:p>
        </w:tc>
        <w:tc>
          <w:tcPr>
            <w:tcW w:w="1059" w:type="dxa"/>
            <w:vAlign w:val="center"/>
          </w:tcPr>
          <w:p w14:paraId="4C4B6598">
            <w:pPr>
              <w:jc w:val="center"/>
              <w:rPr>
                <w:szCs w:val="21"/>
              </w:rPr>
            </w:pPr>
            <w:r>
              <w:rPr>
                <w:rFonts w:hint="eastAsia"/>
                <w:szCs w:val="21"/>
              </w:rPr>
              <w:t>3799</w:t>
            </w:r>
          </w:p>
        </w:tc>
      </w:tr>
      <w:tr w14:paraId="4D97F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6" w:type="dxa"/>
            <w:vAlign w:val="center"/>
          </w:tcPr>
          <w:p w14:paraId="7E89E0C6">
            <w:pPr>
              <w:widowControl/>
              <w:jc w:val="center"/>
              <w:textAlignment w:val="bottom"/>
              <w:rPr>
                <w:szCs w:val="21"/>
              </w:rPr>
            </w:pPr>
            <w:r>
              <w:rPr>
                <w:rFonts w:ascii="Calibri" w:hAnsi="Calibri" w:eastAsia="DengXian" w:cs="Calibri"/>
                <w:color w:val="000000"/>
                <w:kern w:val="0"/>
                <w:szCs w:val="21"/>
                <w:lang w:bidi="ar"/>
              </w:rPr>
              <w:t>8</w:t>
            </w:r>
          </w:p>
        </w:tc>
        <w:tc>
          <w:tcPr>
            <w:tcW w:w="1653" w:type="dxa"/>
            <w:vAlign w:val="center"/>
          </w:tcPr>
          <w:p w14:paraId="2852EF2F">
            <w:pPr>
              <w:jc w:val="center"/>
              <w:rPr>
                <w:szCs w:val="21"/>
              </w:rPr>
            </w:pPr>
            <w:r>
              <w:rPr>
                <w:rFonts w:hint="eastAsia"/>
                <w:szCs w:val="21"/>
              </w:rPr>
              <w:t>电脑主机</w:t>
            </w:r>
          </w:p>
        </w:tc>
        <w:tc>
          <w:tcPr>
            <w:tcW w:w="3262" w:type="dxa"/>
            <w:vAlign w:val="center"/>
          </w:tcPr>
          <w:p w14:paraId="34E2EEC0">
            <w:pPr>
              <w:jc w:val="center"/>
              <w:rPr>
                <w:szCs w:val="21"/>
              </w:rPr>
            </w:pPr>
            <w:r>
              <w:rPr>
                <w:rFonts w:hint="eastAsia"/>
                <w:szCs w:val="21"/>
              </w:rPr>
              <w:t>品牌：Lenovo</w:t>
            </w:r>
          </w:p>
        </w:tc>
        <w:tc>
          <w:tcPr>
            <w:tcW w:w="1223" w:type="dxa"/>
            <w:vAlign w:val="center"/>
          </w:tcPr>
          <w:p w14:paraId="69F7E016">
            <w:pPr>
              <w:jc w:val="center"/>
              <w:rPr>
                <w:szCs w:val="21"/>
              </w:rPr>
            </w:pPr>
            <w:r>
              <w:rPr>
                <w:rFonts w:hint="eastAsia"/>
                <w:szCs w:val="21"/>
              </w:rPr>
              <w:t>台</w:t>
            </w:r>
          </w:p>
        </w:tc>
        <w:tc>
          <w:tcPr>
            <w:tcW w:w="754" w:type="dxa"/>
            <w:vAlign w:val="center"/>
          </w:tcPr>
          <w:p w14:paraId="427C10EC">
            <w:pPr>
              <w:jc w:val="center"/>
              <w:rPr>
                <w:szCs w:val="21"/>
              </w:rPr>
            </w:pPr>
            <w:r>
              <w:rPr>
                <w:rFonts w:hint="eastAsia"/>
                <w:szCs w:val="21"/>
              </w:rPr>
              <w:t>1</w:t>
            </w:r>
          </w:p>
        </w:tc>
        <w:tc>
          <w:tcPr>
            <w:tcW w:w="1059" w:type="dxa"/>
            <w:vAlign w:val="center"/>
          </w:tcPr>
          <w:p w14:paraId="50A1A75F">
            <w:pPr>
              <w:jc w:val="center"/>
              <w:rPr>
                <w:szCs w:val="21"/>
              </w:rPr>
            </w:pPr>
            <w:r>
              <w:rPr>
                <w:rFonts w:hint="eastAsia"/>
                <w:szCs w:val="21"/>
              </w:rPr>
              <w:t>1999</w:t>
            </w:r>
          </w:p>
        </w:tc>
      </w:tr>
      <w:tr w14:paraId="2192F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6" w:type="dxa"/>
            <w:vAlign w:val="center"/>
          </w:tcPr>
          <w:p w14:paraId="0B133B2C">
            <w:pPr>
              <w:widowControl/>
              <w:jc w:val="center"/>
              <w:textAlignment w:val="center"/>
              <w:rPr>
                <w:szCs w:val="21"/>
              </w:rPr>
            </w:pPr>
            <w:r>
              <w:rPr>
                <w:rFonts w:ascii="Calibri" w:hAnsi="Calibri" w:eastAsia="DengXian" w:cs="Calibri"/>
                <w:color w:val="000000"/>
                <w:kern w:val="0"/>
                <w:szCs w:val="21"/>
                <w:lang w:bidi="ar"/>
              </w:rPr>
              <w:t>9</w:t>
            </w:r>
          </w:p>
        </w:tc>
        <w:tc>
          <w:tcPr>
            <w:tcW w:w="1653" w:type="dxa"/>
            <w:vAlign w:val="center"/>
          </w:tcPr>
          <w:p w14:paraId="2F9BBC48">
            <w:pPr>
              <w:jc w:val="center"/>
              <w:rPr>
                <w:szCs w:val="21"/>
              </w:rPr>
            </w:pPr>
            <w:r>
              <w:rPr>
                <w:rFonts w:hint="eastAsia"/>
                <w:szCs w:val="21"/>
              </w:rPr>
              <w:t>电脑主机</w:t>
            </w:r>
          </w:p>
        </w:tc>
        <w:tc>
          <w:tcPr>
            <w:tcW w:w="3262" w:type="dxa"/>
            <w:vAlign w:val="center"/>
          </w:tcPr>
          <w:p w14:paraId="3F5FC849">
            <w:pPr>
              <w:jc w:val="center"/>
              <w:rPr>
                <w:szCs w:val="21"/>
              </w:rPr>
            </w:pPr>
            <w:r>
              <w:rPr>
                <w:rFonts w:hint="eastAsia"/>
                <w:szCs w:val="21"/>
              </w:rPr>
              <w:t>品牌：Lenovo</w:t>
            </w:r>
          </w:p>
          <w:p w14:paraId="38142627">
            <w:pPr>
              <w:jc w:val="center"/>
              <w:rPr>
                <w:szCs w:val="21"/>
              </w:rPr>
            </w:pPr>
            <w:r>
              <w:rPr>
                <w:rFonts w:hint="eastAsia"/>
                <w:szCs w:val="21"/>
              </w:rPr>
              <w:t>型号：Think Server TS140</w:t>
            </w:r>
          </w:p>
        </w:tc>
        <w:tc>
          <w:tcPr>
            <w:tcW w:w="1223" w:type="dxa"/>
            <w:vAlign w:val="center"/>
          </w:tcPr>
          <w:p w14:paraId="0AB11424">
            <w:pPr>
              <w:jc w:val="center"/>
              <w:rPr>
                <w:szCs w:val="21"/>
              </w:rPr>
            </w:pPr>
            <w:r>
              <w:rPr>
                <w:rFonts w:hint="eastAsia"/>
                <w:szCs w:val="21"/>
              </w:rPr>
              <w:t>台</w:t>
            </w:r>
          </w:p>
        </w:tc>
        <w:tc>
          <w:tcPr>
            <w:tcW w:w="754" w:type="dxa"/>
            <w:vAlign w:val="center"/>
          </w:tcPr>
          <w:p w14:paraId="3C9721DE">
            <w:pPr>
              <w:jc w:val="center"/>
              <w:rPr>
                <w:szCs w:val="21"/>
              </w:rPr>
            </w:pPr>
            <w:r>
              <w:rPr>
                <w:rFonts w:hint="eastAsia"/>
                <w:szCs w:val="21"/>
              </w:rPr>
              <w:t>1</w:t>
            </w:r>
          </w:p>
        </w:tc>
        <w:tc>
          <w:tcPr>
            <w:tcW w:w="1059" w:type="dxa"/>
            <w:vAlign w:val="center"/>
          </w:tcPr>
          <w:p w14:paraId="200B0C41">
            <w:pPr>
              <w:jc w:val="center"/>
              <w:rPr>
                <w:szCs w:val="21"/>
              </w:rPr>
            </w:pPr>
            <w:r>
              <w:rPr>
                <w:rFonts w:hint="eastAsia"/>
                <w:szCs w:val="21"/>
              </w:rPr>
              <w:t>1280</w:t>
            </w:r>
          </w:p>
        </w:tc>
      </w:tr>
      <w:tr w14:paraId="47B44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6" w:type="dxa"/>
            <w:vAlign w:val="center"/>
          </w:tcPr>
          <w:p w14:paraId="1C907D4C">
            <w:pPr>
              <w:widowControl/>
              <w:jc w:val="center"/>
              <w:textAlignment w:val="bottom"/>
              <w:rPr>
                <w:szCs w:val="21"/>
              </w:rPr>
            </w:pPr>
            <w:r>
              <w:rPr>
                <w:rFonts w:ascii="Calibri" w:hAnsi="Calibri" w:eastAsia="DengXian" w:cs="Calibri"/>
                <w:color w:val="000000"/>
                <w:kern w:val="0"/>
                <w:szCs w:val="21"/>
                <w:lang w:bidi="ar"/>
              </w:rPr>
              <w:t>10</w:t>
            </w:r>
          </w:p>
        </w:tc>
        <w:tc>
          <w:tcPr>
            <w:tcW w:w="1653" w:type="dxa"/>
            <w:vAlign w:val="center"/>
          </w:tcPr>
          <w:p w14:paraId="3B9D3E0C">
            <w:pPr>
              <w:jc w:val="center"/>
              <w:rPr>
                <w:szCs w:val="21"/>
              </w:rPr>
            </w:pPr>
            <w:r>
              <w:rPr>
                <w:rFonts w:hint="eastAsia"/>
                <w:szCs w:val="21"/>
              </w:rPr>
              <w:t>电脑主机</w:t>
            </w:r>
          </w:p>
        </w:tc>
        <w:tc>
          <w:tcPr>
            <w:tcW w:w="3262" w:type="dxa"/>
            <w:vAlign w:val="center"/>
          </w:tcPr>
          <w:p w14:paraId="1507B3DB">
            <w:pPr>
              <w:jc w:val="center"/>
              <w:rPr>
                <w:szCs w:val="21"/>
              </w:rPr>
            </w:pPr>
            <w:r>
              <w:rPr>
                <w:rFonts w:hint="eastAsia"/>
                <w:szCs w:val="21"/>
              </w:rPr>
              <w:t>品牌：Great Wall</w:t>
            </w:r>
          </w:p>
        </w:tc>
        <w:tc>
          <w:tcPr>
            <w:tcW w:w="1223" w:type="dxa"/>
            <w:vAlign w:val="center"/>
          </w:tcPr>
          <w:p w14:paraId="27D49963">
            <w:pPr>
              <w:jc w:val="center"/>
              <w:rPr>
                <w:szCs w:val="21"/>
              </w:rPr>
            </w:pPr>
            <w:r>
              <w:rPr>
                <w:rFonts w:hint="eastAsia"/>
                <w:szCs w:val="21"/>
              </w:rPr>
              <w:t>台</w:t>
            </w:r>
          </w:p>
        </w:tc>
        <w:tc>
          <w:tcPr>
            <w:tcW w:w="754" w:type="dxa"/>
            <w:vAlign w:val="center"/>
          </w:tcPr>
          <w:p w14:paraId="3BCCBC89">
            <w:pPr>
              <w:jc w:val="center"/>
              <w:rPr>
                <w:szCs w:val="21"/>
              </w:rPr>
            </w:pPr>
            <w:r>
              <w:rPr>
                <w:rFonts w:hint="eastAsia"/>
                <w:szCs w:val="21"/>
              </w:rPr>
              <w:t>1</w:t>
            </w:r>
          </w:p>
        </w:tc>
        <w:tc>
          <w:tcPr>
            <w:tcW w:w="1059" w:type="dxa"/>
            <w:vAlign w:val="center"/>
          </w:tcPr>
          <w:p w14:paraId="27DE1819">
            <w:pPr>
              <w:jc w:val="center"/>
              <w:rPr>
                <w:szCs w:val="21"/>
              </w:rPr>
            </w:pPr>
            <w:r>
              <w:rPr>
                <w:rFonts w:hint="eastAsia"/>
                <w:szCs w:val="21"/>
              </w:rPr>
              <w:t>1678</w:t>
            </w:r>
          </w:p>
        </w:tc>
      </w:tr>
      <w:tr w14:paraId="2CDC8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6" w:type="dxa"/>
            <w:vAlign w:val="center"/>
          </w:tcPr>
          <w:p w14:paraId="2BA1E015">
            <w:pPr>
              <w:widowControl/>
              <w:jc w:val="center"/>
              <w:textAlignment w:val="center"/>
              <w:rPr>
                <w:szCs w:val="21"/>
              </w:rPr>
            </w:pPr>
            <w:r>
              <w:rPr>
                <w:rFonts w:ascii="Calibri" w:hAnsi="Calibri" w:eastAsia="DengXian" w:cs="Calibri"/>
                <w:color w:val="000000"/>
                <w:kern w:val="0"/>
                <w:szCs w:val="21"/>
                <w:lang w:bidi="ar"/>
              </w:rPr>
              <w:t>11</w:t>
            </w:r>
          </w:p>
        </w:tc>
        <w:tc>
          <w:tcPr>
            <w:tcW w:w="1653" w:type="dxa"/>
            <w:vAlign w:val="center"/>
          </w:tcPr>
          <w:p w14:paraId="187D3D91">
            <w:pPr>
              <w:jc w:val="center"/>
              <w:rPr>
                <w:szCs w:val="21"/>
              </w:rPr>
            </w:pPr>
            <w:r>
              <w:rPr>
                <w:rFonts w:hint="eastAsia"/>
                <w:szCs w:val="21"/>
              </w:rPr>
              <w:t>财税高清票据打印机</w:t>
            </w:r>
          </w:p>
        </w:tc>
        <w:tc>
          <w:tcPr>
            <w:tcW w:w="3262" w:type="dxa"/>
            <w:vAlign w:val="center"/>
          </w:tcPr>
          <w:p w14:paraId="3B0ECD6A">
            <w:pPr>
              <w:jc w:val="center"/>
              <w:rPr>
                <w:szCs w:val="21"/>
              </w:rPr>
            </w:pPr>
            <w:r>
              <w:rPr>
                <w:rFonts w:hint="eastAsia"/>
                <w:szCs w:val="21"/>
              </w:rPr>
              <w:t>品牌：Aisino</w:t>
            </w:r>
          </w:p>
          <w:p w14:paraId="17352032">
            <w:pPr>
              <w:jc w:val="center"/>
              <w:rPr>
                <w:szCs w:val="21"/>
              </w:rPr>
            </w:pPr>
            <w:r>
              <w:rPr>
                <w:rFonts w:hint="eastAsia"/>
                <w:szCs w:val="21"/>
              </w:rPr>
              <w:t>型号：SK-820II</w:t>
            </w:r>
          </w:p>
        </w:tc>
        <w:tc>
          <w:tcPr>
            <w:tcW w:w="1223" w:type="dxa"/>
            <w:vAlign w:val="center"/>
          </w:tcPr>
          <w:p w14:paraId="4983E2B9">
            <w:pPr>
              <w:jc w:val="center"/>
              <w:rPr>
                <w:szCs w:val="21"/>
              </w:rPr>
            </w:pPr>
            <w:r>
              <w:rPr>
                <w:rFonts w:hint="eastAsia"/>
                <w:szCs w:val="21"/>
              </w:rPr>
              <w:t>台</w:t>
            </w:r>
          </w:p>
        </w:tc>
        <w:tc>
          <w:tcPr>
            <w:tcW w:w="754" w:type="dxa"/>
            <w:vAlign w:val="center"/>
          </w:tcPr>
          <w:p w14:paraId="61BE1A49">
            <w:pPr>
              <w:jc w:val="center"/>
              <w:rPr>
                <w:szCs w:val="21"/>
              </w:rPr>
            </w:pPr>
            <w:r>
              <w:rPr>
                <w:rFonts w:hint="eastAsia"/>
                <w:szCs w:val="21"/>
              </w:rPr>
              <w:t>1</w:t>
            </w:r>
          </w:p>
        </w:tc>
        <w:tc>
          <w:tcPr>
            <w:tcW w:w="1059" w:type="dxa"/>
            <w:vAlign w:val="center"/>
          </w:tcPr>
          <w:p w14:paraId="57743045">
            <w:pPr>
              <w:jc w:val="center"/>
              <w:rPr>
                <w:szCs w:val="21"/>
              </w:rPr>
            </w:pPr>
            <w:r>
              <w:rPr>
                <w:rFonts w:hint="eastAsia"/>
                <w:szCs w:val="21"/>
              </w:rPr>
              <w:t>368</w:t>
            </w:r>
          </w:p>
        </w:tc>
      </w:tr>
      <w:tr w14:paraId="38394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6" w:type="dxa"/>
            <w:vAlign w:val="center"/>
          </w:tcPr>
          <w:p w14:paraId="46848F35">
            <w:pPr>
              <w:widowControl/>
              <w:jc w:val="center"/>
              <w:textAlignment w:val="center"/>
              <w:rPr>
                <w:szCs w:val="21"/>
              </w:rPr>
            </w:pPr>
            <w:r>
              <w:rPr>
                <w:rFonts w:ascii="Calibri" w:hAnsi="Calibri" w:eastAsia="DengXian" w:cs="Calibri"/>
                <w:color w:val="000000"/>
                <w:kern w:val="0"/>
                <w:szCs w:val="21"/>
                <w:lang w:bidi="ar"/>
              </w:rPr>
              <w:t>12</w:t>
            </w:r>
          </w:p>
        </w:tc>
        <w:tc>
          <w:tcPr>
            <w:tcW w:w="1653" w:type="dxa"/>
            <w:vAlign w:val="center"/>
          </w:tcPr>
          <w:p w14:paraId="7ECB1650">
            <w:pPr>
              <w:jc w:val="center"/>
              <w:rPr>
                <w:szCs w:val="21"/>
              </w:rPr>
            </w:pPr>
            <w:r>
              <w:rPr>
                <w:rFonts w:hint="eastAsia"/>
                <w:szCs w:val="21"/>
              </w:rPr>
              <w:t>触摸式自动档案凭证装订机</w:t>
            </w:r>
          </w:p>
        </w:tc>
        <w:tc>
          <w:tcPr>
            <w:tcW w:w="3262" w:type="dxa"/>
            <w:vAlign w:val="center"/>
          </w:tcPr>
          <w:p w14:paraId="2037E0D1">
            <w:pPr>
              <w:jc w:val="center"/>
              <w:rPr>
                <w:szCs w:val="21"/>
              </w:rPr>
            </w:pPr>
            <w:r>
              <w:rPr>
                <w:rFonts w:hint="eastAsia"/>
                <w:szCs w:val="21"/>
              </w:rPr>
              <w:t>品牌：Golden</w:t>
            </w:r>
          </w:p>
          <w:p w14:paraId="5B89B16B">
            <w:pPr>
              <w:jc w:val="center"/>
              <w:rPr>
                <w:szCs w:val="21"/>
              </w:rPr>
            </w:pPr>
            <w:r>
              <w:rPr>
                <w:rFonts w:hint="eastAsia"/>
                <w:szCs w:val="21"/>
              </w:rPr>
              <w:t>型号：GD-50N</w:t>
            </w:r>
          </w:p>
        </w:tc>
        <w:tc>
          <w:tcPr>
            <w:tcW w:w="1223" w:type="dxa"/>
            <w:vAlign w:val="center"/>
          </w:tcPr>
          <w:p w14:paraId="66754CC1">
            <w:pPr>
              <w:jc w:val="center"/>
              <w:rPr>
                <w:szCs w:val="21"/>
              </w:rPr>
            </w:pPr>
            <w:r>
              <w:rPr>
                <w:rFonts w:hint="eastAsia"/>
                <w:szCs w:val="21"/>
              </w:rPr>
              <w:t>台</w:t>
            </w:r>
          </w:p>
        </w:tc>
        <w:tc>
          <w:tcPr>
            <w:tcW w:w="754" w:type="dxa"/>
            <w:vAlign w:val="center"/>
          </w:tcPr>
          <w:p w14:paraId="59B98CE0">
            <w:pPr>
              <w:jc w:val="center"/>
              <w:rPr>
                <w:szCs w:val="21"/>
              </w:rPr>
            </w:pPr>
            <w:r>
              <w:rPr>
                <w:rFonts w:hint="eastAsia"/>
                <w:szCs w:val="21"/>
              </w:rPr>
              <w:t>1</w:t>
            </w:r>
          </w:p>
        </w:tc>
        <w:tc>
          <w:tcPr>
            <w:tcW w:w="1059" w:type="dxa"/>
            <w:vAlign w:val="center"/>
          </w:tcPr>
          <w:p w14:paraId="14F6A8EC">
            <w:pPr>
              <w:jc w:val="center"/>
              <w:rPr>
                <w:szCs w:val="21"/>
              </w:rPr>
            </w:pPr>
            <w:r>
              <w:rPr>
                <w:rFonts w:hint="eastAsia"/>
                <w:szCs w:val="21"/>
              </w:rPr>
              <w:t>1570</w:t>
            </w:r>
          </w:p>
        </w:tc>
      </w:tr>
      <w:tr w14:paraId="58768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6" w:type="dxa"/>
            <w:vAlign w:val="center"/>
          </w:tcPr>
          <w:p w14:paraId="3A6EF5EC">
            <w:pPr>
              <w:widowControl/>
              <w:jc w:val="center"/>
              <w:textAlignment w:val="center"/>
              <w:rPr>
                <w:szCs w:val="21"/>
              </w:rPr>
            </w:pPr>
            <w:r>
              <w:rPr>
                <w:rFonts w:ascii="Calibri" w:hAnsi="Calibri" w:eastAsia="DengXian" w:cs="Calibri"/>
                <w:color w:val="000000"/>
                <w:kern w:val="0"/>
                <w:szCs w:val="21"/>
                <w:lang w:bidi="ar"/>
              </w:rPr>
              <w:t>13</w:t>
            </w:r>
          </w:p>
        </w:tc>
        <w:tc>
          <w:tcPr>
            <w:tcW w:w="1653" w:type="dxa"/>
            <w:vAlign w:val="center"/>
          </w:tcPr>
          <w:p w14:paraId="195DBFA7">
            <w:pPr>
              <w:jc w:val="center"/>
              <w:rPr>
                <w:szCs w:val="21"/>
              </w:rPr>
            </w:pPr>
            <w:r>
              <w:rPr>
                <w:rFonts w:hint="eastAsia"/>
                <w:szCs w:val="21"/>
              </w:rPr>
              <w:t>打印机</w:t>
            </w:r>
          </w:p>
        </w:tc>
        <w:tc>
          <w:tcPr>
            <w:tcW w:w="3262" w:type="dxa"/>
            <w:vAlign w:val="center"/>
          </w:tcPr>
          <w:p w14:paraId="44B45F28">
            <w:pPr>
              <w:jc w:val="center"/>
              <w:rPr>
                <w:szCs w:val="21"/>
              </w:rPr>
            </w:pPr>
            <w:r>
              <w:rPr>
                <w:rFonts w:hint="eastAsia"/>
                <w:szCs w:val="21"/>
              </w:rPr>
              <w:t>品牌：惠普</w:t>
            </w:r>
          </w:p>
          <w:p w14:paraId="2D1ADE53">
            <w:pPr>
              <w:jc w:val="center"/>
              <w:rPr>
                <w:szCs w:val="21"/>
              </w:rPr>
            </w:pPr>
            <w:r>
              <w:rPr>
                <w:rFonts w:hint="eastAsia"/>
                <w:szCs w:val="21"/>
              </w:rPr>
              <w:t>型号：LaserJet P1007</w:t>
            </w:r>
          </w:p>
        </w:tc>
        <w:tc>
          <w:tcPr>
            <w:tcW w:w="1223" w:type="dxa"/>
            <w:vAlign w:val="center"/>
          </w:tcPr>
          <w:p w14:paraId="7AF2FA79">
            <w:pPr>
              <w:jc w:val="center"/>
              <w:rPr>
                <w:szCs w:val="21"/>
              </w:rPr>
            </w:pPr>
            <w:r>
              <w:rPr>
                <w:rFonts w:hint="eastAsia"/>
                <w:szCs w:val="21"/>
              </w:rPr>
              <w:t>台</w:t>
            </w:r>
          </w:p>
        </w:tc>
        <w:tc>
          <w:tcPr>
            <w:tcW w:w="754" w:type="dxa"/>
            <w:vAlign w:val="center"/>
          </w:tcPr>
          <w:p w14:paraId="1BB7E9BB">
            <w:pPr>
              <w:jc w:val="center"/>
              <w:rPr>
                <w:szCs w:val="21"/>
              </w:rPr>
            </w:pPr>
            <w:r>
              <w:rPr>
                <w:rFonts w:hint="eastAsia"/>
                <w:szCs w:val="21"/>
              </w:rPr>
              <w:t>1</w:t>
            </w:r>
          </w:p>
        </w:tc>
        <w:tc>
          <w:tcPr>
            <w:tcW w:w="1059" w:type="dxa"/>
            <w:vAlign w:val="center"/>
          </w:tcPr>
          <w:p w14:paraId="6822CDA3">
            <w:pPr>
              <w:jc w:val="center"/>
              <w:rPr>
                <w:szCs w:val="21"/>
              </w:rPr>
            </w:pPr>
            <w:r>
              <w:rPr>
                <w:rFonts w:hint="eastAsia"/>
                <w:szCs w:val="21"/>
              </w:rPr>
              <w:t>568</w:t>
            </w:r>
          </w:p>
        </w:tc>
      </w:tr>
      <w:tr w14:paraId="59CEA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6" w:type="dxa"/>
            <w:vAlign w:val="center"/>
          </w:tcPr>
          <w:p w14:paraId="3728554F">
            <w:pPr>
              <w:widowControl/>
              <w:jc w:val="center"/>
              <w:textAlignment w:val="center"/>
              <w:rPr>
                <w:szCs w:val="21"/>
              </w:rPr>
            </w:pPr>
            <w:r>
              <w:rPr>
                <w:rFonts w:ascii="Calibri" w:hAnsi="Calibri" w:eastAsia="DengXian" w:cs="Calibri"/>
                <w:color w:val="000000"/>
                <w:kern w:val="0"/>
                <w:szCs w:val="21"/>
                <w:lang w:bidi="ar"/>
              </w:rPr>
              <w:t>14</w:t>
            </w:r>
          </w:p>
        </w:tc>
        <w:tc>
          <w:tcPr>
            <w:tcW w:w="1653" w:type="dxa"/>
            <w:vAlign w:val="center"/>
          </w:tcPr>
          <w:p w14:paraId="270B9B4F">
            <w:pPr>
              <w:jc w:val="center"/>
              <w:rPr>
                <w:szCs w:val="21"/>
              </w:rPr>
            </w:pPr>
            <w:r>
              <w:rPr>
                <w:rFonts w:hint="eastAsia"/>
                <w:szCs w:val="21"/>
              </w:rPr>
              <w:t>针式打印机</w:t>
            </w:r>
          </w:p>
        </w:tc>
        <w:tc>
          <w:tcPr>
            <w:tcW w:w="3262" w:type="dxa"/>
            <w:vAlign w:val="center"/>
          </w:tcPr>
          <w:p w14:paraId="00B61A24">
            <w:pPr>
              <w:jc w:val="center"/>
              <w:rPr>
                <w:szCs w:val="21"/>
              </w:rPr>
            </w:pPr>
            <w:r>
              <w:rPr>
                <w:rFonts w:hint="eastAsia"/>
                <w:szCs w:val="21"/>
              </w:rPr>
              <w:t>品牌：EPSON</w:t>
            </w:r>
          </w:p>
          <w:p w14:paraId="2291DA88">
            <w:pPr>
              <w:jc w:val="center"/>
              <w:rPr>
                <w:szCs w:val="21"/>
              </w:rPr>
            </w:pPr>
            <w:r>
              <w:rPr>
                <w:rFonts w:hint="eastAsia"/>
                <w:szCs w:val="21"/>
              </w:rPr>
              <w:t>型号：LQ-690K</w:t>
            </w:r>
          </w:p>
        </w:tc>
        <w:tc>
          <w:tcPr>
            <w:tcW w:w="1223" w:type="dxa"/>
            <w:vAlign w:val="center"/>
          </w:tcPr>
          <w:p w14:paraId="62FDF788">
            <w:pPr>
              <w:jc w:val="center"/>
              <w:rPr>
                <w:szCs w:val="21"/>
              </w:rPr>
            </w:pPr>
            <w:r>
              <w:rPr>
                <w:rFonts w:hint="eastAsia"/>
                <w:szCs w:val="21"/>
              </w:rPr>
              <w:t>台</w:t>
            </w:r>
          </w:p>
        </w:tc>
        <w:tc>
          <w:tcPr>
            <w:tcW w:w="754" w:type="dxa"/>
            <w:vAlign w:val="center"/>
          </w:tcPr>
          <w:p w14:paraId="5F669A24">
            <w:pPr>
              <w:jc w:val="center"/>
              <w:rPr>
                <w:szCs w:val="21"/>
              </w:rPr>
            </w:pPr>
            <w:r>
              <w:rPr>
                <w:rFonts w:hint="eastAsia"/>
                <w:szCs w:val="21"/>
              </w:rPr>
              <w:t>1</w:t>
            </w:r>
          </w:p>
        </w:tc>
        <w:tc>
          <w:tcPr>
            <w:tcW w:w="1059" w:type="dxa"/>
            <w:vAlign w:val="center"/>
          </w:tcPr>
          <w:p w14:paraId="54889CF2">
            <w:pPr>
              <w:jc w:val="center"/>
              <w:rPr>
                <w:szCs w:val="21"/>
              </w:rPr>
            </w:pPr>
            <w:r>
              <w:rPr>
                <w:rFonts w:hint="eastAsia"/>
                <w:szCs w:val="21"/>
              </w:rPr>
              <w:t>980</w:t>
            </w:r>
          </w:p>
        </w:tc>
      </w:tr>
      <w:tr w14:paraId="533E9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6" w:type="dxa"/>
            <w:vAlign w:val="center"/>
          </w:tcPr>
          <w:p w14:paraId="763FD923">
            <w:pPr>
              <w:widowControl/>
              <w:jc w:val="center"/>
              <w:textAlignment w:val="bottom"/>
              <w:rPr>
                <w:szCs w:val="21"/>
              </w:rPr>
            </w:pPr>
            <w:r>
              <w:rPr>
                <w:rFonts w:ascii="Calibri" w:hAnsi="Calibri" w:eastAsia="DengXian" w:cs="Calibri"/>
                <w:color w:val="000000"/>
                <w:kern w:val="0"/>
                <w:szCs w:val="21"/>
                <w:lang w:bidi="ar"/>
              </w:rPr>
              <w:t>15</w:t>
            </w:r>
          </w:p>
        </w:tc>
        <w:tc>
          <w:tcPr>
            <w:tcW w:w="1653" w:type="dxa"/>
            <w:vAlign w:val="center"/>
          </w:tcPr>
          <w:p w14:paraId="72612B66">
            <w:pPr>
              <w:jc w:val="center"/>
              <w:rPr>
                <w:szCs w:val="21"/>
              </w:rPr>
            </w:pPr>
            <w:r>
              <w:rPr>
                <w:rFonts w:hint="eastAsia"/>
                <w:szCs w:val="21"/>
              </w:rPr>
              <w:t>电脑显示屏</w:t>
            </w:r>
          </w:p>
        </w:tc>
        <w:tc>
          <w:tcPr>
            <w:tcW w:w="3262" w:type="dxa"/>
            <w:vAlign w:val="center"/>
          </w:tcPr>
          <w:p w14:paraId="651454C1">
            <w:pPr>
              <w:jc w:val="center"/>
              <w:rPr>
                <w:szCs w:val="21"/>
              </w:rPr>
            </w:pPr>
            <w:r>
              <w:rPr>
                <w:rFonts w:hint="eastAsia"/>
                <w:szCs w:val="21"/>
              </w:rPr>
              <w:t>品牌：AOC</w:t>
            </w:r>
          </w:p>
          <w:p w14:paraId="06DEEA79">
            <w:pPr>
              <w:jc w:val="center"/>
              <w:rPr>
                <w:szCs w:val="21"/>
              </w:rPr>
            </w:pPr>
            <w:r>
              <w:rPr>
                <w:rFonts w:hint="eastAsia"/>
                <w:szCs w:val="21"/>
              </w:rPr>
              <w:t>型号：E960SN 190LM00010</w:t>
            </w:r>
          </w:p>
        </w:tc>
        <w:tc>
          <w:tcPr>
            <w:tcW w:w="1223" w:type="dxa"/>
            <w:vAlign w:val="center"/>
          </w:tcPr>
          <w:p w14:paraId="2828B985">
            <w:pPr>
              <w:jc w:val="center"/>
              <w:rPr>
                <w:szCs w:val="21"/>
              </w:rPr>
            </w:pPr>
            <w:r>
              <w:rPr>
                <w:rFonts w:hint="eastAsia"/>
                <w:szCs w:val="21"/>
              </w:rPr>
              <w:t>台</w:t>
            </w:r>
          </w:p>
        </w:tc>
        <w:tc>
          <w:tcPr>
            <w:tcW w:w="754" w:type="dxa"/>
            <w:vAlign w:val="center"/>
          </w:tcPr>
          <w:p w14:paraId="44806E99">
            <w:pPr>
              <w:jc w:val="center"/>
              <w:rPr>
                <w:szCs w:val="21"/>
              </w:rPr>
            </w:pPr>
            <w:r>
              <w:rPr>
                <w:rFonts w:hint="eastAsia"/>
                <w:szCs w:val="21"/>
              </w:rPr>
              <w:t>1</w:t>
            </w:r>
          </w:p>
        </w:tc>
        <w:tc>
          <w:tcPr>
            <w:tcW w:w="1059" w:type="dxa"/>
            <w:vAlign w:val="center"/>
          </w:tcPr>
          <w:p w14:paraId="5EFCA708">
            <w:pPr>
              <w:jc w:val="center"/>
              <w:rPr>
                <w:szCs w:val="21"/>
              </w:rPr>
            </w:pPr>
            <w:r>
              <w:rPr>
                <w:rFonts w:hint="eastAsia"/>
                <w:szCs w:val="21"/>
              </w:rPr>
              <w:t>1025</w:t>
            </w:r>
          </w:p>
        </w:tc>
      </w:tr>
      <w:tr w14:paraId="1507B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6" w:type="dxa"/>
            <w:vAlign w:val="center"/>
          </w:tcPr>
          <w:p w14:paraId="076A1DD9">
            <w:pPr>
              <w:widowControl/>
              <w:jc w:val="center"/>
              <w:textAlignment w:val="center"/>
              <w:rPr>
                <w:rFonts w:eastAsia="宋体"/>
                <w:szCs w:val="21"/>
              </w:rPr>
            </w:pPr>
            <w:r>
              <w:rPr>
                <w:rFonts w:ascii="Calibri" w:hAnsi="Calibri" w:eastAsia="DengXian" w:cs="Calibri"/>
                <w:color w:val="000000"/>
                <w:kern w:val="0"/>
                <w:szCs w:val="21"/>
                <w:lang w:bidi="ar"/>
              </w:rPr>
              <w:t>16</w:t>
            </w:r>
          </w:p>
        </w:tc>
        <w:tc>
          <w:tcPr>
            <w:tcW w:w="1653" w:type="dxa"/>
            <w:vAlign w:val="center"/>
          </w:tcPr>
          <w:p w14:paraId="4E1C47D3">
            <w:pPr>
              <w:jc w:val="center"/>
              <w:rPr>
                <w:szCs w:val="21"/>
              </w:rPr>
            </w:pPr>
            <w:r>
              <w:rPr>
                <w:rFonts w:hint="eastAsia"/>
                <w:szCs w:val="21"/>
              </w:rPr>
              <w:t>电脑显示屏</w:t>
            </w:r>
          </w:p>
        </w:tc>
        <w:tc>
          <w:tcPr>
            <w:tcW w:w="3262" w:type="dxa"/>
            <w:vAlign w:val="center"/>
          </w:tcPr>
          <w:p w14:paraId="02598A29">
            <w:pPr>
              <w:jc w:val="center"/>
              <w:rPr>
                <w:szCs w:val="21"/>
              </w:rPr>
            </w:pPr>
            <w:r>
              <w:rPr>
                <w:rFonts w:hint="eastAsia"/>
                <w:szCs w:val="21"/>
              </w:rPr>
              <w:t>品牌：AOC</w:t>
            </w:r>
          </w:p>
          <w:p w14:paraId="11877475">
            <w:pPr>
              <w:jc w:val="center"/>
              <w:rPr>
                <w:szCs w:val="21"/>
              </w:rPr>
            </w:pPr>
            <w:r>
              <w:rPr>
                <w:rFonts w:hint="eastAsia"/>
                <w:szCs w:val="21"/>
              </w:rPr>
              <w:t>型号：E2060SN 200LM00013</w:t>
            </w:r>
          </w:p>
        </w:tc>
        <w:tc>
          <w:tcPr>
            <w:tcW w:w="1223" w:type="dxa"/>
            <w:vAlign w:val="center"/>
          </w:tcPr>
          <w:p w14:paraId="2771C94E">
            <w:pPr>
              <w:jc w:val="center"/>
              <w:rPr>
                <w:szCs w:val="21"/>
              </w:rPr>
            </w:pPr>
            <w:r>
              <w:rPr>
                <w:rFonts w:hint="eastAsia"/>
                <w:szCs w:val="21"/>
              </w:rPr>
              <w:t>台</w:t>
            </w:r>
          </w:p>
        </w:tc>
        <w:tc>
          <w:tcPr>
            <w:tcW w:w="754" w:type="dxa"/>
            <w:vAlign w:val="center"/>
          </w:tcPr>
          <w:p w14:paraId="6966E2D8">
            <w:pPr>
              <w:jc w:val="center"/>
              <w:rPr>
                <w:szCs w:val="21"/>
              </w:rPr>
            </w:pPr>
            <w:r>
              <w:rPr>
                <w:rFonts w:hint="eastAsia"/>
                <w:szCs w:val="21"/>
              </w:rPr>
              <w:t>1</w:t>
            </w:r>
          </w:p>
        </w:tc>
        <w:tc>
          <w:tcPr>
            <w:tcW w:w="1059" w:type="dxa"/>
            <w:vAlign w:val="center"/>
          </w:tcPr>
          <w:p w14:paraId="00E80DEC">
            <w:pPr>
              <w:jc w:val="center"/>
              <w:rPr>
                <w:szCs w:val="21"/>
              </w:rPr>
            </w:pPr>
            <w:r>
              <w:rPr>
                <w:rFonts w:hint="eastAsia"/>
                <w:szCs w:val="21"/>
              </w:rPr>
              <w:t>1138</w:t>
            </w:r>
          </w:p>
        </w:tc>
      </w:tr>
      <w:tr w14:paraId="343DD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6" w:type="dxa"/>
            <w:vAlign w:val="center"/>
          </w:tcPr>
          <w:p w14:paraId="2947B68C">
            <w:pPr>
              <w:widowControl/>
              <w:jc w:val="center"/>
              <w:textAlignment w:val="center"/>
              <w:rPr>
                <w:rFonts w:eastAsia="宋体"/>
                <w:szCs w:val="21"/>
                <w:lang w:eastAsia="zh-Hans"/>
              </w:rPr>
            </w:pPr>
            <w:r>
              <w:rPr>
                <w:rFonts w:ascii="Calibri" w:hAnsi="Calibri" w:eastAsia="DengXian" w:cs="Calibri"/>
                <w:color w:val="000000"/>
                <w:kern w:val="0"/>
                <w:szCs w:val="21"/>
                <w:lang w:bidi="ar"/>
              </w:rPr>
              <w:t>17</w:t>
            </w:r>
          </w:p>
        </w:tc>
        <w:tc>
          <w:tcPr>
            <w:tcW w:w="1653" w:type="dxa"/>
            <w:vAlign w:val="center"/>
          </w:tcPr>
          <w:p w14:paraId="6459D02A">
            <w:pPr>
              <w:jc w:val="center"/>
              <w:rPr>
                <w:szCs w:val="21"/>
              </w:rPr>
            </w:pPr>
            <w:r>
              <w:rPr>
                <w:rFonts w:hint="eastAsia"/>
                <w:szCs w:val="21"/>
              </w:rPr>
              <w:t>打印机</w:t>
            </w:r>
          </w:p>
        </w:tc>
        <w:tc>
          <w:tcPr>
            <w:tcW w:w="3262" w:type="dxa"/>
            <w:vAlign w:val="center"/>
          </w:tcPr>
          <w:p w14:paraId="43DA2E3D">
            <w:pPr>
              <w:jc w:val="center"/>
              <w:rPr>
                <w:szCs w:val="21"/>
              </w:rPr>
            </w:pPr>
            <w:r>
              <w:rPr>
                <w:rFonts w:hint="eastAsia"/>
                <w:szCs w:val="21"/>
              </w:rPr>
              <w:t>品牌：惠普</w:t>
            </w:r>
          </w:p>
          <w:p w14:paraId="405ECF41">
            <w:pPr>
              <w:jc w:val="center"/>
              <w:rPr>
                <w:szCs w:val="21"/>
              </w:rPr>
            </w:pPr>
            <w:r>
              <w:rPr>
                <w:rFonts w:hint="eastAsia"/>
                <w:szCs w:val="21"/>
              </w:rPr>
              <w:t>型号：</w:t>
            </w:r>
            <w:r>
              <w:rPr>
                <w:szCs w:val="21"/>
              </w:rPr>
              <w:t>LaseJet M1005 MFP</w:t>
            </w:r>
          </w:p>
        </w:tc>
        <w:tc>
          <w:tcPr>
            <w:tcW w:w="1223" w:type="dxa"/>
            <w:vAlign w:val="center"/>
          </w:tcPr>
          <w:p w14:paraId="020791C2">
            <w:pPr>
              <w:jc w:val="center"/>
              <w:rPr>
                <w:szCs w:val="21"/>
              </w:rPr>
            </w:pPr>
            <w:r>
              <w:rPr>
                <w:rFonts w:hint="eastAsia"/>
                <w:szCs w:val="21"/>
              </w:rPr>
              <w:t>台</w:t>
            </w:r>
          </w:p>
        </w:tc>
        <w:tc>
          <w:tcPr>
            <w:tcW w:w="754" w:type="dxa"/>
            <w:vAlign w:val="center"/>
          </w:tcPr>
          <w:p w14:paraId="591CBE1D">
            <w:pPr>
              <w:jc w:val="center"/>
              <w:rPr>
                <w:szCs w:val="21"/>
              </w:rPr>
            </w:pPr>
            <w:r>
              <w:rPr>
                <w:szCs w:val="21"/>
              </w:rPr>
              <w:t>1</w:t>
            </w:r>
          </w:p>
        </w:tc>
        <w:tc>
          <w:tcPr>
            <w:tcW w:w="1059" w:type="dxa"/>
            <w:vAlign w:val="center"/>
          </w:tcPr>
          <w:p w14:paraId="51105273">
            <w:pPr>
              <w:jc w:val="center"/>
              <w:rPr>
                <w:szCs w:val="21"/>
              </w:rPr>
            </w:pPr>
            <w:r>
              <w:rPr>
                <w:rFonts w:hint="eastAsia"/>
                <w:szCs w:val="21"/>
              </w:rPr>
              <w:t>959</w:t>
            </w:r>
          </w:p>
        </w:tc>
      </w:tr>
      <w:tr w14:paraId="44659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6" w:type="dxa"/>
            <w:vAlign w:val="center"/>
          </w:tcPr>
          <w:p w14:paraId="74BB700E">
            <w:pPr>
              <w:widowControl/>
              <w:jc w:val="center"/>
              <w:textAlignment w:val="center"/>
              <w:rPr>
                <w:rFonts w:eastAsia="宋体"/>
                <w:szCs w:val="21"/>
                <w:lang w:eastAsia="zh-Hans"/>
              </w:rPr>
            </w:pPr>
            <w:r>
              <w:rPr>
                <w:rFonts w:ascii="Calibri" w:hAnsi="Calibri" w:eastAsia="DengXian" w:cs="Calibri"/>
                <w:color w:val="000000"/>
                <w:kern w:val="0"/>
                <w:szCs w:val="21"/>
                <w:lang w:bidi="ar"/>
              </w:rPr>
              <w:t>18</w:t>
            </w:r>
          </w:p>
        </w:tc>
        <w:tc>
          <w:tcPr>
            <w:tcW w:w="1653" w:type="dxa"/>
            <w:vAlign w:val="center"/>
          </w:tcPr>
          <w:p w14:paraId="489E1394">
            <w:pPr>
              <w:jc w:val="center"/>
              <w:rPr>
                <w:szCs w:val="21"/>
              </w:rPr>
            </w:pPr>
            <w:r>
              <w:rPr>
                <w:rFonts w:hint="eastAsia"/>
                <w:szCs w:val="21"/>
              </w:rPr>
              <w:t>电脑主机</w:t>
            </w:r>
          </w:p>
        </w:tc>
        <w:tc>
          <w:tcPr>
            <w:tcW w:w="3262" w:type="dxa"/>
            <w:vAlign w:val="center"/>
          </w:tcPr>
          <w:p w14:paraId="579FD2BB">
            <w:pPr>
              <w:jc w:val="center"/>
              <w:rPr>
                <w:szCs w:val="21"/>
              </w:rPr>
            </w:pPr>
            <w:r>
              <w:rPr>
                <w:rFonts w:hint="eastAsia"/>
                <w:szCs w:val="21"/>
              </w:rPr>
              <w:t>品牌：至睿</w:t>
            </w:r>
          </w:p>
        </w:tc>
        <w:tc>
          <w:tcPr>
            <w:tcW w:w="1223" w:type="dxa"/>
            <w:vAlign w:val="center"/>
          </w:tcPr>
          <w:p w14:paraId="5EC93F3D">
            <w:pPr>
              <w:jc w:val="center"/>
              <w:rPr>
                <w:szCs w:val="21"/>
              </w:rPr>
            </w:pPr>
            <w:r>
              <w:rPr>
                <w:rFonts w:hint="eastAsia"/>
                <w:szCs w:val="21"/>
              </w:rPr>
              <w:t>台</w:t>
            </w:r>
          </w:p>
        </w:tc>
        <w:tc>
          <w:tcPr>
            <w:tcW w:w="754" w:type="dxa"/>
            <w:vAlign w:val="center"/>
          </w:tcPr>
          <w:p w14:paraId="4DEC0769">
            <w:pPr>
              <w:jc w:val="center"/>
              <w:rPr>
                <w:szCs w:val="21"/>
              </w:rPr>
            </w:pPr>
            <w:r>
              <w:rPr>
                <w:rFonts w:hint="eastAsia"/>
                <w:szCs w:val="21"/>
              </w:rPr>
              <w:t>1</w:t>
            </w:r>
          </w:p>
        </w:tc>
        <w:tc>
          <w:tcPr>
            <w:tcW w:w="1059" w:type="dxa"/>
            <w:vAlign w:val="center"/>
          </w:tcPr>
          <w:p w14:paraId="1F6486F0">
            <w:pPr>
              <w:jc w:val="center"/>
              <w:rPr>
                <w:szCs w:val="21"/>
              </w:rPr>
            </w:pPr>
            <w:r>
              <w:rPr>
                <w:rFonts w:hint="eastAsia"/>
                <w:szCs w:val="21"/>
              </w:rPr>
              <w:t>1999</w:t>
            </w:r>
          </w:p>
        </w:tc>
      </w:tr>
      <w:tr w14:paraId="173E2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6" w:type="dxa"/>
            <w:vAlign w:val="center"/>
          </w:tcPr>
          <w:p w14:paraId="5BEF9EDC">
            <w:pPr>
              <w:widowControl/>
              <w:jc w:val="center"/>
              <w:textAlignment w:val="center"/>
              <w:rPr>
                <w:rFonts w:eastAsia="宋体"/>
                <w:szCs w:val="21"/>
                <w:lang w:eastAsia="zh-Hans"/>
              </w:rPr>
            </w:pPr>
            <w:r>
              <w:rPr>
                <w:rFonts w:ascii="Calibri" w:hAnsi="Calibri" w:eastAsia="DengXian" w:cs="Calibri"/>
                <w:color w:val="000000"/>
                <w:kern w:val="0"/>
                <w:szCs w:val="21"/>
                <w:lang w:bidi="ar"/>
              </w:rPr>
              <w:t>19</w:t>
            </w:r>
          </w:p>
        </w:tc>
        <w:tc>
          <w:tcPr>
            <w:tcW w:w="1653" w:type="dxa"/>
            <w:vAlign w:val="center"/>
          </w:tcPr>
          <w:p w14:paraId="3884F1CF">
            <w:pPr>
              <w:jc w:val="center"/>
              <w:rPr>
                <w:szCs w:val="21"/>
              </w:rPr>
            </w:pPr>
            <w:r>
              <w:rPr>
                <w:rFonts w:hint="eastAsia"/>
                <w:szCs w:val="21"/>
              </w:rPr>
              <w:t>保险柜</w:t>
            </w:r>
          </w:p>
        </w:tc>
        <w:tc>
          <w:tcPr>
            <w:tcW w:w="3262" w:type="dxa"/>
            <w:vAlign w:val="center"/>
          </w:tcPr>
          <w:p w14:paraId="7E55F383">
            <w:pPr>
              <w:jc w:val="center"/>
              <w:rPr>
                <w:szCs w:val="21"/>
              </w:rPr>
            </w:pPr>
            <w:r>
              <w:rPr>
                <w:rFonts w:hint="eastAsia"/>
                <w:szCs w:val="21"/>
              </w:rPr>
              <w:t>品牌：黑石</w:t>
            </w:r>
          </w:p>
          <w:p w14:paraId="58D5BDA0">
            <w:pPr>
              <w:jc w:val="center"/>
              <w:rPr>
                <w:szCs w:val="21"/>
              </w:rPr>
            </w:pPr>
            <w:r>
              <w:rPr>
                <w:szCs w:val="21"/>
              </w:rPr>
              <w:t>0.43</w:t>
            </w:r>
            <w:r>
              <w:rPr>
                <w:rFonts w:hint="eastAsia"/>
                <w:szCs w:val="21"/>
              </w:rPr>
              <w:t>米</w:t>
            </w:r>
            <w:r>
              <w:rPr>
                <w:szCs w:val="21"/>
              </w:rPr>
              <w:t>*0.4</w:t>
            </w:r>
            <w:r>
              <w:rPr>
                <w:rFonts w:hint="eastAsia"/>
                <w:szCs w:val="21"/>
              </w:rPr>
              <w:t>米</w:t>
            </w:r>
            <w:r>
              <w:rPr>
                <w:szCs w:val="21"/>
              </w:rPr>
              <w:t>*0.8</w:t>
            </w:r>
            <w:r>
              <w:rPr>
                <w:rFonts w:hint="eastAsia"/>
                <w:szCs w:val="21"/>
              </w:rPr>
              <w:t>米</w:t>
            </w:r>
          </w:p>
        </w:tc>
        <w:tc>
          <w:tcPr>
            <w:tcW w:w="1223" w:type="dxa"/>
            <w:vAlign w:val="center"/>
          </w:tcPr>
          <w:p w14:paraId="65448C76">
            <w:pPr>
              <w:jc w:val="center"/>
              <w:rPr>
                <w:szCs w:val="21"/>
              </w:rPr>
            </w:pPr>
            <w:r>
              <w:rPr>
                <w:rFonts w:hint="eastAsia"/>
                <w:szCs w:val="21"/>
              </w:rPr>
              <w:t>个</w:t>
            </w:r>
          </w:p>
        </w:tc>
        <w:tc>
          <w:tcPr>
            <w:tcW w:w="754" w:type="dxa"/>
            <w:vAlign w:val="center"/>
          </w:tcPr>
          <w:p w14:paraId="45CB543B">
            <w:pPr>
              <w:jc w:val="center"/>
              <w:rPr>
                <w:szCs w:val="21"/>
              </w:rPr>
            </w:pPr>
            <w:r>
              <w:rPr>
                <w:szCs w:val="21"/>
              </w:rPr>
              <w:t>1</w:t>
            </w:r>
          </w:p>
        </w:tc>
        <w:tc>
          <w:tcPr>
            <w:tcW w:w="1059" w:type="dxa"/>
            <w:vAlign w:val="center"/>
          </w:tcPr>
          <w:p w14:paraId="3F9A6144">
            <w:pPr>
              <w:jc w:val="center"/>
              <w:rPr>
                <w:szCs w:val="21"/>
              </w:rPr>
            </w:pPr>
            <w:r>
              <w:rPr>
                <w:rFonts w:hint="eastAsia"/>
                <w:szCs w:val="21"/>
              </w:rPr>
              <w:t>1238</w:t>
            </w:r>
          </w:p>
        </w:tc>
      </w:tr>
      <w:tr w14:paraId="3B1BE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6" w:type="dxa"/>
            <w:vAlign w:val="center"/>
          </w:tcPr>
          <w:p w14:paraId="061987F3">
            <w:pPr>
              <w:widowControl/>
              <w:jc w:val="center"/>
              <w:textAlignment w:val="center"/>
              <w:rPr>
                <w:rFonts w:eastAsia="宋体"/>
                <w:szCs w:val="21"/>
                <w:lang w:eastAsia="zh-Hans"/>
              </w:rPr>
            </w:pPr>
            <w:r>
              <w:rPr>
                <w:rFonts w:ascii="Calibri" w:hAnsi="Calibri" w:eastAsia="DengXian" w:cs="Calibri"/>
                <w:color w:val="000000"/>
                <w:kern w:val="0"/>
                <w:szCs w:val="21"/>
                <w:lang w:bidi="ar"/>
              </w:rPr>
              <w:t>20</w:t>
            </w:r>
          </w:p>
        </w:tc>
        <w:tc>
          <w:tcPr>
            <w:tcW w:w="1653" w:type="dxa"/>
            <w:vAlign w:val="center"/>
          </w:tcPr>
          <w:p w14:paraId="5288FE14">
            <w:pPr>
              <w:jc w:val="center"/>
              <w:rPr>
                <w:szCs w:val="21"/>
              </w:rPr>
            </w:pPr>
            <w:r>
              <w:rPr>
                <w:rFonts w:hint="eastAsia"/>
                <w:szCs w:val="21"/>
              </w:rPr>
              <w:t>联想电脑一体机</w:t>
            </w:r>
          </w:p>
        </w:tc>
        <w:tc>
          <w:tcPr>
            <w:tcW w:w="3262" w:type="dxa"/>
            <w:vAlign w:val="center"/>
          </w:tcPr>
          <w:p w14:paraId="6B57E454">
            <w:pPr>
              <w:jc w:val="center"/>
              <w:rPr>
                <w:szCs w:val="21"/>
              </w:rPr>
            </w:pPr>
            <w:r>
              <w:rPr>
                <w:rFonts w:hint="eastAsia"/>
                <w:szCs w:val="21"/>
              </w:rPr>
              <w:t>品牌：Lenovo</w:t>
            </w:r>
          </w:p>
          <w:p w14:paraId="7807A808">
            <w:pPr>
              <w:jc w:val="center"/>
              <w:rPr>
                <w:szCs w:val="21"/>
              </w:rPr>
            </w:pPr>
            <w:r>
              <w:rPr>
                <w:rFonts w:hint="eastAsia"/>
                <w:szCs w:val="21"/>
              </w:rPr>
              <w:t>型号：6C7XV-Qm9GJ-DMRHV-HQQ7W-JBTF9X16-96081</w:t>
            </w:r>
          </w:p>
        </w:tc>
        <w:tc>
          <w:tcPr>
            <w:tcW w:w="1223" w:type="dxa"/>
            <w:vAlign w:val="center"/>
          </w:tcPr>
          <w:p w14:paraId="3B4B1840">
            <w:pPr>
              <w:jc w:val="center"/>
              <w:rPr>
                <w:szCs w:val="21"/>
              </w:rPr>
            </w:pPr>
            <w:r>
              <w:rPr>
                <w:rFonts w:hint="eastAsia"/>
                <w:szCs w:val="21"/>
              </w:rPr>
              <w:t>台</w:t>
            </w:r>
          </w:p>
        </w:tc>
        <w:tc>
          <w:tcPr>
            <w:tcW w:w="754" w:type="dxa"/>
            <w:vAlign w:val="center"/>
          </w:tcPr>
          <w:p w14:paraId="245ED1CC">
            <w:pPr>
              <w:jc w:val="center"/>
              <w:rPr>
                <w:szCs w:val="21"/>
              </w:rPr>
            </w:pPr>
            <w:r>
              <w:rPr>
                <w:rFonts w:hint="eastAsia"/>
                <w:szCs w:val="21"/>
              </w:rPr>
              <w:t>1</w:t>
            </w:r>
          </w:p>
        </w:tc>
        <w:tc>
          <w:tcPr>
            <w:tcW w:w="1059" w:type="dxa"/>
            <w:vAlign w:val="center"/>
          </w:tcPr>
          <w:p w14:paraId="71755087">
            <w:pPr>
              <w:jc w:val="center"/>
              <w:rPr>
                <w:szCs w:val="21"/>
              </w:rPr>
            </w:pPr>
            <w:r>
              <w:rPr>
                <w:rFonts w:hint="eastAsia"/>
                <w:szCs w:val="21"/>
              </w:rPr>
              <w:t>743</w:t>
            </w:r>
          </w:p>
        </w:tc>
      </w:tr>
      <w:tr w14:paraId="25248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6" w:type="dxa"/>
            <w:vAlign w:val="center"/>
          </w:tcPr>
          <w:p w14:paraId="308F9498">
            <w:pPr>
              <w:widowControl/>
              <w:jc w:val="center"/>
              <w:textAlignment w:val="center"/>
              <w:rPr>
                <w:rFonts w:eastAsia="宋体"/>
                <w:szCs w:val="21"/>
                <w:lang w:eastAsia="zh-Hans"/>
              </w:rPr>
            </w:pPr>
            <w:r>
              <w:rPr>
                <w:rFonts w:ascii="Calibri" w:hAnsi="Calibri" w:eastAsia="DengXian" w:cs="Calibri"/>
                <w:color w:val="000000"/>
                <w:kern w:val="0"/>
                <w:szCs w:val="21"/>
                <w:lang w:bidi="ar"/>
              </w:rPr>
              <w:t>21</w:t>
            </w:r>
          </w:p>
        </w:tc>
        <w:tc>
          <w:tcPr>
            <w:tcW w:w="1653" w:type="dxa"/>
            <w:vAlign w:val="center"/>
          </w:tcPr>
          <w:p w14:paraId="2D3945D4">
            <w:pPr>
              <w:jc w:val="center"/>
              <w:rPr>
                <w:szCs w:val="21"/>
              </w:rPr>
            </w:pPr>
            <w:r>
              <w:rPr>
                <w:rFonts w:hint="eastAsia"/>
                <w:szCs w:val="21"/>
              </w:rPr>
              <w:t>电脑主机</w:t>
            </w:r>
          </w:p>
        </w:tc>
        <w:tc>
          <w:tcPr>
            <w:tcW w:w="3262" w:type="dxa"/>
            <w:vAlign w:val="center"/>
          </w:tcPr>
          <w:p w14:paraId="20F3E0BB">
            <w:pPr>
              <w:jc w:val="center"/>
              <w:rPr>
                <w:szCs w:val="21"/>
              </w:rPr>
            </w:pPr>
            <w:r>
              <w:rPr>
                <w:rFonts w:hint="eastAsia"/>
                <w:szCs w:val="21"/>
              </w:rPr>
              <w:t>品牌：Lenovo</w:t>
            </w:r>
          </w:p>
          <w:p w14:paraId="3BF16C68">
            <w:pPr>
              <w:jc w:val="center"/>
              <w:rPr>
                <w:szCs w:val="21"/>
              </w:rPr>
            </w:pPr>
            <w:r>
              <w:rPr>
                <w:rFonts w:hint="eastAsia"/>
                <w:szCs w:val="21"/>
              </w:rPr>
              <w:t>型号：万金 T20</w:t>
            </w:r>
          </w:p>
        </w:tc>
        <w:tc>
          <w:tcPr>
            <w:tcW w:w="1223" w:type="dxa"/>
            <w:vAlign w:val="center"/>
          </w:tcPr>
          <w:p w14:paraId="10F318E8">
            <w:pPr>
              <w:jc w:val="center"/>
              <w:rPr>
                <w:szCs w:val="21"/>
              </w:rPr>
            </w:pPr>
            <w:r>
              <w:rPr>
                <w:rFonts w:hint="eastAsia"/>
                <w:szCs w:val="21"/>
              </w:rPr>
              <w:t>台</w:t>
            </w:r>
          </w:p>
        </w:tc>
        <w:tc>
          <w:tcPr>
            <w:tcW w:w="754" w:type="dxa"/>
            <w:vAlign w:val="center"/>
          </w:tcPr>
          <w:p w14:paraId="31CDF924">
            <w:pPr>
              <w:jc w:val="center"/>
              <w:rPr>
                <w:szCs w:val="21"/>
              </w:rPr>
            </w:pPr>
            <w:r>
              <w:rPr>
                <w:rFonts w:hint="eastAsia"/>
                <w:szCs w:val="21"/>
              </w:rPr>
              <w:t>1</w:t>
            </w:r>
          </w:p>
        </w:tc>
        <w:tc>
          <w:tcPr>
            <w:tcW w:w="1059" w:type="dxa"/>
            <w:vAlign w:val="center"/>
          </w:tcPr>
          <w:p w14:paraId="36768994">
            <w:pPr>
              <w:jc w:val="center"/>
              <w:rPr>
                <w:szCs w:val="21"/>
              </w:rPr>
            </w:pPr>
            <w:r>
              <w:rPr>
                <w:rFonts w:hint="eastAsia"/>
                <w:szCs w:val="21"/>
              </w:rPr>
              <w:t>1678</w:t>
            </w:r>
          </w:p>
        </w:tc>
      </w:tr>
      <w:tr w14:paraId="5BB3F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6" w:type="dxa"/>
            <w:vAlign w:val="center"/>
          </w:tcPr>
          <w:p w14:paraId="4A8850F5">
            <w:pPr>
              <w:widowControl/>
              <w:jc w:val="center"/>
              <w:textAlignment w:val="center"/>
              <w:rPr>
                <w:rFonts w:ascii="Calibri" w:hAnsi="Calibri" w:eastAsia="DengXian" w:cs="Calibri"/>
                <w:color w:val="000000"/>
                <w:kern w:val="0"/>
                <w:szCs w:val="21"/>
                <w:lang w:bidi="ar"/>
              </w:rPr>
            </w:pPr>
            <w:r>
              <w:rPr>
                <w:rFonts w:ascii="Calibri" w:hAnsi="Calibri" w:eastAsia="DengXian" w:cs="Calibri"/>
                <w:color w:val="000000"/>
                <w:kern w:val="0"/>
                <w:szCs w:val="21"/>
                <w:lang w:bidi="ar"/>
              </w:rPr>
              <w:t>22</w:t>
            </w:r>
          </w:p>
        </w:tc>
        <w:tc>
          <w:tcPr>
            <w:tcW w:w="1653" w:type="dxa"/>
            <w:vAlign w:val="center"/>
          </w:tcPr>
          <w:p w14:paraId="69367FDB">
            <w:pPr>
              <w:jc w:val="center"/>
              <w:rPr>
                <w:szCs w:val="21"/>
              </w:rPr>
            </w:pPr>
            <w:r>
              <w:rPr>
                <w:rFonts w:hint="eastAsia"/>
                <w:szCs w:val="21"/>
              </w:rPr>
              <w:t>温湿度传感器</w:t>
            </w:r>
          </w:p>
        </w:tc>
        <w:tc>
          <w:tcPr>
            <w:tcW w:w="3262" w:type="dxa"/>
            <w:vAlign w:val="center"/>
          </w:tcPr>
          <w:p w14:paraId="718AD2D8">
            <w:pPr>
              <w:jc w:val="center"/>
              <w:rPr>
                <w:szCs w:val="21"/>
              </w:rPr>
            </w:pPr>
            <w:r>
              <w:rPr>
                <w:rFonts w:hint="eastAsia"/>
                <w:szCs w:val="21"/>
              </w:rPr>
              <w:t>品牌：TURNLEAD</w:t>
            </w:r>
          </w:p>
        </w:tc>
        <w:tc>
          <w:tcPr>
            <w:tcW w:w="1223" w:type="dxa"/>
            <w:vAlign w:val="center"/>
          </w:tcPr>
          <w:p w14:paraId="0741D642">
            <w:pPr>
              <w:jc w:val="center"/>
              <w:rPr>
                <w:szCs w:val="21"/>
              </w:rPr>
            </w:pPr>
            <w:r>
              <w:rPr>
                <w:rFonts w:hint="eastAsia"/>
                <w:szCs w:val="21"/>
              </w:rPr>
              <w:t>个</w:t>
            </w:r>
          </w:p>
        </w:tc>
        <w:tc>
          <w:tcPr>
            <w:tcW w:w="754" w:type="dxa"/>
            <w:vAlign w:val="center"/>
          </w:tcPr>
          <w:p w14:paraId="65EEB587">
            <w:pPr>
              <w:jc w:val="center"/>
              <w:rPr>
                <w:szCs w:val="21"/>
              </w:rPr>
            </w:pPr>
            <w:r>
              <w:rPr>
                <w:rFonts w:hint="eastAsia"/>
                <w:szCs w:val="21"/>
              </w:rPr>
              <w:t>1</w:t>
            </w:r>
            <w:r>
              <w:rPr>
                <w:szCs w:val="21"/>
              </w:rPr>
              <w:t>4</w:t>
            </w:r>
          </w:p>
        </w:tc>
        <w:tc>
          <w:tcPr>
            <w:tcW w:w="1059" w:type="dxa"/>
            <w:vAlign w:val="center"/>
          </w:tcPr>
          <w:p w14:paraId="385A4D81">
            <w:pPr>
              <w:jc w:val="center"/>
              <w:rPr>
                <w:szCs w:val="21"/>
              </w:rPr>
            </w:pPr>
            <w:r>
              <w:rPr>
                <w:rFonts w:hint="eastAsia"/>
                <w:szCs w:val="21"/>
              </w:rPr>
              <w:t>3</w:t>
            </w:r>
            <w:r>
              <w:rPr>
                <w:szCs w:val="21"/>
              </w:rPr>
              <w:t>780</w:t>
            </w:r>
          </w:p>
        </w:tc>
      </w:tr>
      <w:tr w14:paraId="6F481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6" w:type="dxa"/>
            <w:vAlign w:val="center"/>
          </w:tcPr>
          <w:p w14:paraId="22C38714">
            <w:pPr>
              <w:widowControl/>
              <w:jc w:val="center"/>
              <w:textAlignment w:val="center"/>
              <w:rPr>
                <w:rFonts w:ascii="Calibri" w:hAnsi="Calibri" w:eastAsia="DengXian" w:cs="Calibri"/>
                <w:color w:val="000000"/>
                <w:kern w:val="0"/>
                <w:szCs w:val="21"/>
                <w:lang w:bidi="ar"/>
              </w:rPr>
            </w:pPr>
            <w:r>
              <w:rPr>
                <w:rFonts w:hint="eastAsia" w:ascii="Calibri" w:hAnsi="Calibri" w:eastAsia="DengXian" w:cs="Calibri"/>
                <w:color w:val="000000"/>
                <w:kern w:val="0"/>
                <w:szCs w:val="21"/>
                <w:lang w:bidi="ar"/>
              </w:rPr>
              <w:t>2</w:t>
            </w:r>
            <w:r>
              <w:rPr>
                <w:rFonts w:ascii="Calibri" w:hAnsi="Calibri" w:eastAsia="DengXian" w:cs="Calibri"/>
                <w:color w:val="000000"/>
                <w:kern w:val="0"/>
                <w:szCs w:val="21"/>
                <w:lang w:bidi="ar"/>
              </w:rPr>
              <w:t>3</w:t>
            </w:r>
          </w:p>
        </w:tc>
        <w:tc>
          <w:tcPr>
            <w:tcW w:w="1653" w:type="dxa"/>
            <w:vAlign w:val="center"/>
          </w:tcPr>
          <w:p w14:paraId="3777E30E">
            <w:pPr>
              <w:jc w:val="center"/>
              <w:rPr>
                <w:szCs w:val="21"/>
              </w:rPr>
            </w:pPr>
            <w:r>
              <w:rPr>
                <w:rFonts w:hint="eastAsia"/>
                <w:szCs w:val="21"/>
              </w:rPr>
              <w:t>红酒</w:t>
            </w:r>
          </w:p>
        </w:tc>
        <w:tc>
          <w:tcPr>
            <w:tcW w:w="3262" w:type="dxa"/>
            <w:vAlign w:val="center"/>
          </w:tcPr>
          <w:p w14:paraId="32B16A8C">
            <w:pPr>
              <w:jc w:val="center"/>
              <w:rPr>
                <w:szCs w:val="21"/>
              </w:rPr>
            </w:pPr>
            <w:r>
              <w:rPr>
                <w:rFonts w:hint="eastAsia"/>
                <w:szCs w:val="21"/>
              </w:rPr>
              <w:t>品牌：THORN</w:t>
            </w:r>
            <w:r>
              <w:rPr>
                <w:szCs w:val="21"/>
              </w:rPr>
              <w:t>-</w:t>
            </w:r>
            <w:r>
              <w:rPr>
                <w:rFonts w:hint="eastAsia"/>
                <w:szCs w:val="21"/>
              </w:rPr>
              <w:t>CLARKE</w:t>
            </w:r>
          </w:p>
        </w:tc>
        <w:tc>
          <w:tcPr>
            <w:tcW w:w="1223" w:type="dxa"/>
            <w:vAlign w:val="center"/>
          </w:tcPr>
          <w:p w14:paraId="7C2B47CF">
            <w:pPr>
              <w:jc w:val="center"/>
              <w:rPr>
                <w:szCs w:val="21"/>
              </w:rPr>
            </w:pPr>
            <w:r>
              <w:rPr>
                <w:rFonts w:hint="eastAsia"/>
                <w:szCs w:val="21"/>
              </w:rPr>
              <w:t>箱</w:t>
            </w:r>
          </w:p>
        </w:tc>
        <w:tc>
          <w:tcPr>
            <w:tcW w:w="754" w:type="dxa"/>
            <w:vAlign w:val="center"/>
          </w:tcPr>
          <w:p w14:paraId="766883B8">
            <w:pPr>
              <w:jc w:val="center"/>
              <w:rPr>
                <w:szCs w:val="21"/>
              </w:rPr>
            </w:pPr>
            <w:r>
              <w:rPr>
                <w:rFonts w:hint="eastAsia"/>
                <w:szCs w:val="21"/>
              </w:rPr>
              <w:t>2</w:t>
            </w:r>
          </w:p>
        </w:tc>
        <w:tc>
          <w:tcPr>
            <w:tcW w:w="1059" w:type="dxa"/>
            <w:vAlign w:val="center"/>
          </w:tcPr>
          <w:p w14:paraId="38C00504">
            <w:pPr>
              <w:jc w:val="center"/>
              <w:rPr>
                <w:szCs w:val="21"/>
              </w:rPr>
            </w:pPr>
            <w:r>
              <w:rPr>
                <w:rFonts w:hint="eastAsia"/>
                <w:szCs w:val="21"/>
              </w:rPr>
              <w:t>2</w:t>
            </w:r>
            <w:r>
              <w:rPr>
                <w:szCs w:val="21"/>
              </w:rPr>
              <w:t>520</w:t>
            </w:r>
          </w:p>
        </w:tc>
      </w:tr>
      <w:tr w14:paraId="50D25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6" w:type="dxa"/>
            <w:vAlign w:val="center"/>
          </w:tcPr>
          <w:p w14:paraId="7D976CA7">
            <w:pPr>
              <w:widowControl/>
              <w:jc w:val="center"/>
              <w:textAlignment w:val="center"/>
              <w:rPr>
                <w:rFonts w:eastAsia="宋体"/>
                <w:szCs w:val="21"/>
                <w:lang w:eastAsia="zh-Hans"/>
              </w:rPr>
            </w:pPr>
            <w:r>
              <w:rPr>
                <w:rFonts w:ascii="Calibri" w:hAnsi="Calibri" w:eastAsia="DengXian" w:cs="Calibri"/>
                <w:color w:val="000000"/>
                <w:kern w:val="0"/>
                <w:szCs w:val="21"/>
                <w:lang w:bidi="ar"/>
              </w:rPr>
              <w:t>24</w:t>
            </w:r>
          </w:p>
        </w:tc>
        <w:tc>
          <w:tcPr>
            <w:tcW w:w="1653" w:type="dxa"/>
            <w:vAlign w:val="center"/>
          </w:tcPr>
          <w:p w14:paraId="304A7599">
            <w:pPr>
              <w:jc w:val="center"/>
              <w:rPr>
                <w:szCs w:val="21"/>
              </w:rPr>
            </w:pPr>
            <w:r>
              <w:rPr>
                <w:rFonts w:hint="eastAsia"/>
                <w:szCs w:val="21"/>
              </w:rPr>
              <w:t>风扇</w:t>
            </w:r>
          </w:p>
        </w:tc>
        <w:tc>
          <w:tcPr>
            <w:tcW w:w="3262" w:type="dxa"/>
            <w:vAlign w:val="center"/>
          </w:tcPr>
          <w:p w14:paraId="63BF56CD">
            <w:pPr>
              <w:jc w:val="center"/>
              <w:rPr>
                <w:szCs w:val="21"/>
              </w:rPr>
            </w:pPr>
            <w:r>
              <w:rPr>
                <w:rFonts w:hint="eastAsia"/>
                <w:szCs w:val="21"/>
              </w:rPr>
              <w:t>不详</w:t>
            </w:r>
          </w:p>
        </w:tc>
        <w:tc>
          <w:tcPr>
            <w:tcW w:w="1223" w:type="dxa"/>
            <w:vAlign w:val="center"/>
          </w:tcPr>
          <w:p w14:paraId="6F32535C">
            <w:pPr>
              <w:jc w:val="center"/>
              <w:rPr>
                <w:szCs w:val="21"/>
              </w:rPr>
            </w:pPr>
            <w:r>
              <w:rPr>
                <w:rFonts w:hint="eastAsia"/>
                <w:szCs w:val="21"/>
              </w:rPr>
              <w:t>台</w:t>
            </w:r>
          </w:p>
        </w:tc>
        <w:tc>
          <w:tcPr>
            <w:tcW w:w="754" w:type="dxa"/>
            <w:vAlign w:val="center"/>
          </w:tcPr>
          <w:p w14:paraId="53E9E534">
            <w:pPr>
              <w:jc w:val="center"/>
              <w:rPr>
                <w:szCs w:val="21"/>
              </w:rPr>
            </w:pPr>
            <w:r>
              <w:rPr>
                <w:rFonts w:hint="eastAsia"/>
                <w:szCs w:val="21"/>
              </w:rPr>
              <w:t>1</w:t>
            </w:r>
          </w:p>
        </w:tc>
        <w:tc>
          <w:tcPr>
            <w:tcW w:w="1059" w:type="dxa"/>
            <w:vAlign w:val="center"/>
          </w:tcPr>
          <w:p w14:paraId="021FBE73">
            <w:pPr>
              <w:jc w:val="center"/>
              <w:rPr>
                <w:szCs w:val="21"/>
              </w:rPr>
            </w:pPr>
            <w:r>
              <w:rPr>
                <w:rFonts w:hint="eastAsia"/>
                <w:szCs w:val="21"/>
              </w:rPr>
              <w:t>1</w:t>
            </w:r>
            <w:r>
              <w:rPr>
                <w:szCs w:val="21"/>
              </w:rPr>
              <w:t>09</w:t>
            </w:r>
          </w:p>
        </w:tc>
      </w:tr>
      <w:tr w14:paraId="3A0AD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6" w:type="dxa"/>
            <w:vAlign w:val="center"/>
          </w:tcPr>
          <w:p w14:paraId="41461CF2">
            <w:pPr>
              <w:widowControl/>
              <w:jc w:val="center"/>
              <w:textAlignment w:val="center"/>
              <w:rPr>
                <w:rFonts w:eastAsia="宋体"/>
                <w:szCs w:val="21"/>
              </w:rPr>
            </w:pPr>
            <w:r>
              <w:rPr>
                <w:rFonts w:hint="eastAsia" w:eastAsia="宋体"/>
                <w:szCs w:val="21"/>
              </w:rPr>
              <w:t>2</w:t>
            </w:r>
            <w:r>
              <w:rPr>
                <w:rFonts w:eastAsia="宋体"/>
                <w:szCs w:val="21"/>
              </w:rPr>
              <w:t>5</w:t>
            </w:r>
          </w:p>
        </w:tc>
        <w:tc>
          <w:tcPr>
            <w:tcW w:w="1653" w:type="dxa"/>
            <w:vAlign w:val="center"/>
          </w:tcPr>
          <w:p w14:paraId="677C8230">
            <w:pPr>
              <w:jc w:val="center"/>
              <w:rPr>
                <w:szCs w:val="21"/>
              </w:rPr>
            </w:pPr>
            <w:r>
              <w:rPr>
                <w:rFonts w:hint="eastAsia"/>
                <w:szCs w:val="21"/>
              </w:rPr>
              <w:t>验钞机</w:t>
            </w:r>
          </w:p>
        </w:tc>
        <w:tc>
          <w:tcPr>
            <w:tcW w:w="3262" w:type="dxa"/>
            <w:vAlign w:val="center"/>
          </w:tcPr>
          <w:p w14:paraId="3D606F5D">
            <w:pPr>
              <w:jc w:val="center"/>
              <w:rPr>
                <w:szCs w:val="21"/>
              </w:rPr>
            </w:pPr>
            <w:r>
              <w:rPr>
                <w:rFonts w:hint="eastAsia"/>
                <w:szCs w:val="21"/>
              </w:rPr>
              <w:t>不详</w:t>
            </w:r>
          </w:p>
        </w:tc>
        <w:tc>
          <w:tcPr>
            <w:tcW w:w="1223" w:type="dxa"/>
            <w:vAlign w:val="center"/>
          </w:tcPr>
          <w:p w14:paraId="3C44DF77">
            <w:pPr>
              <w:jc w:val="center"/>
              <w:rPr>
                <w:szCs w:val="21"/>
              </w:rPr>
            </w:pPr>
            <w:r>
              <w:rPr>
                <w:rFonts w:hint="eastAsia"/>
                <w:szCs w:val="21"/>
              </w:rPr>
              <w:t>台</w:t>
            </w:r>
          </w:p>
        </w:tc>
        <w:tc>
          <w:tcPr>
            <w:tcW w:w="754" w:type="dxa"/>
            <w:vAlign w:val="center"/>
          </w:tcPr>
          <w:p w14:paraId="47832229">
            <w:pPr>
              <w:jc w:val="center"/>
              <w:rPr>
                <w:szCs w:val="21"/>
              </w:rPr>
            </w:pPr>
            <w:r>
              <w:rPr>
                <w:rFonts w:hint="eastAsia"/>
                <w:szCs w:val="21"/>
              </w:rPr>
              <w:t>1</w:t>
            </w:r>
          </w:p>
        </w:tc>
        <w:tc>
          <w:tcPr>
            <w:tcW w:w="1059" w:type="dxa"/>
            <w:vAlign w:val="center"/>
          </w:tcPr>
          <w:p w14:paraId="4741CC41">
            <w:pPr>
              <w:jc w:val="center"/>
              <w:rPr>
                <w:szCs w:val="21"/>
              </w:rPr>
            </w:pPr>
            <w:r>
              <w:rPr>
                <w:rFonts w:hint="eastAsia"/>
                <w:szCs w:val="21"/>
              </w:rPr>
              <w:t>2</w:t>
            </w:r>
            <w:r>
              <w:rPr>
                <w:szCs w:val="21"/>
              </w:rPr>
              <w:t>70</w:t>
            </w:r>
          </w:p>
        </w:tc>
      </w:tr>
    </w:tbl>
    <w:p w14:paraId="017DD0A4">
      <w:pPr>
        <w:pStyle w:val="6"/>
        <w:widowControl/>
        <w:spacing w:beforeAutospacing="0" w:afterAutospacing="0" w:line="360" w:lineRule="auto"/>
        <w:ind w:firstLine="482"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上述标的物的情况及估值等仅供参考，不视为管理人对其型号、新旧程度、性能好坏、设备现状等的保证。管理人对上述情况不作担保，所涉及的问题不影响拍卖成交结果及成交价格。</w:t>
      </w:r>
    </w:p>
    <w:p w14:paraId="39B5DEDF">
      <w:pPr>
        <w:pStyle w:val="6"/>
        <w:widowControl/>
        <w:spacing w:beforeAutospacing="0" w:afterAutospacing="0" w:line="360" w:lineRule="auto"/>
        <w:ind w:firstLine="480"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对上述标的物权属有异议者，请于</w:t>
      </w:r>
      <w:r>
        <w:rPr>
          <w:rFonts w:hint="eastAsia" w:ascii="宋体" w:hAnsi="宋体" w:eastAsia="宋体" w:cs="宋体"/>
          <w:b/>
          <w:bCs/>
          <w:color w:val="000000" w:themeColor="text1"/>
          <w14:textFill>
            <w14:solidFill>
              <w14:schemeClr w14:val="tx1"/>
            </w14:solidFill>
          </w14:textFill>
        </w:rPr>
        <w:t>2024年</w:t>
      </w:r>
      <w:r>
        <w:rPr>
          <w:rFonts w:hint="eastAsia" w:ascii="宋体" w:hAnsi="宋体" w:eastAsia="宋体" w:cs="宋体"/>
          <w:b/>
          <w:bCs/>
          <w:color w:val="000000" w:themeColor="text1"/>
          <w:lang w:val="en-US" w:eastAsia="zh-CN"/>
          <w14:textFill>
            <w14:solidFill>
              <w14:schemeClr w14:val="tx1"/>
            </w14:solidFill>
          </w14:textFill>
        </w:rPr>
        <w:t>12</w:t>
      </w:r>
      <w:r>
        <w:rPr>
          <w:rFonts w:hint="eastAsia" w:ascii="宋体" w:hAnsi="宋体" w:eastAsia="宋体" w:cs="宋体"/>
          <w:b/>
          <w:bCs/>
          <w:color w:val="000000" w:themeColor="text1"/>
          <w14:textFill>
            <w14:solidFill>
              <w14:schemeClr w14:val="tx1"/>
            </w14:solidFill>
          </w14:textFill>
        </w:rPr>
        <w:t>月</w:t>
      </w:r>
      <w:r>
        <w:rPr>
          <w:rFonts w:hint="eastAsia" w:ascii="宋体" w:hAnsi="宋体" w:eastAsia="宋体" w:cs="宋体"/>
          <w:b/>
          <w:bCs/>
          <w:color w:val="000000" w:themeColor="text1"/>
          <w:lang w:val="en-US" w:eastAsia="zh-CN"/>
          <w14:textFill>
            <w14:solidFill>
              <w14:schemeClr w14:val="tx1"/>
            </w14:solidFill>
          </w14:textFill>
        </w:rPr>
        <w:t>1</w:t>
      </w:r>
      <w:r>
        <w:rPr>
          <w:rFonts w:hint="eastAsia" w:ascii="宋体" w:hAnsi="宋体" w:eastAsia="宋体" w:cs="宋体"/>
          <w:b/>
          <w:bCs/>
          <w:color w:val="000000" w:themeColor="text1"/>
          <w14:textFill>
            <w14:solidFill>
              <w14:schemeClr w14:val="tx1"/>
            </w14:solidFill>
          </w14:textFill>
        </w:rPr>
        <w:t>9日前</w:t>
      </w:r>
      <w:r>
        <w:rPr>
          <w:rFonts w:hint="eastAsia" w:ascii="宋体" w:hAnsi="宋体" w:eastAsia="宋体" w:cs="宋体"/>
          <w:color w:val="000000" w:themeColor="text1"/>
          <w14:textFill>
            <w14:solidFill>
              <w14:schemeClr w14:val="tx1"/>
            </w14:solidFill>
          </w14:textFill>
        </w:rPr>
        <w:t>向管理人提出书面异议，联系方式：周律师，</w:t>
      </w:r>
      <w:r>
        <w:rPr>
          <w:rFonts w:ascii="宋体" w:hAnsi="宋体" w:eastAsia="宋体" w:cs="宋体"/>
          <w:color w:val="000000" w:themeColor="text1"/>
          <w14:textFill>
            <w14:solidFill>
              <w14:schemeClr w14:val="tx1"/>
            </w14:solidFill>
          </w14:textFill>
        </w:rPr>
        <w:t>1555881</w:t>
      </w:r>
      <w:r>
        <w:rPr>
          <w:rFonts w:hint="eastAsia" w:ascii="宋体" w:hAnsi="宋体" w:eastAsia="宋体" w:cs="宋体"/>
          <w:color w:val="000000" w:themeColor="text1"/>
          <w14:textFill>
            <w14:solidFill>
              <w14:schemeClr w14:val="tx1"/>
            </w14:solidFill>
          </w14:textFill>
        </w:rPr>
        <w:t>5</w:t>
      </w:r>
      <w:r>
        <w:rPr>
          <w:rFonts w:ascii="宋体" w:hAnsi="宋体" w:eastAsia="宋体" w:cs="宋体"/>
          <w:color w:val="000000" w:themeColor="text1"/>
          <w14:textFill>
            <w14:solidFill>
              <w14:schemeClr w14:val="tx1"/>
            </w14:solidFill>
          </w14:textFill>
        </w:rPr>
        <w:t>578</w:t>
      </w:r>
      <w:r>
        <w:rPr>
          <w:rFonts w:hint="eastAsia" w:ascii="宋体" w:hAnsi="宋体" w:eastAsia="宋体" w:cs="宋体"/>
          <w:color w:val="000000" w:themeColor="text1"/>
          <w14:textFill>
            <w14:solidFill>
              <w14:schemeClr w14:val="tx1"/>
            </w14:solidFill>
          </w14:textFill>
        </w:rPr>
        <w:t>；金律师，1</w:t>
      </w:r>
      <w:r>
        <w:rPr>
          <w:rFonts w:ascii="宋体" w:hAnsi="宋体" w:eastAsia="宋体" w:cs="宋体"/>
          <w:color w:val="000000" w:themeColor="text1"/>
          <w14:textFill>
            <w14:solidFill>
              <w14:schemeClr w14:val="tx1"/>
            </w14:solidFill>
          </w14:textFill>
        </w:rPr>
        <w:t>5958012283</w:t>
      </w:r>
      <w:r>
        <w:rPr>
          <w:rFonts w:hint="eastAsia" w:ascii="宋体" w:hAnsi="宋体" w:eastAsia="宋体" w:cs="宋体"/>
          <w:color w:val="000000" w:themeColor="text1"/>
          <w14:textFill>
            <w14:solidFill>
              <w14:schemeClr w14:val="tx1"/>
            </w14:solidFill>
          </w14:textFill>
        </w:rPr>
        <w:t>。</w:t>
      </w:r>
    </w:p>
    <w:p w14:paraId="0612AB62">
      <w:pPr>
        <w:pStyle w:val="6"/>
        <w:widowControl/>
        <w:spacing w:beforeAutospacing="0" w:afterAutospacing="0" w:line="360" w:lineRule="auto"/>
        <w:ind w:firstLine="482" w:firstLineChars="200"/>
        <w:rPr>
          <w:rFonts w:ascii="宋体" w:hAnsi="宋体" w:eastAsia="宋体" w:cs="宋体"/>
          <w:b/>
          <w:bCs/>
          <w:color w:val="C00000"/>
        </w:rPr>
      </w:pPr>
      <w:r>
        <w:rPr>
          <w:rFonts w:hint="eastAsia" w:ascii="黑体" w:hAnsi="黑体" w:eastAsia="黑体" w:cs="黑体"/>
          <w:b/>
          <w:bCs/>
          <w:color w:val="C00000"/>
          <w:lang w:bidi="ar"/>
        </w:rPr>
        <w:t>2.</w:t>
      </w:r>
      <w:r>
        <w:rPr>
          <w:rFonts w:hint="eastAsia" w:ascii="宋体" w:hAnsi="宋体" w:eastAsia="宋体" w:cs="宋体"/>
          <w:b/>
          <w:bCs/>
          <w:color w:val="C00000"/>
        </w:rPr>
        <w:t>评估价格：</w:t>
      </w:r>
      <w:r>
        <w:rPr>
          <w:rFonts w:ascii="宋体" w:hAnsi="宋体" w:eastAsia="宋体" w:cs="宋体"/>
          <w:b/>
          <w:bCs/>
          <w:color w:val="C00000"/>
        </w:rPr>
        <w:t>34011</w:t>
      </w:r>
      <w:r>
        <w:rPr>
          <w:rFonts w:hint="eastAsia" w:ascii="宋体" w:hAnsi="宋体" w:eastAsia="宋体" w:cs="宋体"/>
          <w:b/>
          <w:bCs/>
          <w:color w:val="C00000"/>
        </w:rPr>
        <w:t>元，起拍价：</w:t>
      </w:r>
      <w:r>
        <w:rPr>
          <w:rFonts w:hint="eastAsia" w:ascii="宋体" w:hAnsi="宋体" w:eastAsia="宋体" w:cs="宋体"/>
          <w:b/>
          <w:bCs/>
          <w:color w:val="C00000"/>
          <w:lang w:val="en-US" w:eastAsia="zh-CN"/>
        </w:rPr>
        <w:t>4564.89</w:t>
      </w:r>
      <w:r>
        <w:rPr>
          <w:rFonts w:hint="eastAsia" w:ascii="宋体" w:hAnsi="宋体" w:eastAsia="宋体" w:cs="宋体"/>
          <w:b/>
          <w:bCs/>
          <w:color w:val="C00000"/>
        </w:rPr>
        <w:t>元，保证金：</w:t>
      </w:r>
      <w:r>
        <w:rPr>
          <w:rFonts w:hint="eastAsia" w:ascii="宋体" w:hAnsi="宋体" w:eastAsia="宋体" w:cs="宋体"/>
          <w:b/>
          <w:bCs/>
          <w:color w:val="C00000"/>
          <w:lang w:val="en-US" w:eastAsia="zh-CN"/>
        </w:rPr>
        <w:t>912.98</w:t>
      </w:r>
      <w:r>
        <w:rPr>
          <w:rFonts w:hint="eastAsia" w:ascii="宋体" w:hAnsi="宋体" w:eastAsia="宋体" w:cs="宋体"/>
          <w:b/>
          <w:bCs/>
          <w:color w:val="C00000"/>
        </w:rPr>
        <w:t>元，增价幅度：500元及其整数倍。</w:t>
      </w:r>
    </w:p>
    <w:p w14:paraId="48CF76EA">
      <w:pPr>
        <w:pStyle w:val="6"/>
        <w:widowControl/>
        <w:spacing w:beforeAutospacing="0" w:afterAutospacing="0" w:line="360" w:lineRule="auto"/>
        <w:ind w:firstLine="482" w:firstLineChars="200"/>
        <w:rPr>
          <w:rFonts w:ascii="宋体" w:hAnsi="宋体" w:eastAsia="宋体" w:cs="宋体"/>
          <w:b/>
          <w:bCs/>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3.</w:t>
      </w:r>
      <w:r>
        <w:rPr>
          <w:rFonts w:hint="eastAsia" w:ascii="宋体" w:hAnsi="宋体" w:eastAsia="宋体" w:cs="宋体"/>
          <w:b/>
          <w:bCs/>
          <w:color w:val="000000" w:themeColor="text1"/>
          <w14:textFill>
            <w14:solidFill>
              <w14:schemeClr w14:val="tx1"/>
            </w14:solidFill>
          </w14:textFill>
        </w:rPr>
        <w:t>拍卖标的评估价格系管理人通过淘宝搜索(https://www.taobao.com/?spm=2013.1.1581860521.1.ef567763YFJg5L)网站搜索同款或类似款式、1688发布询价单（</w:t>
      </w:r>
      <w:r>
        <w:rPr>
          <w:rFonts w:ascii="宋体" w:hAnsi="宋体" w:eastAsia="宋体" w:cs="宋体"/>
          <w:b/>
          <w:bCs/>
          <w:color w:val="000000" w:themeColor="text1"/>
          <w14:textFill>
            <w14:solidFill>
              <w14:schemeClr w14:val="tx1"/>
            </w14:solidFill>
          </w14:textFill>
        </w:rPr>
        <w:t>https://p4psearch.1688.com/hamlet.html?scene=6&amp;cosite=baidujj_pz&amp;location=re&amp;trackid=885662561117990122602</w:t>
      </w:r>
      <w:r>
        <w:rPr>
          <w:rFonts w:hint="eastAsia" w:ascii="宋体" w:hAnsi="宋体" w:eastAsia="宋体" w:cs="宋体"/>
          <w:b/>
          <w:bCs/>
          <w:color w:val="000000" w:themeColor="text1"/>
          <w14:textFill>
            <w14:solidFill>
              <w14:schemeClr w14:val="tx1"/>
            </w14:solidFill>
          </w14:textFill>
        </w:rPr>
        <w:t>）、与债务人相关人员交流确认等方式自主询价方式确定，评估价格仅供参考，不作为交付依据。拍卖人提供的资料和数据等仅供竞买人参考，不作任何担保、不承担瑕疵担保责任，若存在与实际不符等情况的，不影响本次拍卖的成交和成交价。</w:t>
      </w:r>
    </w:p>
    <w:p w14:paraId="499582AA">
      <w:pPr>
        <w:pStyle w:val="6"/>
        <w:widowControl/>
        <w:spacing w:beforeAutospacing="0" w:afterAutospacing="0" w:line="360" w:lineRule="auto"/>
        <w:ind w:firstLine="482" w:firstLineChars="200"/>
        <w:rPr>
          <w:rFonts w:ascii="黑体" w:hAnsi="黑体" w:eastAsia="黑体" w:cs="黑体"/>
          <w:b/>
          <w:bCs/>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三、咨询、展示看样的时间</w:t>
      </w:r>
    </w:p>
    <w:p w14:paraId="5C03D95E">
      <w:pPr>
        <w:pStyle w:val="5"/>
        <w:spacing w:line="360" w:lineRule="auto"/>
        <w:ind w:firstLine="482" w:firstLineChars="200"/>
        <w:rPr>
          <w:rFonts w:ascii="仿宋" w:hAnsi="仿宋" w:eastAsia="仿宋" w:cs="仿宋"/>
          <w:sz w:val="24"/>
        </w:rPr>
      </w:pPr>
      <w:r>
        <w:rPr>
          <w:rFonts w:hint="eastAsia" w:ascii="黑体" w:hAnsi="黑体" w:eastAsia="黑体" w:cs="黑体"/>
          <w:b/>
          <w:bCs/>
          <w:color w:val="000000" w:themeColor="text1"/>
          <w:kern w:val="0"/>
          <w:sz w:val="24"/>
          <w:lang w:bidi="ar"/>
          <w14:textFill>
            <w14:solidFill>
              <w14:schemeClr w14:val="tx1"/>
            </w14:solidFill>
          </w14:textFill>
        </w:rPr>
        <w:t>1.</w:t>
      </w:r>
      <w:r>
        <w:rPr>
          <w:rFonts w:hint="eastAsia" w:ascii="宋体" w:hAnsi="宋体" w:cs="宋体"/>
          <w:color w:val="000000" w:themeColor="text1"/>
          <w:kern w:val="0"/>
          <w:sz w:val="24"/>
          <w:lang w:bidi="ar"/>
          <w14:textFill>
            <w14:solidFill>
              <w14:schemeClr w14:val="tx1"/>
            </w14:solidFill>
          </w14:textFill>
        </w:rPr>
        <w:t>自</w:t>
      </w:r>
      <w:r>
        <w:rPr>
          <w:rFonts w:hint="eastAsia" w:ascii="宋体" w:hAnsi="宋体" w:cs="宋体"/>
          <w:b/>
          <w:bCs/>
          <w:color w:val="000000" w:themeColor="text1"/>
          <w:kern w:val="0"/>
          <w:sz w:val="24"/>
          <w:lang w:bidi="ar"/>
          <w14:textFill>
            <w14:solidFill>
              <w14:schemeClr w14:val="tx1"/>
            </w14:solidFill>
          </w14:textFill>
        </w:rPr>
        <w:t>公告发布之日起至2024年12月</w:t>
      </w:r>
      <w:r>
        <w:rPr>
          <w:rFonts w:hint="eastAsia" w:ascii="宋体" w:hAnsi="宋体" w:cs="宋体"/>
          <w:b/>
          <w:bCs/>
          <w:color w:val="000000" w:themeColor="text1"/>
          <w:kern w:val="0"/>
          <w:sz w:val="24"/>
          <w:lang w:val="en-US" w:eastAsia="zh-CN" w:bidi="ar"/>
          <w14:textFill>
            <w14:solidFill>
              <w14:schemeClr w14:val="tx1"/>
            </w14:solidFill>
          </w14:textFill>
        </w:rPr>
        <w:t>27</w:t>
      </w:r>
      <w:r>
        <w:rPr>
          <w:rFonts w:hint="eastAsia" w:ascii="宋体" w:hAnsi="宋体" w:cs="宋体"/>
          <w:b/>
          <w:bCs/>
          <w:color w:val="000000" w:themeColor="text1"/>
          <w:kern w:val="0"/>
          <w:sz w:val="24"/>
          <w:lang w:bidi="ar"/>
          <w14:textFill>
            <w14:solidFill>
              <w14:schemeClr w14:val="tx1"/>
            </w14:solidFill>
          </w14:textFill>
        </w:rPr>
        <w:t>日10:00止</w:t>
      </w:r>
      <w:r>
        <w:rPr>
          <w:rFonts w:hint="eastAsia" w:ascii="宋体" w:hAnsi="宋体" w:cs="宋体"/>
          <w:color w:val="000000" w:themeColor="text1"/>
          <w:kern w:val="0"/>
          <w:sz w:val="24"/>
          <w:lang w:bidi="ar"/>
          <w14:textFill>
            <w14:solidFill>
              <w14:schemeClr w14:val="tx1"/>
            </w14:solidFill>
          </w14:textFill>
        </w:rPr>
        <w:t>（法定工作日上午09:30-12:00，下午14:30-17:30）接受咨询。</w:t>
      </w:r>
    </w:p>
    <w:p w14:paraId="7ABE36F6">
      <w:pPr>
        <w:widowControl/>
        <w:spacing w:line="360" w:lineRule="auto"/>
        <w:ind w:firstLine="482" w:firstLineChars="200"/>
        <w:jc w:val="left"/>
        <w:rPr>
          <w:rFonts w:ascii="宋体" w:hAnsi="宋体" w:eastAsia="宋体" w:cs="宋体"/>
          <w:color w:val="000000" w:themeColor="text1"/>
          <w:kern w:val="0"/>
          <w:sz w:val="24"/>
          <w:lang w:bidi="ar"/>
          <w14:textFill>
            <w14:solidFill>
              <w14:schemeClr w14:val="tx1"/>
            </w14:solidFill>
          </w14:textFill>
        </w:rPr>
      </w:pPr>
      <w:r>
        <w:rPr>
          <w:rFonts w:hint="eastAsia" w:ascii="黑体" w:hAnsi="黑体" w:eastAsia="黑体" w:cs="黑体"/>
          <w:b/>
          <w:bCs/>
          <w:color w:val="000000" w:themeColor="text1"/>
          <w:kern w:val="0"/>
          <w:sz w:val="24"/>
          <w:lang w:bidi="ar"/>
          <w14:textFill>
            <w14:solidFill>
              <w14:schemeClr w14:val="tx1"/>
            </w14:solidFill>
          </w14:textFill>
        </w:rPr>
        <w:t>2.</w:t>
      </w:r>
      <w:r>
        <w:rPr>
          <w:rFonts w:hint="eastAsia" w:ascii="宋体" w:hAnsi="宋体" w:eastAsia="宋体" w:cs="宋体"/>
          <w:b/>
          <w:bCs/>
          <w:color w:val="000000" w:themeColor="text1"/>
          <w:kern w:val="0"/>
          <w:sz w:val="24"/>
          <w:lang w:bidi="ar"/>
          <w14:textFill>
            <w14:solidFill>
              <w14:schemeClr w14:val="tx1"/>
            </w14:solidFill>
          </w14:textFill>
        </w:rPr>
        <w:t>集中看样时间：</w:t>
      </w:r>
      <w:r>
        <w:rPr>
          <w:rFonts w:hint="eastAsia" w:ascii="宋体" w:hAnsi="宋体" w:eastAsia="宋体" w:cs="宋体"/>
          <w:color w:val="000000" w:themeColor="text1"/>
          <w:kern w:val="0"/>
          <w:sz w:val="24"/>
          <w:lang w:bidi="ar"/>
          <w14:textFill>
            <w14:solidFill>
              <w14:schemeClr w14:val="tx1"/>
            </w14:solidFill>
          </w14:textFill>
        </w:rPr>
        <w:t>本次拍卖不安排看样。</w:t>
      </w:r>
    </w:p>
    <w:p w14:paraId="273A60F5">
      <w:pPr>
        <w:widowControl/>
        <w:spacing w:line="360" w:lineRule="auto"/>
        <w:ind w:firstLine="482" w:firstLineChars="200"/>
        <w:jc w:val="left"/>
        <w:rPr>
          <w:rFonts w:ascii="宋体" w:hAnsi="宋体" w:eastAsia="宋体" w:cs="宋体"/>
          <w:color w:val="000000" w:themeColor="text1"/>
          <w:sz w:val="24"/>
          <w:highlight w:val="yellow"/>
          <w14:textFill>
            <w14:solidFill>
              <w14:schemeClr w14:val="tx1"/>
            </w14:solidFill>
          </w14:textFill>
        </w:rPr>
      </w:pPr>
      <w:r>
        <w:rPr>
          <w:rFonts w:hint="eastAsia" w:ascii="宋体" w:hAnsi="宋体" w:eastAsia="宋体" w:cs="宋体"/>
          <w:b/>
          <w:bCs/>
          <w:color w:val="C00000"/>
          <w:kern w:val="0"/>
          <w:sz w:val="24"/>
          <w:lang w:bidi="ar"/>
        </w:rPr>
        <w:t>请慎重决定竞买行为，竞买人一旦按本公告支付竞买保证金，即表明已完全了解、并接受标的物的现状和一切已知及未知的瑕疵，并自愿参与竞买。</w:t>
      </w:r>
    </w:p>
    <w:p w14:paraId="181E399C">
      <w:pPr>
        <w:pStyle w:val="6"/>
        <w:widowControl/>
        <w:spacing w:beforeAutospacing="0" w:afterAutospacing="0" w:line="360" w:lineRule="auto"/>
        <w:ind w:firstLine="482" w:firstLineChars="200"/>
        <w:rPr>
          <w:rFonts w:ascii="黑体" w:hAnsi="黑体" w:eastAsia="黑体" w:cs="黑体"/>
          <w:b/>
          <w:bCs/>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四、竞买人条件</w:t>
      </w:r>
    </w:p>
    <w:p w14:paraId="1C1FEB26">
      <w:pPr>
        <w:pStyle w:val="5"/>
        <w:spacing w:line="360" w:lineRule="auto"/>
        <w:ind w:firstLine="482" w:firstLineChars="200"/>
        <w:rPr>
          <w:rFonts w:ascii="宋体" w:hAnsi="宋体" w:cs="宋体"/>
          <w:color w:val="000000" w:themeColor="text1"/>
          <w:kern w:val="0"/>
          <w:sz w:val="24"/>
          <w:lang w:bidi="ar"/>
          <w14:textFill>
            <w14:solidFill>
              <w14:schemeClr w14:val="tx1"/>
            </w14:solidFill>
          </w14:textFill>
        </w:rPr>
      </w:pPr>
      <w:r>
        <w:rPr>
          <w:rFonts w:hint="eastAsia" w:ascii="黑体" w:hAnsi="黑体" w:eastAsia="黑体" w:cs="黑体"/>
          <w:b/>
          <w:bCs/>
          <w:color w:val="000000" w:themeColor="text1"/>
          <w:kern w:val="0"/>
          <w:sz w:val="24"/>
          <w:lang w:bidi="ar"/>
          <w14:textFill>
            <w14:solidFill>
              <w14:schemeClr w14:val="tx1"/>
            </w14:solidFill>
          </w14:textFill>
        </w:rPr>
        <w:t>1.</w:t>
      </w:r>
      <w:r>
        <w:rPr>
          <w:rFonts w:hint="eastAsia" w:ascii="宋体" w:hAnsi="宋体" w:cs="宋体"/>
          <w:color w:val="000000" w:themeColor="text1"/>
          <w:kern w:val="0"/>
          <w:sz w:val="24"/>
          <w:lang w:bidi="ar"/>
          <w14:textFill>
            <w14:solidFill>
              <w14:schemeClr w14:val="tx1"/>
            </w14:solidFill>
          </w14:textFill>
        </w:rPr>
        <w:t>凡具备完全民事行为能力的公民、法人和其他组织均可参加竞买，若不具有完全民事行为能力，其委托人或代理人必须具备完全民事行为能力；法律、行政法规、司法解释对买受人资格或者条件有特殊规定的，竞买人应当具备规定的资格或者条件。拍卖标的交易及过户按标的物所在地有关政策执行，竞买人须自行向标的物所在地有关职能部门查询确认自己的购买资格及审批、过户等相关政策。因不符合条件参加竞买的，由竞买人自行承担保证金被没收、赔偿损失等法律责任。</w:t>
      </w:r>
    </w:p>
    <w:p w14:paraId="5C10628A">
      <w:pPr>
        <w:pStyle w:val="5"/>
        <w:spacing w:line="360" w:lineRule="auto"/>
        <w:ind w:firstLine="482" w:firstLineChars="200"/>
        <w:rPr>
          <w:rFonts w:ascii="宋体" w:hAnsi="宋体" w:cs="宋体"/>
          <w:color w:val="000000" w:themeColor="text1"/>
          <w:kern w:val="0"/>
          <w:sz w:val="24"/>
          <w:lang w:bidi="ar"/>
          <w14:textFill>
            <w14:solidFill>
              <w14:schemeClr w14:val="tx1"/>
            </w14:solidFill>
          </w14:textFill>
        </w:rPr>
      </w:pPr>
      <w:r>
        <w:rPr>
          <w:rFonts w:hint="eastAsia" w:ascii="黑体" w:hAnsi="黑体" w:eastAsia="黑体" w:cs="黑体"/>
          <w:b/>
          <w:bCs/>
          <w:color w:val="000000" w:themeColor="text1"/>
          <w:kern w:val="0"/>
          <w:sz w:val="24"/>
          <w:lang w:bidi="ar"/>
          <w14:textFill>
            <w14:solidFill>
              <w14:schemeClr w14:val="tx1"/>
            </w14:solidFill>
          </w14:textFill>
        </w:rPr>
        <w:t>2.</w:t>
      </w:r>
      <w:r>
        <w:rPr>
          <w:rFonts w:hint="eastAsia" w:ascii="宋体" w:hAnsi="宋体" w:cs="宋体"/>
          <w:color w:val="000000" w:themeColor="text1"/>
          <w:kern w:val="0"/>
          <w:sz w:val="24"/>
          <w:lang w:bidi="ar"/>
          <w14:textFill>
            <w14:solidFill>
              <w14:schemeClr w14:val="tx1"/>
            </w14:solidFill>
          </w14:textFill>
        </w:rPr>
        <w:t>竞买人可委托代理人（具备完全民事行为能力的自然人）进行，但</w:t>
      </w:r>
      <w:r>
        <w:rPr>
          <w:rFonts w:hint="eastAsia" w:ascii="宋体" w:hAnsi="宋体" w:cs="宋体"/>
          <w:b/>
          <w:bCs/>
          <w:color w:val="000000" w:themeColor="text1"/>
          <w:kern w:val="0"/>
          <w:sz w:val="24"/>
          <w:lang w:bidi="ar"/>
          <w14:textFill>
            <w14:solidFill>
              <w14:schemeClr w14:val="tx1"/>
            </w14:solidFill>
          </w14:textFill>
        </w:rPr>
        <w:t>须在竞买开始3个工作日前</w:t>
      </w:r>
      <w:r>
        <w:rPr>
          <w:rFonts w:hint="eastAsia" w:ascii="宋体" w:hAnsi="宋体" w:cs="宋体"/>
          <w:color w:val="000000" w:themeColor="text1"/>
          <w:kern w:val="0"/>
          <w:sz w:val="24"/>
          <w:lang w:bidi="ar"/>
          <w14:textFill>
            <w14:solidFill>
              <w14:schemeClr w14:val="tx1"/>
            </w14:solidFill>
          </w14:textFill>
        </w:rPr>
        <w:t>与管理人沟通办理委托手续，经管理人确认后方可参加。竞买成功后，竞买人（法定代表人、其他组织的负责人）须与委托代理人一同到管理人处办理交付或权属转移手续。如果竞买人本人因客观原因无法来办理手续的，竞买人应向管理人提交经公证的委托书，并由代理人携带经公证的委托书原件、委托人和受托人身份证明原件，到管理人处办理交付或权属转移手续。如无委托手续或委托手续不全，竞买活动认定为委托代理人的个人行为。因不符合条件参加竞买的，由竞买人自行承担相应的法律责任。</w:t>
      </w:r>
    </w:p>
    <w:p w14:paraId="0CF9B473">
      <w:pPr>
        <w:spacing w:line="360" w:lineRule="auto"/>
        <w:ind w:firstLine="482" w:firstLineChars="200"/>
        <w:rPr>
          <w:rFonts w:ascii="宋体" w:hAnsi="宋体" w:eastAsia="宋体" w:cs="宋体"/>
          <w:color w:val="000000" w:themeColor="text1"/>
          <w:kern w:val="0"/>
          <w:sz w:val="24"/>
          <w:lang w:bidi="ar"/>
          <w14:textFill>
            <w14:solidFill>
              <w14:schemeClr w14:val="tx1"/>
            </w14:solidFill>
          </w14:textFill>
        </w:rPr>
      </w:pPr>
      <w:r>
        <w:rPr>
          <w:rFonts w:hint="eastAsia" w:ascii="黑体" w:hAnsi="黑体" w:eastAsia="黑体" w:cs="黑体"/>
          <w:b/>
          <w:bCs/>
          <w:color w:val="000000" w:themeColor="text1"/>
          <w:kern w:val="0"/>
          <w:sz w:val="24"/>
          <w:lang w:bidi="ar"/>
          <w14:textFill>
            <w14:solidFill>
              <w14:schemeClr w14:val="tx1"/>
            </w14:solidFill>
          </w14:textFill>
        </w:rPr>
        <w:t>3.</w:t>
      </w:r>
      <w:r>
        <w:rPr>
          <w:rFonts w:hint="eastAsia" w:ascii="宋体" w:hAnsi="宋体" w:eastAsia="宋体" w:cs="宋体"/>
          <w:color w:val="000000" w:themeColor="text1"/>
          <w:kern w:val="0"/>
          <w:sz w:val="24"/>
          <w:lang w:bidi="ar"/>
          <w14:textFill>
            <w14:solidFill>
              <w14:schemeClr w14:val="tx1"/>
            </w14:solidFill>
          </w14:textFill>
        </w:rPr>
        <w:t>两人或以上联名竞买的，可委托联名竞买人中的一人或其他人代为竞买。所有联名竞买人与委托代理人应于</w:t>
      </w:r>
      <w:r>
        <w:rPr>
          <w:rFonts w:hint="eastAsia" w:ascii="宋体" w:hAnsi="宋体" w:eastAsia="宋体" w:cs="宋体"/>
          <w:b/>
          <w:bCs/>
          <w:color w:val="000000" w:themeColor="text1"/>
          <w:kern w:val="0"/>
          <w:sz w:val="24"/>
          <w:lang w:bidi="ar"/>
          <w14:textFill>
            <w14:solidFill>
              <w14:schemeClr w14:val="tx1"/>
            </w14:solidFill>
          </w14:textFill>
        </w:rPr>
        <w:t>竞价活动开始3个工作日前</w:t>
      </w:r>
      <w:r>
        <w:rPr>
          <w:rFonts w:hint="eastAsia" w:ascii="宋体" w:hAnsi="宋体" w:eastAsia="宋体" w:cs="宋体"/>
          <w:color w:val="000000" w:themeColor="text1"/>
          <w:kern w:val="0"/>
          <w:sz w:val="24"/>
          <w:lang w:bidi="ar"/>
          <w14:textFill>
            <w14:solidFill>
              <w14:schemeClr w14:val="tx1"/>
            </w14:solidFill>
          </w14:textFill>
        </w:rPr>
        <w:t>一同到管理人处办理联名竞买委托竞买手续。如未办理联名竞买委托手续或委托手续不全，竞买活动认定为委托代理人的个人行为。不符合条件参加竞买的，竞买人自行承担相应的法律责任。</w:t>
      </w:r>
    </w:p>
    <w:p w14:paraId="32EA3F66">
      <w:pPr>
        <w:pStyle w:val="6"/>
        <w:widowControl/>
        <w:spacing w:beforeAutospacing="0" w:afterAutospacing="0" w:line="360" w:lineRule="auto"/>
        <w:ind w:firstLine="480" w:firstLineChars="200"/>
        <w:rPr>
          <w:rFonts w:ascii="宋体" w:hAnsi="宋体" w:eastAsia="宋体" w:cs="宋体"/>
          <w:color w:val="000000" w:themeColor="text1"/>
          <w:lang w:bidi="ar"/>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委托竞买、联名竞买、法定代理人代为竞买等特殊情况，均应在开拍前办理相关手续并按规定在网络拍卖平台录入相关信息，无相关手续的，竞拍行为一般视为竞拍人本人的行为。</w:t>
      </w:r>
    </w:p>
    <w:p w14:paraId="0AAB8907">
      <w:pPr>
        <w:spacing w:line="360" w:lineRule="auto"/>
        <w:ind w:firstLine="482" w:firstLineChars="200"/>
        <w:rPr>
          <w:rFonts w:ascii="宋体" w:hAnsi="宋体" w:eastAsia="宋体" w:cs="宋体"/>
          <w:color w:val="000000" w:themeColor="text1"/>
          <w:kern w:val="0"/>
          <w:sz w:val="24"/>
          <w:lang w:bidi="ar"/>
          <w14:textFill>
            <w14:solidFill>
              <w14:schemeClr w14:val="tx1"/>
            </w14:solidFill>
          </w14:textFill>
        </w:rPr>
      </w:pPr>
      <w:r>
        <w:rPr>
          <w:rFonts w:hint="eastAsia" w:ascii="黑体" w:hAnsi="黑体" w:eastAsia="黑体" w:cs="黑体"/>
          <w:b/>
          <w:bCs/>
          <w:color w:val="000000" w:themeColor="text1"/>
          <w:kern w:val="0"/>
          <w:sz w:val="24"/>
          <w:lang w:bidi="ar"/>
          <w14:textFill>
            <w14:solidFill>
              <w14:schemeClr w14:val="tx1"/>
            </w14:solidFill>
          </w14:textFill>
        </w:rPr>
        <w:t>4.</w:t>
      </w:r>
      <w:r>
        <w:rPr>
          <w:rFonts w:hint="eastAsia" w:ascii="宋体" w:hAnsi="宋体" w:eastAsia="宋体" w:cs="宋体"/>
          <w:color w:val="000000" w:themeColor="text1"/>
          <w:kern w:val="0"/>
          <w:sz w:val="24"/>
          <w:lang w:bidi="ar"/>
          <w14:textFill>
            <w14:solidFill>
              <w14:schemeClr w14:val="tx1"/>
            </w14:solidFill>
          </w14:textFill>
        </w:rPr>
        <w:t>符合前述要求的竞买人</w:t>
      </w:r>
      <w:r>
        <w:rPr>
          <w:rFonts w:hint="eastAsia" w:ascii="宋体" w:hAnsi="宋体" w:eastAsia="宋体" w:cs="宋体"/>
          <w:b/>
          <w:bCs/>
          <w:color w:val="000000" w:themeColor="text1"/>
          <w:kern w:val="0"/>
          <w:sz w:val="24"/>
          <w:lang w:bidi="ar"/>
          <w14:textFill>
            <w14:solidFill>
              <w14:schemeClr w14:val="tx1"/>
            </w14:solidFill>
          </w14:textFill>
        </w:rPr>
        <w:t>在拍卖竞价程序结束前竞买保证金被平台成功锁定并经确认后</w:t>
      </w:r>
      <w:r>
        <w:rPr>
          <w:rFonts w:hint="eastAsia" w:ascii="宋体" w:hAnsi="宋体" w:eastAsia="宋体" w:cs="宋体"/>
          <w:color w:val="000000" w:themeColor="text1"/>
          <w:kern w:val="0"/>
          <w:sz w:val="24"/>
          <w:lang w:bidi="ar"/>
          <w14:textFill>
            <w14:solidFill>
              <w14:schemeClr w14:val="tx1"/>
            </w14:solidFill>
          </w14:textFill>
        </w:rPr>
        <w:t>，方可取得竞买资格。</w:t>
      </w:r>
    </w:p>
    <w:p w14:paraId="57C6642D">
      <w:pPr>
        <w:pStyle w:val="6"/>
        <w:widowControl/>
        <w:spacing w:beforeAutospacing="0" w:afterAutospacing="0" w:line="360" w:lineRule="auto"/>
        <w:ind w:firstLine="482" w:firstLineChars="200"/>
        <w:rPr>
          <w:rFonts w:ascii="黑体" w:hAnsi="黑体" w:eastAsia="黑体" w:cs="黑体"/>
          <w:b/>
          <w:bCs/>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五、标的物优先购买权人情况</w:t>
      </w:r>
    </w:p>
    <w:p w14:paraId="6F553CA0">
      <w:pPr>
        <w:pStyle w:val="5"/>
        <w:spacing w:line="360" w:lineRule="auto"/>
        <w:ind w:firstLine="482" w:firstLineChars="200"/>
        <w:rPr>
          <w:rFonts w:ascii="黑体" w:hAnsi="黑体" w:eastAsia="黑体" w:cs="黑体"/>
          <w:sz w:val="24"/>
        </w:rPr>
      </w:pPr>
      <w:r>
        <w:rPr>
          <w:rFonts w:hint="eastAsia" w:ascii="黑体" w:hAnsi="黑体" w:eastAsia="黑体" w:cs="黑体"/>
          <w:b/>
          <w:bCs/>
          <w:color w:val="000000" w:themeColor="text1"/>
          <w:kern w:val="0"/>
          <w:sz w:val="24"/>
          <w:lang w:bidi="ar"/>
          <w14:textFill>
            <w14:solidFill>
              <w14:schemeClr w14:val="tx1"/>
            </w14:solidFill>
          </w14:textFill>
        </w:rPr>
        <w:t>1.</w:t>
      </w:r>
      <w:r>
        <w:rPr>
          <w:rFonts w:hint="eastAsia" w:ascii="宋体" w:hAnsi="宋体" w:cs="宋体"/>
          <w:sz w:val="24"/>
        </w:rPr>
        <w:t>本标的物优先购买权人相关说明：如标的物存在优先购买权人，优先购买权人参加竞买的，</w:t>
      </w:r>
      <w:r>
        <w:rPr>
          <w:rFonts w:hint="eastAsia" w:ascii="宋体" w:hAnsi="宋体" w:cs="宋体"/>
          <w:b/>
          <w:bCs/>
          <w:sz w:val="24"/>
        </w:rPr>
        <w:t>应于竞价活动开始3个工作日前</w:t>
      </w:r>
      <w:r>
        <w:rPr>
          <w:rFonts w:hint="eastAsia" w:ascii="宋体" w:hAnsi="宋体" w:cs="宋体"/>
          <w:sz w:val="24"/>
        </w:rPr>
        <w:t>向管理人提交合法有效的证明（登记的证件信息必须与阿里实名认证相一致），经管理人确认后才能以优先购买权人的身份参与竞买，逾期不提交的，视为放弃对本标的物享有的优先购买权。本标的物优先购买权人未报名参加竞价，亦视为放弃优先购买权。</w:t>
      </w:r>
    </w:p>
    <w:p w14:paraId="54B66DF2">
      <w:pPr>
        <w:pStyle w:val="5"/>
        <w:spacing w:line="360" w:lineRule="auto"/>
        <w:ind w:firstLine="482" w:firstLineChars="200"/>
        <w:rPr>
          <w:rFonts w:ascii="仿宋" w:hAnsi="仿宋" w:eastAsia="仿宋" w:cs="仿宋"/>
          <w:sz w:val="24"/>
        </w:rPr>
      </w:pPr>
      <w:r>
        <w:rPr>
          <w:rFonts w:hint="eastAsia" w:ascii="黑体" w:hAnsi="黑体" w:eastAsia="黑体" w:cs="黑体"/>
          <w:b/>
          <w:bCs/>
          <w:color w:val="000000" w:themeColor="text1"/>
          <w:kern w:val="0"/>
          <w:sz w:val="24"/>
          <w:lang w:bidi="ar"/>
          <w14:textFill>
            <w14:solidFill>
              <w14:schemeClr w14:val="tx1"/>
            </w14:solidFill>
          </w14:textFill>
        </w:rPr>
        <w:t>2.</w:t>
      </w:r>
      <w:r>
        <w:rPr>
          <w:rFonts w:hint="eastAsia" w:ascii="宋体" w:hAnsi="宋体" w:cs="宋体"/>
          <w:sz w:val="24"/>
        </w:rPr>
        <w:t>优先购买权人参与竞买的，与其他竞买人以相同的价格出价，没有更高出价的，拍品由优先购买权人竞得。</w:t>
      </w:r>
    </w:p>
    <w:p w14:paraId="27F1E4AB">
      <w:pPr>
        <w:pStyle w:val="5"/>
        <w:spacing w:line="360" w:lineRule="auto"/>
        <w:ind w:firstLine="482" w:firstLineChars="200"/>
        <w:rPr>
          <w:rFonts w:ascii="宋体" w:hAnsi="宋体" w:cs="宋体"/>
          <w:sz w:val="24"/>
        </w:rPr>
      </w:pPr>
      <w:r>
        <w:rPr>
          <w:rFonts w:hint="eastAsia" w:ascii="黑体" w:hAnsi="黑体" w:eastAsia="黑体" w:cs="黑体"/>
          <w:b/>
          <w:bCs/>
          <w:color w:val="000000" w:themeColor="text1"/>
          <w:kern w:val="0"/>
          <w:sz w:val="24"/>
          <w:lang w:bidi="ar"/>
          <w14:textFill>
            <w14:solidFill>
              <w14:schemeClr w14:val="tx1"/>
            </w14:solidFill>
          </w14:textFill>
        </w:rPr>
        <w:t>3.</w:t>
      </w:r>
      <w:r>
        <w:rPr>
          <w:rFonts w:hint="eastAsia" w:ascii="宋体" w:hAnsi="宋体" w:cs="宋体"/>
          <w:sz w:val="24"/>
        </w:rPr>
        <w:t>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7E7784DA">
      <w:pPr>
        <w:pStyle w:val="5"/>
        <w:spacing w:line="360" w:lineRule="auto"/>
        <w:ind w:firstLine="482" w:firstLineChars="200"/>
        <w:rPr>
          <w:rFonts w:ascii="仿宋" w:hAnsi="仿宋" w:eastAsia="仿宋" w:cs="仿宋"/>
          <w:sz w:val="24"/>
        </w:rPr>
      </w:pPr>
      <w:r>
        <w:rPr>
          <w:rFonts w:hint="eastAsia" w:ascii="黑体" w:hAnsi="黑体" w:eastAsia="黑体" w:cs="黑体"/>
          <w:b/>
          <w:bCs/>
          <w:color w:val="000000" w:themeColor="text1"/>
          <w:kern w:val="0"/>
          <w:sz w:val="24"/>
          <w:lang w:bidi="ar"/>
          <w14:textFill>
            <w14:solidFill>
              <w14:schemeClr w14:val="tx1"/>
            </w14:solidFill>
          </w14:textFill>
        </w:rPr>
        <w:t>4.</w:t>
      </w:r>
      <w:r>
        <w:rPr>
          <w:rFonts w:hint="eastAsia" w:ascii="宋体" w:hAnsi="宋体" w:cs="宋体"/>
          <w:sz w:val="24"/>
        </w:rPr>
        <w:t>本次公告将在阿里拍卖网络平台上进行，管理人不再另行公告。</w:t>
      </w:r>
    </w:p>
    <w:p w14:paraId="3857106A">
      <w:pPr>
        <w:pStyle w:val="5"/>
        <w:spacing w:line="360" w:lineRule="auto"/>
        <w:ind w:firstLine="482" w:firstLineChars="200"/>
        <w:rPr>
          <w:rFonts w:ascii="仿宋" w:hAnsi="仿宋" w:eastAsia="仿宋" w:cs="仿宋"/>
          <w:sz w:val="24"/>
        </w:rPr>
      </w:pPr>
      <w:r>
        <w:rPr>
          <w:rFonts w:hint="eastAsia" w:ascii="黑体" w:hAnsi="黑体" w:eastAsia="黑体" w:cs="黑体"/>
          <w:b/>
          <w:bCs/>
          <w:color w:val="000000" w:themeColor="text1"/>
          <w:kern w:val="0"/>
          <w:sz w:val="24"/>
          <w:lang w:bidi="ar"/>
          <w14:textFill>
            <w14:solidFill>
              <w14:schemeClr w14:val="tx1"/>
            </w14:solidFill>
          </w14:textFill>
        </w:rPr>
        <w:t>5.</w:t>
      </w:r>
      <w:r>
        <w:rPr>
          <w:rFonts w:hint="eastAsia" w:ascii="宋体" w:hAnsi="宋体" w:cs="宋体"/>
          <w:sz w:val="24"/>
        </w:rPr>
        <w:t>如拍卖标的存在其他利害关系人的，本次公告公示之日起满五日即视为已通知。</w:t>
      </w:r>
    </w:p>
    <w:p w14:paraId="5D60BD0C">
      <w:pPr>
        <w:pStyle w:val="6"/>
        <w:widowControl/>
        <w:spacing w:beforeAutospacing="0" w:afterAutospacing="0" w:line="360" w:lineRule="auto"/>
        <w:ind w:firstLine="482" w:firstLineChars="200"/>
        <w:rPr>
          <w:rFonts w:ascii="宋体" w:hAnsi="宋体" w:eastAsia="宋体" w:cs="宋体"/>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六、拍卖方式</w:t>
      </w:r>
    </w:p>
    <w:p w14:paraId="35841FC3">
      <w:pPr>
        <w:spacing w:line="360" w:lineRule="auto"/>
        <w:ind w:firstLine="480" w:firstLineChars="200"/>
        <w:rPr>
          <w:rFonts w:ascii="宋体" w:hAnsi="宋体" w:eastAsia="宋体" w:cs="宋体"/>
          <w:sz w:val="24"/>
        </w:rPr>
      </w:pPr>
      <w:r>
        <w:rPr>
          <w:rFonts w:hint="eastAsia" w:ascii="宋体" w:hAnsi="宋体" w:eastAsia="宋体" w:cs="宋体"/>
          <w:sz w:val="24"/>
        </w:rPr>
        <w:t>本次拍卖采取有保留价的增价拍卖方式，保留价即为起拍价，至少一人报名且出价不低于起拍价，方可成交。无人报名或出价的，竞价会流拍。本次拍卖活动设置延时出价功能。每最后五分钟有竞买人出价的，竞价时间自该出价时点顺延五分钟。竞买人以低于起拍价出价的无效。竞价时间应当不少于二十四小时。拍卖竞价价高者得，不限制竞买人数量。竞价程序结束前五分钟内无人出价的，最后出价且不低于起拍价的即为成交价。竞买人出价时间以进入网络拍卖平台服务系统时间为准。</w:t>
      </w:r>
    </w:p>
    <w:p w14:paraId="7D124BBA">
      <w:pPr>
        <w:pStyle w:val="6"/>
        <w:widowControl/>
        <w:spacing w:beforeAutospacing="0" w:afterAutospacing="0" w:line="360" w:lineRule="auto"/>
        <w:ind w:firstLine="482" w:firstLineChars="200"/>
        <w:rPr>
          <w:rFonts w:ascii="黑体" w:hAnsi="黑体" w:eastAsia="黑体" w:cs="黑体"/>
          <w:b/>
          <w:bCs/>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七、保证金、成交款项缴纳及悔拍事宜</w:t>
      </w:r>
    </w:p>
    <w:p w14:paraId="2B78393B">
      <w:pPr>
        <w:pStyle w:val="6"/>
        <w:widowControl/>
        <w:spacing w:beforeAutospacing="0" w:afterAutospacing="0" w:line="360" w:lineRule="auto"/>
        <w:ind w:firstLine="482" w:firstLineChars="200"/>
        <w:rPr>
          <w:rFonts w:ascii="宋体" w:hAnsi="宋体" w:eastAsia="宋体" w:cs="宋体"/>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1.</w:t>
      </w:r>
      <w:r>
        <w:rPr>
          <w:rFonts w:hint="eastAsia" w:ascii="宋体" w:hAnsi="宋体" w:eastAsia="宋体" w:cs="宋体"/>
          <w:color w:val="000000" w:themeColor="text1"/>
          <w14:textFill>
            <w14:solidFill>
              <w14:schemeClr w14:val="tx1"/>
            </w14:solidFill>
          </w14:textFill>
        </w:rPr>
        <w:t>竞拍前，竞买人实名认证绑定的支付宝账户中应有足够的余额支付竞买保证金。竞拍前，阿里</w:t>
      </w:r>
      <w:r>
        <w:rPr>
          <w:rFonts w:ascii="宋体" w:hAnsi="宋体" w:eastAsia="宋体" w:cs="宋体"/>
          <w:color w:val="000000" w:themeColor="text1"/>
          <w14:textFill>
            <w14:solidFill>
              <w14:schemeClr w14:val="tx1"/>
            </w14:solidFill>
          </w14:textFill>
        </w:rPr>
        <w:t>破产强清平台将锁定竞买人</w:t>
      </w:r>
      <w:r>
        <w:rPr>
          <w:rFonts w:hint="eastAsia" w:ascii="宋体" w:hAnsi="宋体" w:eastAsia="宋体" w:cs="宋体"/>
          <w:color w:val="000000" w:themeColor="text1"/>
          <w14:textFill>
            <w14:solidFill>
              <w14:schemeClr w14:val="tx1"/>
            </w14:solidFill>
          </w14:textFill>
        </w:rPr>
        <w:t>实名认证绑定的支付宝</w:t>
      </w:r>
      <w:r>
        <w:rPr>
          <w:rFonts w:ascii="宋体" w:hAnsi="宋体" w:eastAsia="宋体" w:cs="宋体"/>
          <w:color w:val="000000" w:themeColor="text1"/>
          <w14:textFill>
            <w14:solidFill>
              <w14:schemeClr w14:val="tx1"/>
            </w14:solidFill>
          </w14:textFill>
        </w:rPr>
        <w:t>账户内相应</w:t>
      </w:r>
      <w:r>
        <w:rPr>
          <w:rFonts w:hint="eastAsia" w:ascii="宋体" w:hAnsi="宋体" w:eastAsia="宋体" w:cs="宋体"/>
          <w:color w:val="000000" w:themeColor="text1"/>
          <w14:textFill>
            <w14:solidFill>
              <w14:schemeClr w14:val="tx1"/>
            </w14:solidFill>
          </w14:textFill>
        </w:rPr>
        <w:t>的</w:t>
      </w:r>
      <w:r>
        <w:rPr>
          <w:rFonts w:ascii="宋体" w:hAnsi="宋体" w:eastAsia="宋体" w:cs="宋体"/>
          <w:color w:val="000000" w:themeColor="text1"/>
          <w14:textFill>
            <w14:solidFill>
              <w14:schemeClr w14:val="tx1"/>
            </w14:solidFill>
          </w14:textFill>
        </w:rPr>
        <w:t>资金作为应缴的保证金，拍卖结束后未能竞得者</w:t>
      </w:r>
      <w:r>
        <w:rPr>
          <w:rFonts w:hint="eastAsia" w:ascii="宋体" w:hAnsi="宋体" w:eastAsia="宋体" w:cs="宋体"/>
          <w:color w:val="000000" w:themeColor="text1"/>
          <w14:textFill>
            <w14:solidFill>
              <w14:schemeClr w14:val="tx1"/>
            </w14:solidFill>
          </w14:textFill>
        </w:rPr>
        <w:t>以及竞价未成交的（即流拍的）</w:t>
      </w:r>
      <w:r>
        <w:rPr>
          <w:rFonts w:ascii="宋体" w:hAnsi="宋体" w:eastAsia="宋体" w:cs="宋体"/>
          <w:color w:val="000000" w:themeColor="text1"/>
          <w14:textFill>
            <w14:solidFill>
              <w14:schemeClr w14:val="tx1"/>
            </w14:solidFill>
          </w14:textFill>
        </w:rPr>
        <w:t>锁定的保证金自动解锁，锁定期间不计利息。</w:t>
      </w:r>
    </w:p>
    <w:p w14:paraId="3A050378">
      <w:pPr>
        <w:pStyle w:val="6"/>
        <w:widowControl/>
        <w:spacing w:beforeAutospacing="0" w:afterAutospacing="0" w:line="360" w:lineRule="auto"/>
        <w:ind w:firstLine="482" w:firstLineChars="200"/>
        <w:rPr>
          <w:rFonts w:ascii="宋体" w:hAnsi="宋体" w:eastAsia="宋体" w:cs="宋体"/>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2.</w:t>
      </w:r>
      <w:r>
        <w:rPr>
          <w:rFonts w:hint="eastAsia" w:ascii="宋体" w:hAnsi="宋体" w:eastAsia="宋体" w:cs="宋体"/>
          <w:color w:val="000000" w:themeColor="text1"/>
          <w14:textFill>
            <w14:solidFill>
              <w14:schemeClr w14:val="tx1"/>
            </w14:solidFill>
          </w14:textFill>
        </w:rPr>
        <w:t xml:space="preserve">拍卖成交后，竞买人交纳的保证金充抵成交价款，本标的物竞买人原锁定的保证金将在竞买人竞买成功且付清软件服务费后的24小时内自动缴入管理人指定账户。 </w:t>
      </w:r>
    </w:p>
    <w:p w14:paraId="2A0E5475">
      <w:pPr>
        <w:pStyle w:val="6"/>
        <w:widowControl/>
        <w:spacing w:beforeAutospacing="0" w:afterAutospacing="0" w:line="360" w:lineRule="auto"/>
        <w:ind w:firstLine="480"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保证金支付帮助：</w:t>
      </w:r>
      <w:r>
        <w:fldChar w:fldCharType="begin"/>
      </w:r>
      <w:r>
        <w:instrText xml:space="preserve"> HYPERLINK "https://www.taobao.com/market/paimai/sf-helpcenter.php?path=sf-hc-right-content5" \l "q1" </w:instrText>
      </w:r>
      <w:r>
        <w:fldChar w:fldCharType="separate"/>
      </w:r>
      <w:r>
        <w:rPr>
          <w:rFonts w:hint="eastAsia" w:ascii="宋体" w:hAnsi="宋体" w:eastAsia="宋体" w:cs="宋体"/>
          <w:color w:val="000000" w:themeColor="text1"/>
          <w14:textFill>
            <w14:solidFill>
              <w14:schemeClr w14:val="tx1"/>
            </w14:solidFill>
          </w14:textFill>
        </w:rPr>
        <w:t>https://www.taobao.com/market/paimai/sf-helpcenter.php?path=sf-hc-right-content5#q1</w:t>
      </w:r>
      <w:r>
        <w:rPr>
          <w:rFonts w:hint="eastAsia" w:ascii="宋体" w:hAnsi="宋体" w:eastAsia="宋体" w:cs="宋体"/>
          <w:color w:val="000000" w:themeColor="text1"/>
          <w14:textFill>
            <w14:solidFill>
              <w14:schemeClr w14:val="tx1"/>
            </w14:solidFill>
          </w14:textFill>
        </w:rPr>
        <w:fldChar w:fldCharType="end"/>
      </w:r>
    </w:p>
    <w:p w14:paraId="75802152">
      <w:pPr>
        <w:pStyle w:val="6"/>
        <w:widowControl/>
        <w:numPr>
          <w:ilvl w:val="0"/>
          <w:numId w:val="1"/>
        </w:numPr>
        <w:shd w:val="clear" w:color="auto" w:fill="FFFFFF"/>
        <w:spacing w:beforeAutospacing="0" w:afterAutospacing="0" w:line="360" w:lineRule="auto"/>
        <w:ind w:firstLine="539"/>
        <w:rPr>
          <w:rFonts w:ascii="宋体" w:hAnsi="宋体" w:eastAsia="宋体" w:cs="宋体"/>
          <w:b/>
          <w:bCs/>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竞买人成功竞得拍卖标的物后，破产强清平台将在管理人后台生成相应《网络竞价成功确认书》</w:t>
      </w:r>
      <w:r>
        <w:rPr>
          <w:rFonts w:hint="eastAsia" w:ascii="仿宋" w:hAnsi="仿宋" w:eastAsia="仿宋" w:cs="仿宋"/>
          <w:b/>
          <w:bCs/>
        </w:rPr>
        <w:t>，即视为拍卖成交。</w:t>
      </w:r>
      <w:r>
        <w:rPr>
          <w:rFonts w:hint="eastAsia" w:ascii="宋体" w:hAnsi="宋体" w:eastAsia="宋体" w:cs="宋体"/>
          <w:color w:val="000000" w:themeColor="text1"/>
          <w14:textFill>
            <w14:solidFill>
              <w14:schemeClr w14:val="tx1"/>
            </w14:solidFill>
          </w14:textFill>
        </w:rPr>
        <w:t>买受人</w:t>
      </w:r>
      <w:r>
        <w:rPr>
          <w:rFonts w:hint="eastAsia" w:ascii="宋体" w:hAnsi="宋体" w:eastAsia="宋体" w:cs="宋体"/>
          <w:color w:val="C00000"/>
        </w:rPr>
        <w:t>应于拍卖成交之日起15日内</w:t>
      </w:r>
      <w:r>
        <w:rPr>
          <w:rFonts w:hint="eastAsia" w:ascii="宋体" w:hAnsi="宋体" w:eastAsia="宋体" w:cs="宋体"/>
          <w:color w:val="000000" w:themeColor="text1"/>
          <w14:textFill>
            <w14:solidFill>
              <w14:schemeClr w14:val="tx1"/>
            </w14:solidFill>
          </w14:textFill>
        </w:rPr>
        <w:t>将拍卖成交价余款（扣除保证金后的余款）转入管理人指定账户</w:t>
      </w:r>
      <w:r>
        <w:rPr>
          <w:rFonts w:hint="eastAsia" w:ascii="宋体" w:hAnsi="宋体" w:eastAsia="宋体" w:cs="宋体"/>
          <w:b/>
          <w:bCs/>
          <w:color w:val="000000" w:themeColor="text1"/>
          <w14:textFill>
            <w14:solidFill>
              <w14:schemeClr w14:val="tx1"/>
            </w14:solidFill>
          </w14:textFill>
        </w:rPr>
        <w:t>（账户名：湖南星城医药有限公司管理人，开户银行：广发银行股份有限公司长沙红星支行，账号：9550880229958100186）或其他指定账户，并注明“破产案号：（2021）湘01破申52号；款项性质：星城医药公司办公用品等尾款”。逾期则视为买受人违约，竞买保证金不予退还。</w:t>
      </w:r>
    </w:p>
    <w:p w14:paraId="5A087D82">
      <w:pPr>
        <w:pStyle w:val="6"/>
        <w:widowControl/>
        <w:spacing w:beforeAutospacing="0" w:afterAutospacing="0" w:line="360" w:lineRule="auto"/>
        <w:ind w:firstLine="480"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color w:val="C00000"/>
        </w:rPr>
        <w:t>买受人可在【我的拍卖】中查看已拍下的订单，及时完成尾款的支付。</w:t>
      </w:r>
      <w:r>
        <w:rPr>
          <w:rFonts w:ascii="宋体" w:hAnsi="宋体" w:eastAsia="宋体" w:cs="宋体"/>
          <w:color w:val="000000" w:themeColor="text1"/>
          <w14:textFill>
            <w14:solidFill>
              <w14:schemeClr w14:val="tx1"/>
            </w14:solidFill>
          </w14:textFill>
        </w:rPr>
        <w:t>支付宝网上付款方式：登录我的淘宝-我的拍卖支付，付款教程：</w:t>
      </w:r>
    </w:p>
    <w:p w14:paraId="585C0818">
      <w:pPr>
        <w:pStyle w:val="6"/>
        <w:widowControl/>
        <w:spacing w:beforeAutospacing="0" w:afterAutospacing="0" w:line="360" w:lineRule="auto"/>
        <w:rPr>
          <w:rFonts w:ascii="宋体" w:hAnsi="宋体" w:eastAsia="宋体" w:cs="宋体"/>
          <w:b/>
          <w:bCs/>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https://www.taobao.com/market/paimai/sf-helpcenter.php?path=sf-hc-right-content5#q8</w:t>
      </w:r>
    </w:p>
    <w:p w14:paraId="31C07F42">
      <w:pPr>
        <w:pStyle w:val="6"/>
        <w:shd w:val="clear" w:color="auto" w:fill="FFFFFF"/>
        <w:spacing w:beforeAutospacing="0" w:afterAutospacing="0" w:line="360" w:lineRule="auto"/>
        <w:ind w:firstLine="482" w:firstLineChars="200"/>
        <w:jc w:val="both"/>
        <w:rPr>
          <w:rFonts w:ascii="宋体" w:hAnsi="宋体" w:eastAsia="宋体" w:cs="宋体"/>
          <w:kern w:val="2"/>
        </w:rPr>
      </w:pPr>
      <w:r>
        <w:rPr>
          <w:rFonts w:hint="eastAsia" w:ascii="黑体" w:hAnsi="黑体" w:eastAsia="黑体" w:cs="黑体"/>
          <w:b/>
          <w:bCs/>
          <w:color w:val="000000" w:themeColor="text1"/>
          <w14:textFill>
            <w14:solidFill>
              <w14:schemeClr w14:val="tx1"/>
            </w14:solidFill>
          </w14:textFill>
        </w:rPr>
        <w:t>4.</w:t>
      </w:r>
      <w:r>
        <w:rPr>
          <w:rFonts w:hint="eastAsia" w:ascii="宋体" w:hAnsi="宋体" w:eastAsia="宋体" w:cs="宋体"/>
        </w:rPr>
        <w:t>买受人逾期未付清软件服务费、或逾期未足额支付竞价款或未依要求签署文件、办理交接手续等，属于悔拍行为。</w:t>
      </w:r>
      <w:r>
        <w:rPr>
          <w:rFonts w:hint="eastAsia" w:ascii="宋体" w:hAnsi="宋体" w:eastAsia="宋体" w:cs="宋体"/>
          <w:b/>
          <w:bCs/>
          <w:color w:val="C00000"/>
        </w:rPr>
        <w:t>买受人悔拍的，买受人交纳的保证金不予退还，计入星城医药公司财产，依次用于支付拍卖产生的费用损失、弥补重新拍卖成交价款低于原拍卖成交价款的差价、纳入星城医药公司财产等。管理人可提请重新拍卖，重新拍卖时，</w:t>
      </w:r>
      <w:r>
        <w:rPr>
          <w:rFonts w:hint="eastAsia" w:ascii="宋体" w:hAnsi="宋体" w:eastAsia="宋体" w:cs="宋体"/>
        </w:rPr>
        <w:t>原买受人不得参加竞价。</w:t>
      </w:r>
      <w:r>
        <w:rPr>
          <w:rFonts w:hint="eastAsia" w:ascii="宋体" w:hAnsi="宋体" w:eastAsia="宋体" w:cs="宋体"/>
          <w:kern w:val="2"/>
        </w:rPr>
        <w:t>重新拍卖成交价款低于原拍卖成交价款的，其差价由原买受人补偿和承担。原买受人的保证金数额不足以弥补拍卖费用损失以及重新拍卖成交价款低于原拍卖成交价款的差价的，原买受人应予补足，管理人可向原买受人追索。拒绝补交的，管理人将申请法院强制执行。</w:t>
      </w:r>
    </w:p>
    <w:p w14:paraId="79BDB4E0">
      <w:pPr>
        <w:pStyle w:val="6"/>
        <w:widowControl/>
        <w:spacing w:beforeAutospacing="0" w:afterAutospacing="0" w:line="360" w:lineRule="auto"/>
        <w:ind w:firstLine="482" w:firstLineChars="200"/>
        <w:rPr>
          <w:rFonts w:ascii="黑体" w:hAnsi="黑体" w:eastAsia="黑体" w:cs="黑体"/>
          <w:b/>
          <w:bCs/>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八、税费及其他费用承担</w:t>
      </w:r>
    </w:p>
    <w:p w14:paraId="2B027943">
      <w:pPr>
        <w:pStyle w:val="6"/>
        <w:widowControl/>
        <w:spacing w:beforeAutospacing="0" w:afterAutospacing="0" w:line="360" w:lineRule="auto"/>
        <w:ind w:firstLine="482" w:firstLineChars="200"/>
        <w:rPr>
          <w:rFonts w:ascii="宋体" w:hAnsi="宋体" w:eastAsia="宋体" w:cs="宋体"/>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1.</w:t>
      </w:r>
      <w:r>
        <w:rPr>
          <w:rFonts w:hint="eastAsia" w:ascii="宋体" w:hAnsi="宋体" w:eastAsia="宋体" w:cs="宋体"/>
          <w:color w:val="000000" w:themeColor="text1"/>
          <w14:textFill>
            <w14:solidFill>
              <w14:schemeClr w14:val="tx1"/>
            </w14:solidFill>
          </w14:textFill>
        </w:rPr>
        <w:t>按照《阿里拍卖平台破产资产处置频道收费规则》，拍卖标的物通过阿里拍卖系统网络竞价流程成交，买受人即应按照规则向淘宝支付软件服务费。软件服务费为系统成交价总额的千分之五即0.5%，上限为50万元。缴费方式：标的物竞拍成功后，网拍平台会生成一笔待支付的软件服务费，买受人通过线上支付该待支付的费用后，保证金方才转为部分成交价款支付至管理人帐户。买受人若不支付该笔软件服务费，则管理人无法收到保证金，视同买受人未支付相应的拍卖款。软件服务费付款期限为订单生成之日起7天内。如需服务发票的，可在系统中查看已完成的软件服务费支付记录并点击申请开票。上述软件服务费，买受人逾期未全额缴纳的，阿里拍卖平台可依法追缴。由此导致的逾期未能足额支付拍卖款等后果及责任，由买受人自行承担。上述收费规则详情请自行查看《阿里拍卖破产资产处置频道收费规则》并以阿里平台的规则为准，具体支付的费用以页面展示为准。</w:t>
      </w:r>
    </w:p>
    <w:p w14:paraId="77AB52DB">
      <w:pPr>
        <w:pStyle w:val="6"/>
        <w:widowControl/>
        <w:spacing w:beforeAutospacing="0" w:afterAutospacing="0" w:line="360" w:lineRule="auto"/>
        <w:ind w:firstLine="482"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如发生成交后竞拍不买、成交不卖的情况（由于拍卖平台原因导致的除外），买受人仍负有支付软件服务费的义务。本次标的物竞拍若有网络平台收取的其他手续费等，由买受人承担。前述费用是在拍卖成交金额之外另行收取，由买受人直接向淘宝支付，非管理人收取。</w:t>
      </w:r>
    </w:p>
    <w:p w14:paraId="619E5341">
      <w:pPr>
        <w:pStyle w:val="6"/>
        <w:widowControl/>
        <w:numPr>
          <w:ilvl w:val="255"/>
          <w:numId w:val="0"/>
        </w:numPr>
        <w:spacing w:beforeAutospacing="0" w:afterAutospacing="0" w:line="360" w:lineRule="auto"/>
        <w:ind w:firstLine="482" w:firstLineChars="200"/>
        <w:rPr>
          <w:rFonts w:ascii="宋体" w:hAnsi="宋体" w:eastAsia="宋体" w:cs="宋体"/>
          <w:color w:val="000000" w:themeColor="text1"/>
          <w:lang w:bidi="ar"/>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2.</w:t>
      </w:r>
      <w:r>
        <w:rPr>
          <w:rFonts w:hint="eastAsia" w:ascii="宋体" w:hAnsi="宋体" w:eastAsia="宋体" w:cs="宋体"/>
          <w:color w:val="000000" w:themeColor="text1"/>
          <w:lang w:bidi="ar"/>
          <w14:textFill>
            <w14:solidFill>
              <w14:schemeClr w14:val="tx1"/>
            </w14:solidFill>
          </w14:textFill>
        </w:rPr>
        <w:t>竞买人在竞投前应充分考虑到拍卖成交后可能需要支付的相关税、费、金及软件服务费等，并已充分了解标的物在拍卖成交后所产生的实物交接、相关政策规定及政策性调整所涉及的过户税费调整及不可抗力因素等方面所引发的风险；竞买人一旦参加竞价，就应对自己的竞买行为承担所有的法律责任和经济责任。竞买成交后，竞买人即为买受人，买受人不能以任何理由（包括“不可抗力”或“政策”等原因）要求退回标的物或拒付拍卖成交价款、软件服务费以及其他任何税、费。</w:t>
      </w:r>
    </w:p>
    <w:p w14:paraId="2AD0EB0B">
      <w:pPr>
        <w:pStyle w:val="6"/>
        <w:widowControl/>
        <w:numPr>
          <w:ilvl w:val="255"/>
          <w:numId w:val="0"/>
        </w:numPr>
        <w:spacing w:beforeAutospacing="0" w:afterAutospacing="0" w:line="360" w:lineRule="auto"/>
        <w:ind w:firstLine="482" w:firstLineChars="200"/>
        <w:rPr>
          <w:rFonts w:ascii="宋体" w:hAnsi="宋体" w:eastAsia="宋体" w:cs="宋体"/>
          <w:b/>
          <w:bCs/>
          <w:color w:val="000000" w:themeColor="text1"/>
          <w:lang w:bidi="ar"/>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特别注意事项：本次拍卖成交价不包含转让时双方的一切税、费、标的物交接运输费等费用；按法律、法规、政策规定所产生的税由相应主体承担；本次拍卖所涉及的除税以外的费及明确的或潜在的其他一切关联费用（包括但不限于拍卖方负担的）全部由买受人负责处理、承担。</w:t>
      </w:r>
    </w:p>
    <w:p w14:paraId="3B619064">
      <w:pPr>
        <w:spacing w:line="360" w:lineRule="auto"/>
        <w:ind w:firstLine="482" w:firstLineChars="200"/>
        <w:rPr>
          <w:rFonts w:ascii="宋体" w:hAnsi="宋体" w:eastAsia="宋体" w:cs="宋体"/>
          <w:color w:val="000000" w:themeColor="text1"/>
          <w:kern w:val="0"/>
          <w:sz w:val="24"/>
          <w:lang w:bidi="ar"/>
          <w14:textFill>
            <w14:solidFill>
              <w14:schemeClr w14:val="tx1"/>
            </w14:solidFill>
          </w14:textFill>
        </w:rPr>
      </w:pPr>
      <w:r>
        <w:rPr>
          <w:rFonts w:hint="eastAsia" w:ascii="黑体" w:hAnsi="黑体" w:eastAsia="黑体" w:cs="黑体"/>
          <w:b/>
          <w:bCs/>
          <w:color w:val="000000" w:themeColor="text1"/>
          <w:sz w:val="24"/>
          <w14:textFill>
            <w14:solidFill>
              <w14:schemeClr w14:val="tx1"/>
            </w14:solidFill>
          </w14:textFill>
        </w:rPr>
        <w:t>3.</w:t>
      </w:r>
      <w:r>
        <w:rPr>
          <w:rFonts w:hint="eastAsia" w:ascii="宋体" w:hAnsi="宋体" w:eastAsia="宋体" w:cs="宋体"/>
          <w:color w:val="000000" w:themeColor="text1"/>
          <w:kern w:val="0"/>
          <w:sz w:val="24"/>
          <w:lang w:bidi="ar"/>
          <w14:textFill>
            <w14:solidFill>
              <w14:schemeClr w14:val="tx1"/>
            </w14:solidFill>
          </w14:textFill>
        </w:rPr>
        <w:t>买受人在承担前述费用后，不得据此主张竞价无效或向管理人、拍卖服务机构索偿。</w:t>
      </w:r>
    </w:p>
    <w:p w14:paraId="18F94926">
      <w:pPr>
        <w:pStyle w:val="6"/>
        <w:widowControl/>
        <w:spacing w:beforeAutospacing="0" w:afterAutospacing="0" w:line="360" w:lineRule="auto"/>
        <w:ind w:firstLine="482" w:firstLineChars="200"/>
        <w:rPr>
          <w:rFonts w:ascii="黑体" w:hAnsi="黑体" w:eastAsia="黑体" w:cs="黑体"/>
          <w:b/>
          <w:bCs/>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九、拍品交付</w:t>
      </w:r>
    </w:p>
    <w:p w14:paraId="0302B2B1">
      <w:pPr>
        <w:pStyle w:val="2"/>
        <w:spacing w:line="360" w:lineRule="auto"/>
        <w:ind w:firstLine="482" w:firstLineChars="200"/>
        <w:rPr>
          <w:rFonts w:ascii="宋体" w:hAnsi="宋体" w:cs="宋体"/>
          <w:color w:val="000000" w:themeColor="text1"/>
          <w:sz w:val="24"/>
          <w14:textFill>
            <w14:solidFill>
              <w14:schemeClr w14:val="tx1"/>
            </w14:solidFill>
          </w14:textFill>
        </w:rPr>
      </w:pPr>
      <w:r>
        <w:rPr>
          <w:rFonts w:hint="eastAsia" w:ascii="黑体" w:hAnsi="黑体" w:eastAsia="黑体" w:cs="黑体"/>
          <w:b/>
          <w:bCs/>
          <w:color w:val="000000" w:themeColor="text1"/>
          <w:kern w:val="0"/>
          <w:sz w:val="24"/>
          <w:lang w:bidi="ar"/>
          <w14:textFill>
            <w14:solidFill>
              <w14:schemeClr w14:val="tx1"/>
            </w14:solidFill>
          </w14:textFill>
        </w:rPr>
        <w:t>1.</w:t>
      </w:r>
      <w:r>
        <w:rPr>
          <w:rFonts w:hint="eastAsia" w:ascii="宋体" w:hAnsi="宋体" w:eastAsia="宋体" w:cs="宋体"/>
          <w:color w:val="000000" w:themeColor="text1"/>
          <w:kern w:val="0"/>
          <w:sz w:val="24"/>
          <w:lang w:bidi="ar"/>
          <w14:textFill>
            <w14:solidFill>
              <w14:schemeClr w14:val="tx1"/>
            </w14:solidFill>
          </w14:textFill>
        </w:rPr>
        <w:t>买受人应于</w:t>
      </w:r>
      <w:r>
        <w:rPr>
          <w:rFonts w:hint="eastAsia" w:ascii="宋体" w:hAnsi="宋体" w:eastAsia="宋体" w:cs="宋体"/>
          <w:color w:val="C00000"/>
          <w:kern w:val="0"/>
          <w:sz w:val="24"/>
          <w:lang w:bidi="ar"/>
        </w:rPr>
        <w:t>付清全部拍卖成交款后5个工作日内</w:t>
      </w:r>
      <w:r>
        <w:rPr>
          <w:rFonts w:hint="eastAsia" w:ascii="宋体" w:hAnsi="宋体" w:eastAsia="宋体" w:cs="宋体"/>
          <w:color w:val="000000" w:themeColor="text1"/>
          <w:kern w:val="0"/>
          <w:sz w:val="24"/>
          <w:lang w:bidi="ar"/>
          <w14:textFill>
            <w14:solidFill>
              <w14:schemeClr w14:val="tx1"/>
            </w14:solidFill>
          </w14:textFill>
        </w:rPr>
        <w:t>（遇节假日顺延）凭缴齐全部款项的付款凭证及相关身份证明材料到管理人处办理交接手续【具体方式、联系地址等由管理人另行通知确定】。</w:t>
      </w:r>
    </w:p>
    <w:p w14:paraId="4B8A19AD">
      <w:pPr>
        <w:spacing w:line="360" w:lineRule="auto"/>
        <w:ind w:firstLine="482"/>
        <w:rPr>
          <w:rFonts w:ascii="宋体" w:hAnsi="宋体" w:eastAsia="宋体" w:cs="宋体"/>
          <w:color w:val="000000" w:themeColor="text1"/>
          <w:sz w:val="24"/>
          <w14:textFill>
            <w14:solidFill>
              <w14:schemeClr w14:val="tx1"/>
            </w14:solidFill>
          </w14:textFill>
        </w:rPr>
      </w:pPr>
      <w:r>
        <w:rPr>
          <w:rFonts w:hint="eastAsia" w:ascii="黑体" w:hAnsi="黑体" w:eastAsia="黑体" w:cs="黑体"/>
          <w:b/>
          <w:bCs/>
          <w:color w:val="000000" w:themeColor="text1"/>
          <w:sz w:val="24"/>
          <w14:textFill>
            <w14:solidFill>
              <w14:schemeClr w14:val="tx1"/>
            </w14:solidFill>
          </w14:textFill>
        </w:rPr>
        <w:t>2.</w:t>
      </w:r>
      <w:r>
        <w:rPr>
          <w:rFonts w:hint="eastAsia" w:ascii="宋体" w:hAnsi="宋体" w:eastAsia="宋体" w:cs="宋体"/>
          <w:color w:val="000000" w:themeColor="text1"/>
          <w:sz w:val="24"/>
          <w14:textFill>
            <w14:solidFill>
              <w14:schemeClr w14:val="tx1"/>
            </w14:solidFill>
          </w14:textFill>
        </w:rPr>
        <w:t>自拍卖成交之日起，买受人自行承担标的物可能发生的损毁、灭失等全部自然风险和安全责任、索赔责任等全部法律责任、经济责任。</w:t>
      </w:r>
    </w:p>
    <w:p w14:paraId="549C5D61">
      <w:pPr>
        <w:spacing w:line="360" w:lineRule="auto"/>
        <w:ind w:firstLine="482"/>
        <w:rPr>
          <w:rFonts w:ascii="仿宋" w:hAnsi="仿宋" w:eastAsia="仿宋" w:cs="仿宋"/>
          <w:sz w:val="24"/>
        </w:rPr>
      </w:pPr>
      <w:r>
        <w:rPr>
          <w:rFonts w:hint="eastAsia" w:ascii="黑体" w:hAnsi="黑体" w:eastAsia="黑体" w:cs="黑体"/>
          <w:b/>
          <w:bCs/>
          <w:color w:val="000000" w:themeColor="text1"/>
          <w:sz w:val="24"/>
          <w14:textFill>
            <w14:solidFill>
              <w14:schemeClr w14:val="tx1"/>
            </w14:solidFill>
          </w14:textFill>
        </w:rPr>
        <w:t>3.</w:t>
      </w:r>
      <w:r>
        <w:rPr>
          <w:rFonts w:hint="eastAsia" w:ascii="宋体" w:hAnsi="宋体" w:eastAsia="宋体" w:cs="宋体"/>
          <w:color w:val="000000" w:themeColor="text1"/>
          <w:sz w:val="24"/>
          <w14:textFill>
            <w14:solidFill>
              <w14:schemeClr w14:val="tx1"/>
            </w14:solidFill>
          </w14:textFill>
        </w:rPr>
        <w:t>标的物需要买受人自行领受，标的物以成交后交接时存在的状态就地进行交接，买受人对于标的物的拆卸、搬运、吊装及保管、清场工作均由买受人自行负责，交接过程中发生的看管费、装卸费、拆除费、机械费、人工费、运输费、各项损害赔偿费用等均由买受人承担。如交接、搬运、拆卸、吊装及清运等过程中发生人身伤亡、财产损害的，一切责任及费用由买受人承担。</w:t>
      </w:r>
    </w:p>
    <w:p w14:paraId="1D4F0378">
      <w:pPr>
        <w:pStyle w:val="5"/>
        <w:spacing w:line="360" w:lineRule="auto"/>
        <w:ind w:firstLine="482" w:firstLineChars="200"/>
        <w:rPr>
          <w:rFonts w:ascii="宋体" w:hAnsi="宋体" w:cs="宋体"/>
          <w:color w:val="000000" w:themeColor="text1"/>
          <w:kern w:val="0"/>
          <w:sz w:val="24"/>
          <w:lang w:bidi="ar"/>
          <w14:textFill>
            <w14:solidFill>
              <w14:schemeClr w14:val="tx1"/>
            </w14:solidFill>
          </w14:textFill>
        </w:rPr>
      </w:pPr>
      <w:r>
        <w:rPr>
          <w:rFonts w:hint="eastAsia" w:ascii="黑体" w:hAnsi="黑体" w:eastAsia="黑体" w:cs="黑体"/>
          <w:b/>
          <w:bCs/>
          <w:color w:val="000000" w:themeColor="text1"/>
          <w:kern w:val="0"/>
          <w:sz w:val="24"/>
          <w:lang w:bidi="ar"/>
          <w14:textFill>
            <w14:solidFill>
              <w14:schemeClr w14:val="tx1"/>
            </w14:solidFill>
          </w14:textFill>
        </w:rPr>
        <w:t>4</w:t>
      </w:r>
      <w:r>
        <w:rPr>
          <w:rFonts w:ascii="黑体" w:hAnsi="黑体" w:eastAsia="黑体" w:cs="黑体"/>
          <w:b/>
          <w:bCs/>
          <w:color w:val="000000" w:themeColor="text1"/>
          <w:kern w:val="0"/>
          <w:sz w:val="24"/>
          <w:lang w:bidi="ar"/>
          <w14:textFill>
            <w14:solidFill>
              <w14:schemeClr w14:val="tx1"/>
            </w14:solidFill>
          </w14:textFill>
        </w:rPr>
        <w:t>.</w:t>
      </w:r>
      <w:r>
        <w:rPr>
          <w:rFonts w:hint="eastAsia" w:ascii="宋体" w:hAnsi="宋体" w:cs="宋体"/>
          <w:color w:val="000000" w:themeColor="text1"/>
          <w:kern w:val="0"/>
          <w:sz w:val="24"/>
          <w:lang w:bidi="ar"/>
          <w14:textFill>
            <w14:solidFill>
              <w14:schemeClr w14:val="tx1"/>
            </w14:solidFill>
          </w14:textFill>
        </w:rPr>
        <w:t>拍卖成交后，买受人应当自行妥善处理与其他人的法律关系。买受人与其他人就标的产生的一切纠纷由买受人自行处理，管理人不承担任何责任。</w:t>
      </w:r>
    </w:p>
    <w:p w14:paraId="0C32124E">
      <w:pPr>
        <w:pStyle w:val="5"/>
        <w:spacing w:line="360" w:lineRule="auto"/>
        <w:ind w:firstLine="482" w:firstLineChars="200"/>
        <w:rPr>
          <w:rFonts w:ascii="仿宋" w:hAnsi="仿宋" w:eastAsia="仿宋" w:cs="仿宋"/>
          <w:sz w:val="24"/>
        </w:rPr>
      </w:pPr>
      <w:r>
        <w:rPr>
          <w:rFonts w:hint="eastAsia" w:ascii="黑体" w:hAnsi="黑体" w:eastAsia="黑体" w:cs="黑体"/>
          <w:b/>
          <w:bCs/>
          <w:color w:val="000000" w:themeColor="text1"/>
          <w:kern w:val="0"/>
          <w:sz w:val="24"/>
          <w:lang w:bidi="ar"/>
          <w14:textFill>
            <w14:solidFill>
              <w14:schemeClr w14:val="tx1"/>
            </w14:solidFill>
          </w14:textFill>
        </w:rPr>
        <w:t>5.</w:t>
      </w:r>
      <w:r>
        <w:rPr>
          <w:rFonts w:hint="eastAsia" w:ascii="宋体" w:hAnsi="宋体" w:cs="宋体"/>
          <w:color w:val="000000" w:themeColor="text1"/>
          <w:kern w:val="0"/>
          <w:sz w:val="24"/>
          <w:lang w:bidi="ar"/>
          <w14:textFill>
            <w14:solidFill>
              <w14:schemeClr w14:val="tx1"/>
            </w14:solidFill>
          </w14:textFill>
        </w:rPr>
        <w:t>拍卖成交后，</w:t>
      </w:r>
      <w:r>
        <w:rPr>
          <w:rFonts w:ascii="宋体" w:hAnsi="宋体" w:cs="宋体"/>
          <w:color w:val="000000" w:themeColor="text1"/>
          <w:kern w:val="0"/>
          <w:sz w:val="24"/>
          <w:lang w:bidi="ar"/>
          <w14:textFill>
            <w14:solidFill>
              <w14:schemeClr w14:val="tx1"/>
            </w14:solidFill>
          </w14:textFill>
        </w:rPr>
        <w:t>管理人仅提供《网络竞价成功确认书》，不负有其他材料（包括但不限于协助执行通知书等）的提供义务。</w:t>
      </w:r>
    </w:p>
    <w:p w14:paraId="056589C0">
      <w:pPr>
        <w:pStyle w:val="6"/>
        <w:widowControl/>
        <w:spacing w:beforeAutospacing="0" w:afterAutospacing="0" w:line="360" w:lineRule="auto"/>
        <w:ind w:firstLine="482" w:firstLineChars="200"/>
        <w:rPr>
          <w:rFonts w:ascii="黑体" w:hAnsi="黑体" w:eastAsia="黑体" w:cs="黑体"/>
          <w:b/>
          <w:bCs/>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十、送达地址</w:t>
      </w:r>
    </w:p>
    <w:p w14:paraId="13723B7F">
      <w:pPr>
        <w:pStyle w:val="6"/>
        <w:widowControl/>
        <w:spacing w:beforeAutospacing="0" w:afterAutospacing="0" w:line="360" w:lineRule="auto"/>
        <w:ind w:firstLine="480"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竞买人在拍卖竞价前应如实向阿里拍卖破产强清平台提供准确的联系电话及送达地址，上述联系方式视为竞买人指定的联系方式，如需更改，竞买人应在拍卖活动结束时与管理人联系确认更改。如果提供的送达地址不准确，或不及时告知变更后的地址，使管理人的相关文件无法送达或未能及时送达，买受人自行承担由此可能产生的法律后果。竞买人应承担可归责于无法联系竞买人导致成交后手续办理延迟或无法办理所产生的必要费用，并承担本标的物可能发生的损毁、灭失等后果。</w:t>
      </w:r>
    </w:p>
    <w:p w14:paraId="60187AB8">
      <w:pPr>
        <w:pStyle w:val="6"/>
        <w:widowControl/>
        <w:spacing w:beforeAutospacing="0" w:afterAutospacing="0" w:line="360" w:lineRule="auto"/>
        <w:ind w:firstLine="482" w:firstLineChars="200"/>
        <w:rPr>
          <w:rFonts w:ascii="黑体" w:hAnsi="黑体" w:eastAsia="黑体" w:cs="黑体"/>
          <w:b/>
          <w:bCs/>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十一、特别提醒</w:t>
      </w:r>
    </w:p>
    <w:p w14:paraId="4EB45309">
      <w:pPr>
        <w:pStyle w:val="6"/>
        <w:widowControl/>
        <w:spacing w:beforeAutospacing="0" w:afterAutospacing="0" w:line="360" w:lineRule="auto"/>
        <w:ind w:firstLine="482" w:firstLineChars="200"/>
        <w:rPr>
          <w:rFonts w:ascii="宋体" w:hAnsi="宋体" w:eastAsia="宋体" w:cs="宋体"/>
          <w:b/>
          <w:bCs/>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1.</w:t>
      </w:r>
      <w:r>
        <w:rPr>
          <w:rFonts w:hint="eastAsia" w:ascii="宋体" w:hAnsi="宋体" w:eastAsia="宋体" w:cs="宋体"/>
          <w:color w:val="000000" w:themeColor="text1"/>
          <w14:textFill>
            <w14:solidFill>
              <w14:schemeClr w14:val="tx1"/>
            </w14:solidFill>
          </w14:textFill>
        </w:rPr>
        <w:t>本次拍卖标的物以实物现状进行拍卖，包含显性及隐性瑕疵。拍卖成交后，按标的物现状（包括权利瑕疵、标的物瑕疵、管理人已接管的标的物资料等）交付。</w:t>
      </w:r>
      <w:r>
        <w:rPr>
          <w:rFonts w:hint="eastAsia" w:ascii="宋体" w:hAnsi="宋体" w:eastAsia="宋体" w:cs="宋体"/>
          <w:b/>
          <w:bCs/>
          <w:color w:val="000000" w:themeColor="text1"/>
          <w14:textFill>
            <w14:solidFill>
              <w14:schemeClr w14:val="tx1"/>
            </w14:solidFill>
          </w14:textFill>
        </w:rPr>
        <w:t>参与拍卖前，请竞买人自行对标的物品相、数量、重量、设备名称、规格型号或技术参数、生产厂家、质量、成份含量、成色、工艺、材质、原材料和成品真伪、影响标的物价值的其他因素等进行调查了解、评估、判断。竞买人未调查了解、鉴定、评估、判断的，亦视为竞买人已经充分了解和认可本标的物的状况。参与竞买即视为对拍卖标的物完全了解，并接受标的物已知和未知瑕疵，责任自负。本次拍卖所述内容、提供的图片、相交资料仅供参考，如与标的物现状有出入，则应以标的物交付时的现状为准。拍卖成交后，管理人按交接时的现状交付标的物，如数量、重量、质量、设备名称、规格型号或技术参数、生产厂家、成份含量、成色、材质、性能等有出入，管理人不作任何退补，且不保证拍卖标的物之真伪与品质，不承担瑕疵担保责任。管理人不承诺所披露瑕疵和风险点是全部的、无遗漏的、是完全正确的。</w:t>
      </w:r>
    </w:p>
    <w:p w14:paraId="1DDC89B1">
      <w:pPr>
        <w:pStyle w:val="6"/>
        <w:widowControl/>
        <w:spacing w:beforeAutospacing="0" w:afterAutospacing="0" w:line="360" w:lineRule="auto"/>
        <w:ind w:firstLine="482" w:firstLineChars="200"/>
        <w:rPr>
          <w:rFonts w:ascii="宋体" w:hAnsi="宋体" w:eastAsia="宋体" w:cs="宋体"/>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2.</w:t>
      </w:r>
      <w:r>
        <w:rPr>
          <w:rFonts w:hint="eastAsia" w:ascii="宋体" w:hAnsi="宋体" w:eastAsia="宋体" w:cs="宋体"/>
          <w:color w:val="000000" w:themeColor="text1"/>
          <w14:textFill>
            <w14:solidFill>
              <w14:schemeClr w14:val="tx1"/>
            </w14:solidFill>
          </w14:textFill>
        </w:rPr>
        <w:t>本次拍卖公告所披露的信息和瑕疵（含显性、隐性瑕疵）仅供参考，不能作为竞买人判断、权衡价值的最终依据，法院、管理人和拍卖平台不能保证该标的是否可能存在其它缺陷，诸如本公告列举但可能并未穷尽的涉及到标的物的各种瑕疵情况、各种欠税、欠费以及其他的相关费用或者其他的各种不利情况和负担、不利影响等。竞买人务必于拍卖开始前亲自对该拍卖标的物的法律及自然现状进行深入而全面地了解，向相关主体了解标的现状或聘请专家鉴定。竞买人一旦完成报名手续，即表明对该标的的现状已作全面了解。</w:t>
      </w:r>
    </w:p>
    <w:p w14:paraId="0AFCEB91">
      <w:pPr>
        <w:pStyle w:val="6"/>
        <w:widowControl/>
        <w:spacing w:beforeAutospacing="0" w:afterAutospacing="0" w:line="360" w:lineRule="auto"/>
        <w:ind w:firstLine="482" w:firstLineChars="200"/>
        <w:rPr>
          <w:rFonts w:ascii="黑体" w:hAnsi="黑体" w:eastAsia="黑体" w:cs="黑体"/>
          <w:b/>
          <w:bCs/>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3.</w:t>
      </w:r>
      <w:r>
        <w:rPr>
          <w:rFonts w:hint="eastAsia" w:ascii="宋体" w:hAnsi="宋体" w:eastAsia="宋体" w:cs="宋体"/>
          <w:b/>
          <w:bCs/>
          <w:color w:val="000000" w:themeColor="text1"/>
          <w14:textFill>
            <w14:solidFill>
              <w14:schemeClr w14:val="tx1"/>
            </w14:solidFill>
          </w14:textFill>
        </w:rPr>
        <w:t>本次拍卖标的未经评估机构评估,拍卖标的评估价格系管理人通过自主询价方式确定，仅供参考，不作为交付依据。拍卖标的物亦可能存在挂拍后至竞买成交日期间因自然因素、经济因素、社会因素等各种潜在事项和因素导致脱落、损耗、贬值等与竞买文件记载内容不一致情形，均不影响本次拍卖的成交和成交价。</w:t>
      </w:r>
    </w:p>
    <w:p w14:paraId="6475BE8C">
      <w:pPr>
        <w:pStyle w:val="6"/>
        <w:widowControl/>
        <w:spacing w:beforeAutospacing="0" w:afterAutospacing="0" w:line="360" w:lineRule="auto"/>
        <w:ind w:firstLine="482" w:firstLineChars="200"/>
        <w:rPr>
          <w:rFonts w:ascii="宋体" w:hAnsi="宋体" w:eastAsia="宋体" w:cs="宋体"/>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4.</w:t>
      </w:r>
      <w:r>
        <w:rPr>
          <w:rFonts w:hint="eastAsia" w:ascii="宋体" w:hAnsi="宋体" w:eastAsia="宋体" w:cs="宋体"/>
          <w:color w:val="000000" w:themeColor="text1"/>
          <w14:textFill>
            <w14:solidFill>
              <w14:schemeClr w14:val="tx1"/>
            </w14:solidFill>
          </w14:textFill>
        </w:rPr>
        <w:t>竞买人应于拍卖前仔细审查拍卖标的物，调查是否存在瑕疵，认真研究查看拍卖标的物的实际情况，确认能否正常使用等问题，风险自行承担。</w:t>
      </w:r>
      <w:r>
        <w:rPr>
          <w:rFonts w:hint="eastAsia" w:ascii="宋体" w:hAnsi="宋体" w:eastAsia="宋体" w:cs="宋体"/>
          <w:b/>
          <w:bCs/>
          <w:color w:val="000000" w:themeColor="text1"/>
          <w14:textFill>
            <w14:solidFill>
              <w14:schemeClr w14:val="tx1"/>
            </w14:solidFill>
          </w14:textFill>
        </w:rPr>
        <w:t>竞买人应慎重决定竞买行为，一旦报名参与竞买，即表明已完全了解，并接受标的物的现状和一切已知及未知的瑕疵，责任自负。法院、管理人和拍卖平台不承担本标的任何瑕疵担保责任。</w:t>
      </w:r>
    </w:p>
    <w:p w14:paraId="446EA998">
      <w:pPr>
        <w:pStyle w:val="6"/>
        <w:widowControl/>
        <w:spacing w:beforeAutospacing="0" w:afterAutospacing="0" w:line="360" w:lineRule="auto"/>
        <w:ind w:firstLine="482" w:firstLineChars="200"/>
        <w:rPr>
          <w:rFonts w:ascii="宋体" w:hAnsi="宋体" w:eastAsia="宋体" w:cs="宋体"/>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5.</w:t>
      </w:r>
      <w:r>
        <w:rPr>
          <w:rFonts w:hint="eastAsia" w:ascii="宋体" w:hAnsi="宋体" w:eastAsia="宋体" w:cs="宋体"/>
          <w:color w:val="000000" w:themeColor="text1"/>
          <w14:textFill>
            <w14:solidFill>
              <w14:schemeClr w14:val="tx1"/>
            </w14:solidFill>
          </w14:textFill>
        </w:rPr>
        <w:t>参加竞买的人应当遵守竞买文件的规定，不得阻挠其他竞买人竞拍，不得操纵、垄断竞拍价格，严禁竞买人恶意串标，上述行为一经发现，将取消其竞买资格，并追究相关法律责任。</w:t>
      </w:r>
    </w:p>
    <w:p w14:paraId="65D53CB8">
      <w:pPr>
        <w:pStyle w:val="6"/>
        <w:widowControl/>
        <w:spacing w:beforeAutospacing="0" w:afterAutospacing="0" w:line="360" w:lineRule="auto"/>
        <w:ind w:firstLine="482" w:firstLineChars="200"/>
        <w:rPr>
          <w:rFonts w:ascii="黑体" w:hAnsi="黑体" w:eastAsia="黑体" w:cs="黑体"/>
          <w:b/>
          <w:bCs/>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6.</w:t>
      </w:r>
      <w:r>
        <w:rPr>
          <w:rFonts w:hint="eastAsia" w:ascii="宋体" w:hAnsi="宋体" w:eastAsia="宋体" w:cs="宋体"/>
          <w:color w:val="000000" w:themeColor="text1"/>
          <w14:textFill>
            <w14:solidFill>
              <w14:schemeClr w14:val="tx1"/>
            </w14:solidFill>
          </w14:textFill>
        </w:rPr>
        <w:t>湖南省长沙市中级人民法院与管理人有权在竞价开始前、竞价过程中，中止竞价或撤回竞价。</w:t>
      </w:r>
    </w:p>
    <w:p w14:paraId="0DC74AA4">
      <w:pPr>
        <w:pStyle w:val="6"/>
        <w:widowControl/>
        <w:spacing w:beforeAutospacing="0" w:afterAutospacing="0" w:line="360" w:lineRule="auto"/>
        <w:ind w:firstLine="482" w:firstLineChars="200"/>
        <w:rPr>
          <w:rFonts w:ascii="宋体" w:hAnsi="宋体" w:eastAsia="宋体" w:cs="宋体"/>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7.</w:t>
      </w:r>
      <w:r>
        <w:rPr>
          <w:rFonts w:hint="eastAsia" w:ascii="宋体" w:hAnsi="宋体" w:eastAsia="宋体" w:cs="宋体"/>
          <w:color w:val="000000" w:themeColor="text1"/>
          <w14:textFill>
            <w14:solidFill>
              <w14:schemeClr w14:val="tx1"/>
            </w14:solidFill>
          </w14:textFill>
        </w:rPr>
        <w:t>因标的为破产财产性质，标的成交后，管理人无法提供发票。</w:t>
      </w:r>
    </w:p>
    <w:p w14:paraId="71B64F26">
      <w:pPr>
        <w:pStyle w:val="6"/>
        <w:widowControl/>
        <w:spacing w:beforeAutospacing="0" w:afterAutospacing="0" w:line="360" w:lineRule="auto"/>
        <w:ind w:firstLine="482" w:firstLineChars="200"/>
        <w:rPr>
          <w:rFonts w:ascii="宋体" w:hAnsi="宋体" w:eastAsia="宋体" w:cs="宋体"/>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8.</w:t>
      </w:r>
      <w:r>
        <w:rPr>
          <w:rFonts w:hint="eastAsia" w:ascii="宋体" w:hAnsi="宋体" w:eastAsia="宋体" w:cs="宋体"/>
          <w:color w:val="000000" w:themeColor="text1"/>
          <w14:textFill>
            <w14:solidFill>
              <w14:schemeClr w14:val="tx1"/>
            </w14:solidFill>
          </w14:textFill>
        </w:rPr>
        <w:t>与本标的物有利害关系的人可参加竞拍，不参加竞拍的请关注本次拍卖活动的整个过程。</w:t>
      </w:r>
    </w:p>
    <w:p w14:paraId="6869D3AD">
      <w:pPr>
        <w:pStyle w:val="6"/>
        <w:widowControl/>
        <w:spacing w:beforeAutospacing="0" w:afterAutospacing="0" w:line="360" w:lineRule="auto"/>
        <w:ind w:firstLine="482" w:firstLineChars="200"/>
        <w:rPr>
          <w:rFonts w:ascii="宋体" w:hAnsi="宋体" w:eastAsia="宋体" w:cs="宋体"/>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9.</w:t>
      </w:r>
      <w:r>
        <w:rPr>
          <w:rFonts w:hint="eastAsia" w:ascii="宋体" w:hAnsi="宋体" w:eastAsia="宋体" w:cs="宋体"/>
          <w:color w:val="000000" w:themeColor="text1"/>
          <w14:textFill>
            <w14:solidFill>
              <w14:schemeClr w14:val="tx1"/>
            </w14:solidFill>
          </w14:textFill>
        </w:rPr>
        <w:t>竞买人成功竞得拍卖标的物后，破产强清平台将生成相应《网络竞价成功确认书》，确认书中载明实际买受人姓名、网拍竞买号信息。</w:t>
      </w:r>
    </w:p>
    <w:p w14:paraId="3D40E51A">
      <w:pPr>
        <w:pStyle w:val="6"/>
        <w:widowControl/>
        <w:spacing w:beforeAutospacing="0" w:afterAutospacing="0" w:line="360" w:lineRule="auto"/>
        <w:ind w:firstLine="482" w:firstLineChars="200"/>
        <w:rPr>
          <w:rFonts w:ascii="宋体" w:hAnsi="宋体" w:eastAsia="宋体" w:cs="宋体"/>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10.</w:t>
      </w:r>
      <w:r>
        <w:rPr>
          <w:rFonts w:hint="eastAsia" w:ascii="宋体" w:hAnsi="宋体" w:eastAsia="宋体" w:cs="宋体"/>
          <w:color w:val="000000" w:themeColor="text1"/>
          <w14:textFill>
            <w14:solidFill>
              <w14:schemeClr w14:val="tx1"/>
            </w14:solidFill>
          </w14:textFill>
        </w:rPr>
        <w:t>竞买人在拍卖竞价前请务必仔细阅读标的物的竞买公告、竞买须知、标的物介绍等竞买文件。本公告未尽事宜，请向管理人咨询。</w:t>
      </w:r>
    </w:p>
    <w:p w14:paraId="224054FC">
      <w:pPr>
        <w:pStyle w:val="6"/>
        <w:widowControl/>
        <w:spacing w:beforeAutospacing="0" w:afterAutospacing="0" w:line="360" w:lineRule="auto"/>
        <w:ind w:firstLine="480"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管理人咨询电话：周律师，</w:t>
      </w:r>
      <w:r>
        <w:rPr>
          <w:rFonts w:ascii="宋体" w:hAnsi="宋体" w:eastAsia="宋体" w:cs="宋体"/>
          <w:color w:val="000000" w:themeColor="text1"/>
          <w14:textFill>
            <w14:solidFill>
              <w14:schemeClr w14:val="tx1"/>
            </w14:solidFill>
          </w14:textFill>
        </w:rPr>
        <w:t>15558815578</w:t>
      </w:r>
      <w:r>
        <w:rPr>
          <w:rFonts w:hint="eastAsia" w:ascii="宋体" w:hAnsi="宋体" w:eastAsia="宋体" w:cs="宋体"/>
          <w:color w:val="000000" w:themeColor="text1"/>
          <w14:textFill>
            <w14:solidFill>
              <w14:schemeClr w14:val="tx1"/>
            </w14:solidFill>
          </w14:textFill>
        </w:rPr>
        <w:t>，金律师，1</w:t>
      </w:r>
      <w:r>
        <w:rPr>
          <w:rFonts w:ascii="宋体" w:hAnsi="宋体" w:eastAsia="宋体" w:cs="宋体"/>
          <w:color w:val="000000" w:themeColor="text1"/>
          <w14:textFill>
            <w14:solidFill>
              <w14:schemeClr w14:val="tx1"/>
            </w14:solidFill>
          </w14:textFill>
        </w:rPr>
        <w:t>5958012283</w:t>
      </w:r>
      <w:r>
        <w:rPr>
          <w:rFonts w:hint="eastAsia" w:ascii="宋体" w:hAnsi="宋体" w:eastAsia="宋体" w:cs="宋体"/>
          <w:color w:val="000000" w:themeColor="text1"/>
          <w14:textFill>
            <w14:solidFill>
              <w14:schemeClr w14:val="tx1"/>
            </w14:solidFill>
          </w14:textFill>
        </w:rPr>
        <w:t>；联系地址：浙江省温州市鹿城区市府路592号新益大厦A栋802室。</w:t>
      </w:r>
    </w:p>
    <w:p w14:paraId="001E4C92">
      <w:pPr>
        <w:pStyle w:val="6"/>
        <w:widowControl/>
        <w:numPr>
          <w:ilvl w:val="255"/>
          <w:numId w:val="0"/>
        </w:numPr>
        <w:spacing w:beforeAutospacing="0" w:afterAutospacing="0" w:line="360" w:lineRule="auto"/>
        <w:ind w:left="420" w:leftChars="200"/>
        <w:rPr>
          <w:rFonts w:ascii="宋体" w:hAnsi="宋体" w:eastAsia="宋体" w:cs="宋体"/>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11.</w:t>
      </w:r>
      <w:r>
        <w:rPr>
          <w:rFonts w:hint="eastAsia" w:ascii="宋体" w:hAnsi="宋体" w:eastAsia="宋体" w:cs="宋体"/>
          <w:color w:val="000000" w:themeColor="text1"/>
          <w14:textFill>
            <w14:solidFill>
              <w14:schemeClr w14:val="tx1"/>
            </w14:solidFill>
          </w14:textFill>
        </w:rPr>
        <w:t>凡发现竞价中有违规行为，可如实举报。</w:t>
      </w:r>
    </w:p>
    <w:p w14:paraId="701A882B">
      <w:pPr>
        <w:pStyle w:val="6"/>
        <w:widowControl/>
        <w:numPr>
          <w:ilvl w:val="255"/>
          <w:numId w:val="0"/>
        </w:numPr>
        <w:spacing w:beforeAutospacing="0" w:afterAutospacing="0" w:line="360" w:lineRule="auto"/>
        <w:ind w:left="420" w:leftChars="200"/>
        <w:rPr>
          <w:rFonts w:ascii="宋体" w:hAnsi="宋体" w:eastAsia="宋体" w:cs="宋体"/>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12.</w:t>
      </w:r>
      <w:r>
        <w:rPr>
          <w:rFonts w:hint="eastAsia" w:ascii="宋体" w:hAnsi="宋体" w:eastAsia="宋体" w:cs="宋体"/>
          <w:color w:val="000000" w:themeColor="text1"/>
          <w14:textFill>
            <w14:solidFill>
              <w14:schemeClr w14:val="tx1"/>
            </w14:solidFill>
          </w14:textFill>
        </w:rPr>
        <w:t>由于破产企业材料缺失严重，管理人未能接管到除标的物实物本身以外</w:t>
      </w:r>
    </w:p>
    <w:p w14:paraId="643FFCE4">
      <w:pPr>
        <w:pStyle w:val="6"/>
        <w:widowControl/>
        <w:numPr>
          <w:ilvl w:val="255"/>
          <w:numId w:val="0"/>
        </w:numPr>
        <w:spacing w:beforeAutospacing="0" w:afterAutospacing="0" w:line="360" w:lineRule="auto"/>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的项目资料（例如相关购买凭证、购买发票等），买受人自行了解资料、信息等缺失的影响并承担相应的风险。</w:t>
      </w:r>
    </w:p>
    <w:p w14:paraId="7C83C8C7">
      <w:pPr>
        <w:pStyle w:val="6"/>
        <w:widowControl/>
        <w:numPr>
          <w:ilvl w:val="0"/>
          <w:numId w:val="2"/>
        </w:numPr>
        <w:spacing w:beforeAutospacing="0" w:afterAutospacing="0" w:line="360" w:lineRule="auto"/>
        <w:ind w:left="420" w:leftChars="2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标的物已经破产企业正常经营时使用过，且自破产企业陷入不正常经营</w:t>
      </w:r>
    </w:p>
    <w:p w14:paraId="142727BD">
      <w:pPr>
        <w:pStyle w:val="6"/>
        <w:widowControl/>
        <w:numPr>
          <w:ilvl w:val="255"/>
          <w:numId w:val="0"/>
        </w:numPr>
        <w:spacing w:beforeAutospacing="0" w:afterAutospacing="0" w:line="360" w:lineRule="auto"/>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至今七八年之久，期间未经保管、维护、修缮，存放环境差，故拍卖标的可能存在零件缺失、功能瑕疵或缺陷、质量问题、安全风险等问题，竞标人应慎重报名、自行综合考虑资金、时间等各项成本并自行承担一切不利后果及责任风险，包括但不限于标的物难以或无法使用、无法运行、丧失全部性能与价值、引发安全事故、导致人身伤亡或财产损失等。</w:t>
      </w:r>
    </w:p>
    <w:p w14:paraId="478D8F6B">
      <w:pPr>
        <w:pStyle w:val="6"/>
        <w:widowControl/>
        <w:spacing w:beforeAutospacing="0" w:afterAutospacing="0" w:line="360" w:lineRule="auto"/>
        <w:ind w:firstLine="480"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法院监督电话：0731-85798378</w:t>
      </w:r>
    </w:p>
    <w:p w14:paraId="11960D70">
      <w:pPr>
        <w:pStyle w:val="6"/>
        <w:widowControl/>
        <w:spacing w:beforeAutospacing="0" w:afterAutospacing="0" w:line="360" w:lineRule="auto"/>
        <w:ind w:firstLine="480"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淘宝技术咨询：400-822-2870</w:t>
      </w:r>
    </w:p>
    <w:p w14:paraId="39E45F94">
      <w:pPr>
        <w:pStyle w:val="6"/>
        <w:widowControl/>
        <w:spacing w:beforeAutospacing="0" w:afterAutospacing="0" w:line="360" w:lineRule="auto"/>
        <w:jc w:val="right"/>
        <w:rPr>
          <w:rFonts w:ascii="宋体" w:hAnsi="宋体" w:eastAsia="宋体" w:cs="宋体"/>
          <w:color w:val="000000" w:themeColor="text1"/>
          <w14:textFill>
            <w14:solidFill>
              <w14:schemeClr w14:val="tx1"/>
            </w14:solidFill>
          </w14:textFill>
        </w:rPr>
      </w:pPr>
    </w:p>
    <w:p w14:paraId="141CD865">
      <w:pPr>
        <w:pStyle w:val="6"/>
        <w:widowControl/>
        <w:spacing w:beforeAutospacing="0" w:afterAutospacing="0" w:line="360" w:lineRule="auto"/>
        <w:jc w:val="right"/>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湖南星城医药有限公司管理人</w:t>
      </w:r>
    </w:p>
    <w:p w14:paraId="0D9A69C0">
      <w:pPr>
        <w:pStyle w:val="6"/>
        <w:widowControl/>
        <w:spacing w:beforeAutospacing="0" w:afterAutospacing="0" w:line="360" w:lineRule="auto"/>
        <w:jc w:val="right"/>
        <w:rPr>
          <w:rFonts w:ascii="宋体" w:hAnsi="宋体" w:eastAsia="宋体" w:cs="宋体"/>
          <w:color w:val="000000" w:themeColor="text1"/>
          <w:highlight w:val="yellow"/>
          <w14:textFill>
            <w14:solidFill>
              <w14:schemeClr w14:val="tx1"/>
            </w14:solidFill>
          </w14:textFill>
        </w:rPr>
      </w:pPr>
      <w:r>
        <w:rPr>
          <w:rFonts w:ascii="宋体" w:hAnsi="宋体" w:eastAsia="宋体" w:cs="宋体"/>
          <w:color w:val="000000" w:themeColor="text1"/>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二〇二四年十</w:t>
      </w:r>
      <w:r>
        <w:rPr>
          <w:rFonts w:hint="eastAsia" w:ascii="宋体" w:hAnsi="宋体" w:eastAsia="宋体" w:cs="宋体"/>
          <w:color w:val="000000" w:themeColor="text1"/>
          <w:lang w:eastAsia="zh-CN"/>
          <w14:textFill>
            <w14:solidFill>
              <w14:schemeClr w14:val="tx1"/>
            </w14:solidFill>
          </w14:textFill>
        </w:rPr>
        <w:t>二</w:t>
      </w:r>
      <w:r>
        <w:rPr>
          <w:rFonts w:hint="eastAsia" w:ascii="宋体" w:hAnsi="宋体" w:eastAsia="宋体" w:cs="宋体"/>
          <w:color w:val="000000" w:themeColor="text1"/>
          <w14:textFill>
            <w14:solidFill>
              <w14:schemeClr w14:val="tx1"/>
            </w14:solidFill>
          </w14:textFill>
        </w:rPr>
        <w:t>月</w:t>
      </w:r>
      <w:r>
        <w:rPr>
          <w:rFonts w:hint="eastAsia" w:ascii="宋体" w:hAnsi="宋体" w:eastAsia="宋体" w:cs="宋体"/>
          <w:color w:val="000000" w:themeColor="text1"/>
          <w:lang w:eastAsia="zh-CN"/>
          <w14:textFill>
            <w14:solidFill>
              <w14:schemeClr w14:val="tx1"/>
            </w14:solidFill>
          </w14:textFill>
        </w:rPr>
        <w:t>十一</w:t>
      </w:r>
      <w:r>
        <w:rPr>
          <w:rFonts w:hint="eastAsia" w:ascii="宋体" w:hAnsi="宋体" w:eastAsia="宋体" w:cs="宋体"/>
          <w:color w:val="000000" w:themeColor="text1"/>
          <w14:textFill>
            <w14:solidFill>
              <w14:schemeClr w14:val="tx1"/>
            </w14:solidFill>
          </w14:textFill>
        </w:rPr>
        <w:t>日</w:t>
      </w:r>
    </w:p>
    <w:p w14:paraId="40E130BF">
      <w:pPr>
        <w:spacing w:line="360" w:lineRule="auto"/>
        <w:rPr>
          <w:rFonts w:ascii="宋体" w:hAnsi="宋体" w:eastAsia="宋体" w:cs="宋体"/>
          <w:color w:val="000000" w:themeColor="text1"/>
          <w:sz w:val="24"/>
          <w:highlight w:val="yellow"/>
          <w14:textFill>
            <w14:solidFill>
              <w14:schemeClr w14:val="tx1"/>
            </w14:solidFill>
          </w14:textFill>
        </w:rPr>
      </w:pPr>
      <w:r>
        <w:rPr>
          <w:rFonts w:hint="eastAsia" w:ascii="宋体" w:hAnsi="宋体" w:eastAsia="宋体" w:cs="宋体"/>
          <w:color w:val="000000" w:themeColor="text1"/>
          <w:sz w:val="24"/>
          <w:highlight w:val="yellow"/>
          <w14:textFill>
            <w14:solidFill>
              <w14:schemeClr w14:val="tx1"/>
            </w14:solidFill>
          </w14:textFill>
        </w:rPr>
        <w:br w:type="page"/>
      </w:r>
    </w:p>
    <w:p w14:paraId="5EC1ABBA">
      <w:pPr>
        <w:pStyle w:val="6"/>
        <w:widowControl/>
        <w:spacing w:beforeAutospacing="0" w:after="150" w:afterAutospacing="0" w:line="360" w:lineRule="auto"/>
        <w:jc w:val="center"/>
        <w:rPr>
          <w:rFonts w:ascii="黑体" w:hAnsi="黑体" w:eastAsia="黑体" w:cs="黑体"/>
          <w:b/>
          <w:bCs/>
          <w:color w:val="000000" w:themeColor="text1"/>
          <w:sz w:val="36"/>
          <w:szCs w:val="36"/>
          <w14:textFill>
            <w14:solidFill>
              <w14:schemeClr w14:val="tx1"/>
            </w14:solidFill>
          </w14:textFill>
        </w:rPr>
      </w:pPr>
      <w:r>
        <w:rPr>
          <w:rFonts w:hint="eastAsia" w:ascii="黑体" w:hAnsi="黑体" w:eastAsia="黑体" w:cs="黑体"/>
          <w:b/>
          <w:bCs/>
          <w:color w:val="000000" w:themeColor="text1"/>
          <w:sz w:val="36"/>
          <w:szCs w:val="36"/>
          <w14:textFill>
            <w14:solidFill>
              <w14:schemeClr w14:val="tx1"/>
            </w14:solidFill>
          </w14:textFill>
        </w:rPr>
        <w:t>竞买须知</w:t>
      </w:r>
    </w:p>
    <w:p w14:paraId="2C317F4A">
      <w:pPr>
        <w:spacing w:line="360" w:lineRule="auto"/>
        <w:ind w:firstLine="480" w:firstLineChars="200"/>
        <w:jc w:val="left"/>
        <w:rPr>
          <w:rFonts w:ascii="仿宋" w:hAnsi="仿宋" w:eastAsia="仿宋" w:cs="仿宋"/>
          <w:sz w:val="24"/>
        </w:rPr>
      </w:pPr>
      <w:r>
        <w:rPr>
          <w:rFonts w:hint="eastAsia" w:ascii="宋体" w:hAnsi="宋体" w:eastAsia="宋体" w:cs="宋体"/>
          <w:color w:val="000000" w:themeColor="text1"/>
          <w:sz w:val="24"/>
          <w14:textFill>
            <w14:solidFill>
              <w14:schemeClr w14:val="tx1"/>
            </w14:solidFill>
          </w14:textFill>
        </w:rPr>
        <w:t>湖南星城医药有限公司管理人（以下简称“管理人”）将于</w:t>
      </w:r>
      <w:r>
        <w:rPr>
          <w:rFonts w:hint="eastAsia" w:ascii="宋体" w:hAnsi="宋体" w:eastAsia="宋体" w:cs="宋体"/>
          <w:b/>
          <w:bCs/>
          <w:color w:val="000000" w:themeColor="text1"/>
          <w:sz w:val="24"/>
          <w14:textFill>
            <w14:solidFill>
              <w14:schemeClr w14:val="tx1"/>
            </w14:solidFill>
          </w14:textFill>
        </w:rPr>
        <w:t>2024年12月</w:t>
      </w:r>
      <w:r>
        <w:rPr>
          <w:rFonts w:hint="eastAsia" w:ascii="宋体" w:hAnsi="宋体" w:eastAsia="宋体" w:cs="宋体"/>
          <w:b/>
          <w:bCs/>
          <w:color w:val="000000" w:themeColor="text1"/>
          <w:sz w:val="24"/>
          <w:lang w:val="en-US" w:eastAsia="zh-CN"/>
          <w14:textFill>
            <w14:solidFill>
              <w14:schemeClr w14:val="tx1"/>
            </w14:solidFill>
          </w14:textFill>
        </w:rPr>
        <w:t>27</w:t>
      </w:r>
      <w:r>
        <w:rPr>
          <w:rFonts w:hint="eastAsia" w:ascii="宋体" w:hAnsi="宋体" w:eastAsia="宋体" w:cs="宋体"/>
          <w:b/>
          <w:bCs/>
          <w:color w:val="000000" w:themeColor="text1"/>
          <w:sz w:val="24"/>
          <w14:textFill>
            <w14:solidFill>
              <w14:schemeClr w14:val="tx1"/>
            </w14:solidFill>
          </w14:textFill>
        </w:rPr>
        <w:t>日10时至2024年12月</w:t>
      </w:r>
      <w:r>
        <w:rPr>
          <w:rFonts w:hint="eastAsia" w:ascii="宋体" w:hAnsi="宋体" w:eastAsia="宋体" w:cs="宋体"/>
          <w:b/>
          <w:bCs/>
          <w:color w:val="000000" w:themeColor="text1"/>
          <w:sz w:val="24"/>
          <w:lang w:val="en-US" w:eastAsia="zh-CN"/>
          <w14:textFill>
            <w14:solidFill>
              <w14:schemeClr w14:val="tx1"/>
            </w14:solidFill>
          </w14:textFill>
        </w:rPr>
        <w:t>28</w:t>
      </w:r>
      <w:r>
        <w:rPr>
          <w:rFonts w:hint="eastAsia" w:ascii="宋体" w:hAnsi="宋体" w:eastAsia="宋体" w:cs="宋体"/>
          <w:b/>
          <w:bCs/>
          <w:color w:val="000000" w:themeColor="text1"/>
          <w:sz w:val="24"/>
          <w14:textFill>
            <w14:solidFill>
              <w14:schemeClr w14:val="tx1"/>
            </w14:solidFill>
          </w14:textFill>
        </w:rPr>
        <w:t>日10时止</w:t>
      </w:r>
      <w:r>
        <w:rPr>
          <w:rFonts w:hint="eastAsia" w:ascii="宋体" w:hAnsi="宋体" w:eastAsia="宋体" w:cs="宋体"/>
          <w:color w:val="000000" w:themeColor="text1"/>
          <w:sz w:val="24"/>
          <w14:textFill>
            <w14:solidFill>
              <w14:schemeClr w14:val="tx1"/>
            </w14:solidFill>
          </w14:textFill>
        </w:rPr>
        <w:t>（延时除外）对湖南星城医药有限公司的办公用品、设备及其他物品在淘宝司法拍卖网络平台（处置单位：湖南星城医药有限公司管理人，监督单位：长沙市中级人民法院，网址：</w:t>
      </w:r>
      <w:r>
        <w:fldChar w:fldCharType="begin"/>
      </w:r>
      <w:r>
        <w:instrText xml:space="preserve"> HYPERLINK "https://susong.taobao.com/court_item.htm?user_%EF%BC%89%E8%BF%9B%E8%A1%8C%E5%85%AC%E5%BC%80%E6%8B%8D%E5%8D%96%E6%B4%BB%E5%8A%A8" </w:instrText>
      </w:r>
      <w:r>
        <w:fldChar w:fldCharType="separate"/>
      </w:r>
      <w:r>
        <w:rPr>
          <w:rStyle w:val="10"/>
          <w:rFonts w:hint="eastAsia" w:ascii="宋体" w:hAnsi="宋体" w:eastAsia="宋体" w:cs="宋体"/>
          <w:color w:val="000000" w:themeColor="text1"/>
          <w:sz w:val="24"/>
          <w:u w:val="none"/>
          <w14:textFill>
            <w14:solidFill>
              <w14:schemeClr w14:val="tx1"/>
            </w14:solidFill>
          </w14:textFill>
        </w:rPr>
        <w:t>https://susong.taobao.com）进行公开拍卖活动</w:t>
      </w:r>
      <w:r>
        <w:rPr>
          <w:rStyle w:val="10"/>
          <w:rFonts w:hint="eastAsia" w:ascii="宋体" w:hAnsi="宋体" w:eastAsia="宋体" w:cs="宋体"/>
          <w:color w:val="000000" w:themeColor="text1"/>
          <w:sz w:val="24"/>
          <w:u w:val="none"/>
          <w14:textFill>
            <w14:solidFill>
              <w14:schemeClr w14:val="tx1"/>
            </w14:solidFill>
          </w14:textFill>
        </w:rPr>
        <w:fldChar w:fldCharType="end"/>
      </w:r>
      <w:r>
        <w:rPr>
          <w:rStyle w:val="10"/>
          <w:rFonts w:hint="eastAsia" w:ascii="宋体" w:hAnsi="宋体" w:eastAsia="宋体" w:cs="宋体"/>
          <w:color w:val="000000" w:themeColor="text1"/>
          <w:sz w:val="24"/>
          <w:u w:val="none"/>
          <w14:textFill>
            <w14:solidFill>
              <w14:schemeClr w14:val="tx1"/>
            </w14:solidFill>
          </w14:textFill>
        </w:rPr>
        <w:t>，现就网上拍卖有关事宜敬告各位竞买人：</w:t>
      </w:r>
    </w:p>
    <w:p w14:paraId="27FB828B">
      <w:pPr>
        <w:pStyle w:val="6"/>
        <w:widowControl/>
        <w:spacing w:beforeAutospacing="0" w:afterAutospacing="0" w:line="360" w:lineRule="auto"/>
        <w:ind w:firstLine="482" w:firstLineChars="200"/>
        <w:rPr>
          <w:rStyle w:val="10"/>
          <w:rFonts w:ascii="宋体" w:hAnsi="宋体" w:eastAsia="宋体" w:cs="宋体"/>
          <w:color w:val="000000" w:themeColor="text1"/>
          <w:u w:val="none"/>
          <w14:textFill>
            <w14:solidFill>
              <w14:schemeClr w14:val="tx1"/>
            </w14:solidFill>
          </w14:textFill>
        </w:rPr>
      </w:pPr>
      <w:r>
        <w:rPr>
          <w:rStyle w:val="10"/>
          <w:rFonts w:hint="eastAsia" w:ascii="宋体" w:hAnsi="宋体" w:eastAsia="宋体" w:cs="宋体"/>
          <w:b/>
          <w:bCs/>
          <w:color w:val="000000" w:themeColor="text1"/>
          <w:u w:val="none"/>
          <w14:textFill>
            <w14:solidFill>
              <w14:schemeClr w14:val="tx1"/>
            </w14:solidFill>
          </w14:textFill>
        </w:rPr>
        <w:t>一、</w:t>
      </w:r>
      <w:r>
        <w:rPr>
          <w:rStyle w:val="10"/>
          <w:rFonts w:hint="eastAsia" w:ascii="宋体" w:hAnsi="宋体" w:eastAsia="宋体" w:cs="宋体"/>
          <w:color w:val="000000" w:themeColor="text1"/>
          <w:u w:val="none"/>
          <w14:textFill>
            <w14:solidFill>
              <w14:schemeClr w14:val="tx1"/>
            </w14:solidFill>
          </w14:textFill>
        </w:rPr>
        <w:t>本《竞买须知》根据《中华人民共和国企业破产法》等相关法律规定和司法解释所制订，竞买人应认真仔细阅读，了解本须知的全部内容。</w:t>
      </w:r>
    </w:p>
    <w:p w14:paraId="18A59397">
      <w:pPr>
        <w:pStyle w:val="6"/>
        <w:widowControl/>
        <w:spacing w:beforeAutospacing="0" w:afterAutospacing="0" w:line="360" w:lineRule="auto"/>
        <w:ind w:firstLine="482"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二、</w:t>
      </w:r>
      <w:r>
        <w:rPr>
          <w:rFonts w:hint="eastAsia" w:ascii="宋体" w:hAnsi="宋体" w:eastAsia="宋体" w:cs="宋体"/>
          <w:color w:val="000000" w:themeColor="text1"/>
          <w14:textFill>
            <w14:solidFill>
              <w14:schemeClr w14:val="tx1"/>
            </w14:solidFill>
          </w14:textFill>
        </w:rPr>
        <w:t>本次拍卖活动遵循“公开、公平、公正、诚实守信”</w:t>
      </w:r>
      <w:r>
        <w:rPr>
          <w:rStyle w:val="10"/>
          <w:rFonts w:hint="eastAsia" w:ascii="宋体" w:hAnsi="宋体" w:eastAsia="宋体" w:cs="宋体"/>
          <w:color w:val="000000" w:themeColor="text1"/>
          <w:u w:val="none"/>
          <w14:textFill>
            <w14:solidFill>
              <w14:schemeClr w14:val="tx1"/>
            </w14:solidFill>
          </w14:textFill>
        </w:rPr>
        <w:t>的原则，拍卖活动具备法律效力。参加本次拍卖活动的当事人和竞买人必须遵守本须知的各项条款</w:t>
      </w:r>
      <w:r>
        <w:rPr>
          <w:rFonts w:hint="eastAsia" w:ascii="宋体" w:hAnsi="宋体" w:eastAsia="宋体" w:cs="宋体"/>
          <w:color w:val="000000" w:themeColor="text1"/>
          <w14:textFill>
            <w14:solidFill>
              <w14:schemeClr w14:val="tx1"/>
            </w14:solidFill>
          </w14:textFill>
        </w:rPr>
        <w:t>，并对自己的行为承担法律责任。</w:t>
      </w:r>
    </w:p>
    <w:p w14:paraId="054517A0">
      <w:pPr>
        <w:pStyle w:val="6"/>
        <w:widowControl/>
        <w:spacing w:beforeAutospacing="0" w:afterAutospacing="0" w:line="360" w:lineRule="auto"/>
        <w:ind w:firstLine="482" w:firstLineChars="200"/>
        <w:rPr>
          <w:rFonts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三、拍卖标的：</w:t>
      </w:r>
    </w:p>
    <w:p w14:paraId="35AE9F01">
      <w:pPr>
        <w:pStyle w:val="6"/>
        <w:widowControl/>
        <w:spacing w:beforeAutospacing="0" w:afterAutospacing="0" w:line="360" w:lineRule="auto"/>
        <w:ind w:firstLine="482"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1.</w:t>
      </w:r>
      <w:r>
        <w:rPr>
          <w:rFonts w:hint="eastAsia" w:ascii="宋体" w:hAnsi="宋体" w:eastAsia="宋体" w:cs="宋体"/>
          <w:color w:val="000000" w:themeColor="text1"/>
          <w14:textFill>
            <w14:solidFill>
              <w14:schemeClr w14:val="tx1"/>
            </w14:solidFill>
          </w14:textFill>
        </w:rPr>
        <w:t>拍卖标的物为湖南星城医药有限公司位于现办公地内的</w:t>
      </w:r>
      <w:r>
        <w:rPr>
          <w:rFonts w:hint="eastAsia" w:ascii="宋体" w:hAnsi="宋体" w:eastAsia="宋体" w:cs="宋体"/>
        </w:rPr>
        <w:t>办公用品、设备及其他物品</w:t>
      </w:r>
      <w:r>
        <w:rPr>
          <w:rFonts w:hint="eastAsia" w:ascii="宋体" w:hAnsi="宋体" w:eastAsia="宋体" w:cs="宋体"/>
          <w:color w:val="000000" w:themeColor="text1"/>
          <w14:textFill>
            <w14:solidFill>
              <w14:schemeClr w14:val="tx1"/>
            </w14:solidFill>
          </w14:textFill>
        </w:rPr>
        <w:t>（详见竞买公告）（但本次拍卖标的物实际现状可能与该等清单中所述不完全一致，包括但不限于拍卖标的物清单中的设备编号、设备名称、规格型号、品相、重量、生产厂家、成份含量、成色、工艺、材质、标的物真伪和影响标的物价值的其他因素），不包括标的物存放现场存放的星城公司其他财产或属于第三人的财物。现场物品是否属于此次拍卖标的物，最终以管理人现场指认交付为准。买受人擅自搬走未经管理人确认的物品，应按该物品评估价的三倍支付违约金。</w:t>
      </w:r>
    </w:p>
    <w:p w14:paraId="783553D0">
      <w:pPr>
        <w:pStyle w:val="6"/>
        <w:widowControl/>
        <w:spacing w:beforeAutospacing="0" w:afterAutospacing="0" w:line="360" w:lineRule="auto"/>
        <w:ind w:firstLine="482" w:firstLineChars="200"/>
        <w:rPr>
          <w:rFonts w:ascii="宋体" w:hAnsi="宋体" w:eastAsia="宋体" w:cs="宋体"/>
          <w:b/>
          <w:bCs/>
          <w:color w:val="C00000"/>
          <w:highlight w:val="yellow"/>
        </w:rPr>
      </w:pPr>
      <w:r>
        <w:rPr>
          <w:rFonts w:ascii="宋体" w:hAnsi="宋体" w:eastAsia="宋体" w:cs="宋体"/>
          <w:b/>
          <w:bCs/>
          <w:color w:val="C00000"/>
        </w:rPr>
        <w:t>2.</w:t>
      </w:r>
      <w:r>
        <w:rPr>
          <w:rFonts w:hint="eastAsia" w:ascii="宋体" w:hAnsi="宋体" w:eastAsia="宋体" w:cs="宋体"/>
          <w:b/>
          <w:bCs/>
          <w:color w:val="C00000"/>
        </w:rPr>
        <w:t>评估价格：</w:t>
      </w:r>
      <w:r>
        <w:rPr>
          <w:rFonts w:ascii="宋体" w:hAnsi="宋体" w:eastAsia="宋体" w:cs="宋体"/>
          <w:b/>
          <w:bCs/>
          <w:color w:val="C00000"/>
        </w:rPr>
        <w:t>34011</w:t>
      </w:r>
      <w:r>
        <w:rPr>
          <w:rFonts w:hint="eastAsia" w:ascii="宋体" w:hAnsi="宋体" w:eastAsia="宋体" w:cs="宋体"/>
          <w:b/>
          <w:bCs/>
          <w:color w:val="C00000"/>
        </w:rPr>
        <w:t>元，起拍价：</w:t>
      </w:r>
      <w:r>
        <w:rPr>
          <w:rFonts w:hint="eastAsia" w:ascii="宋体" w:hAnsi="宋体" w:eastAsia="宋体" w:cs="宋体"/>
          <w:b/>
          <w:bCs/>
          <w:color w:val="C00000"/>
          <w:lang w:val="en-US" w:eastAsia="zh-CN"/>
        </w:rPr>
        <w:t>4564.89</w:t>
      </w:r>
      <w:r>
        <w:rPr>
          <w:rFonts w:hint="eastAsia" w:ascii="宋体" w:hAnsi="宋体" w:eastAsia="宋体" w:cs="宋体"/>
          <w:b/>
          <w:bCs/>
          <w:color w:val="C00000"/>
        </w:rPr>
        <w:t>元，保证金：</w:t>
      </w:r>
      <w:r>
        <w:rPr>
          <w:rFonts w:hint="eastAsia" w:ascii="宋体" w:hAnsi="宋体" w:eastAsia="宋体" w:cs="宋体"/>
          <w:b/>
          <w:bCs/>
          <w:color w:val="C00000"/>
          <w:lang w:val="en-US" w:eastAsia="zh-CN"/>
        </w:rPr>
        <w:t>912.98</w:t>
      </w:r>
      <w:r>
        <w:rPr>
          <w:rFonts w:hint="eastAsia" w:ascii="宋体" w:hAnsi="宋体" w:eastAsia="宋体" w:cs="宋体"/>
          <w:b/>
          <w:bCs/>
          <w:color w:val="C00000"/>
        </w:rPr>
        <w:t>元，增价幅度：500元及其整数倍。</w:t>
      </w:r>
    </w:p>
    <w:p w14:paraId="148C0668">
      <w:pPr>
        <w:pStyle w:val="6"/>
        <w:widowControl/>
        <w:spacing w:beforeAutospacing="0" w:afterAutospacing="0" w:line="360" w:lineRule="auto"/>
        <w:ind w:firstLine="480"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特别提示：本次拍卖标的物以实物现状进行拍卖，包含显性及隐性瑕疵。拍卖成交后，按标的物现状（包括权利瑕疵、标的物瑕疵等）交付。</w:t>
      </w:r>
      <w:r>
        <w:rPr>
          <w:rFonts w:hint="eastAsia" w:ascii="宋体" w:hAnsi="宋体" w:eastAsia="宋体" w:cs="宋体"/>
          <w:b/>
          <w:bCs/>
          <w:color w:val="000000" w:themeColor="text1"/>
          <w14:textFill>
            <w14:solidFill>
              <w14:schemeClr w14:val="tx1"/>
            </w14:solidFill>
          </w14:textFill>
        </w:rPr>
        <w:t>参与拍卖前，请竞买人自行对标的物品相、数量、重量、设备名称、规格型号或技术参数、生产厂家、质量、性能、成份含量、成色、工艺、材质、原材料和成品真伪、影响标的物价值的其他因素等进行调查了解、评估、判断。竞买人未调查了解、鉴定、评估、判断的，视为竞买人已经充分了解和认可本标的物的状况。参与竞买即视为对拍卖标的物完全了解，并接受标的物已知和未知瑕疵，责任自负。本次拍卖所述内容、提供的图片、相交资料仅供参考，如与标的物现状有出入，则应以标的物交付时的现状为准。拍卖成交后，管理人按届时的现状交付标的物，如数量、重量、质量、设备名称、规格型号或技术参数、生产厂家、成份含量、成色、材质、性能等有出入或极差，管理人不作任何退补和不保证拍卖标的物之真伪与品质，不承担瑕疵担保责任。法院、管理人和拍卖平台不承担本标的任何瑕疵担保责任。</w:t>
      </w:r>
    </w:p>
    <w:p w14:paraId="214E05D4">
      <w:pPr>
        <w:pStyle w:val="6"/>
        <w:widowControl/>
        <w:spacing w:beforeAutospacing="0" w:afterAutospacing="0" w:line="360" w:lineRule="auto"/>
        <w:ind w:firstLine="482" w:firstLineChars="200"/>
        <w:rPr>
          <w:rFonts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四、竞买人条件：</w:t>
      </w:r>
    </w:p>
    <w:p w14:paraId="6B6C346B">
      <w:pPr>
        <w:pStyle w:val="5"/>
        <w:spacing w:line="360" w:lineRule="auto"/>
        <w:ind w:firstLine="482" w:firstLineChars="200"/>
        <w:rPr>
          <w:rFonts w:ascii="宋体" w:hAnsi="宋体" w:cs="宋体"/>
          <w:color w:val="000000" w:themeColor="text1"/>
          <w:kern w:val="0"/>
          <w:sz w:val="24"/>
          <w:lang w:bidi="ar"/>
          <w14:textFill>
            <w14:solidFill>
              <w14:schemeClr w14:val="tx1"/>
            </w14:solidFill>
          </w14:textFill>
        </w:rPr>
      </w:pPr>
      <w:r>
        <w:rPr>
          <w:rFonts w:hint="eastAsia" w:ascii="宋体" w:hAnsi="宋体" w:cs="宋体"/>
          <w:b/>
          <w:bCs/>
          <w:color w:val="000000" w:themeColor="text1"/>
          <w:kern w:val="0"/>
          <w:sz w:val="24"/>
          <w:lang w:bidi="ar"/>
          <w14:textFill>
            <w14:solidFill>
              <w14:schemeClr w14:val="tx1"/>
            </w14:solidFill>
          </w14:textFill>
        </w:rPr>
        <w:t>1.</w:t>
      </w:r>
      <w:r>
        <w:rPr>
          <w:rFonts w:hint="eastAsia" w:ascii="宋体" w:hAnsi="宋体" w:cs="宋体"/>
          <w:color w:val="000000" w:themeColor="text1"/>
          <w:kern w:val="0"/>
          <w:sz w:val="24"/>
          <w:lang w:bidi="ar"/>
          <w14:textFill>
            <w14:solidFill>
              <w14:schemeClr w14:val="tx1"/>
            </w14:solidFill>
          </w14:textFill>
        </w:rPr>
        <w:t>凡具备完全民事行为能力的公民、法人和其他组织均可参加竞买，若不具有完全民事行为能力，其委托人或代理人必须具备完全民事行为能力；法律、行政法规、司法解释对买受人资格或者条件有特殊规定的，竞买人应当具备规定的资格或者条件。拍卖标的交易及过户按标的物所在地有关政策执行，竞买人须自行向标的物所在地有关职能部门查询确认自己的购买资格及审批、过户等相关政策。因不符合条件参加竞买的，由竞买人自行承担相应的法律责任。</w:t>
      </w:r>
    </w:p>
    <w:p w14:paraId="1D397700">
      <w:pPr>
        <w:pStyle w:val="5"/>
        <w:spacing w:line="360" w:lineRule="auto"/>
        <w:ind w:firstLine="482" w:firstLineChars="200"/>
        <w:rPr>
          <w:rFonts w:ascii="宋体" w:hAnsi="宋体" w:cs="宋体"/>
          <w:color w:val="000000" w:themeColor="text1"/>
          <w:kern w:val="0"/>
          <w:sz w:val="24"/>
          <w:lang w:bidi="ar"/>
          <w14:textFill>
            <w14:solidFill>
              <w14:schemeClr w14:val="tx1"/>
            </w14:solidFill>
          </w14:textFill>
        </w:rPr>
      </w:pPr>
      <w:r>
        <w:rPr>
          <w:rFonts w:hint="eastAsia" w:ascii="宋体" w:hAnsi="宋体" w:cs="宋体"/>
          <w:b/>
          <w:bCs/>
          <w:color w:val="000000" w:themeColor="text1"/>
          <w:kern w:val="0"/>
          <w:sz w:val="24"/>
          <w:lang w:bidi="ar"/>
          <w14:textFill>
            <w14:solidFill>
              <w14:schemeClr w14:val="tx1"/>
            </w14:solidFill>
          </w14:textFill>
        </w:rPr>
        <w:t>2.</w:t>
      </w:r>
      <w:r>
        <w:rPr>
          <w:rFonts w:hint="eastAsia" w:ascii="宋体" w:hAnsi="宋体" w:cs="宋体"/>
          <w:color w:val="000000" w:themeColor="text1"/>
          <w:kern w:val="0"/>
          <w:sz w:val="24"/>
          <w:lang w:bidi="ar"/>
          <w14:textFill>
            <w14:solidFill>
              <w14:schemeClr w14:val="tx1"/>
            </w14:solidFill>
          </w14:textFill>
        </w:rPr>
        <w:t>竞买人可委托代理人（具备完全民事行为能力的自然人）进行，但</w:t>
      </w:r>
      <w:r>
        <w:rPr>
          <w:rFonts w:hint="eastAsia" w:ascii="宋体" w:hAnsi="宋体" w:cs="宋体"/>
          <w:b/>
          <w:bCs/>
          <w:color w:val="000000" w:themeColor="text1"/>
          <w:kern w:val="0"/>
          <w:sz w:val="24"/>
          <w:lang w:bidi="ar"/>
          <w14:textFill>
            <w14:solidFill>
              <w14:schemeClr w14:val="tx1"/>
            </w14:solidFill>
          </w14:textFill>
        </w:rPr>
        <w:t>须在竞买开始3个工作日前</w:t>
      </w:r>
      <w:r>
        <w:rPr>
          <w:rFonts w:hint="eastAsia" w:ascii="宋体" w:hAnsi="宋体" w:cs="宋体"/>
          <w:color w:val="000000" w:themeColor="text1"/>
          <w:kern w:val="0"/>
          <w:sz w:val="24"/>
          <w:lang w:bidi="ar"/>
          <w14:textFill>
            <w14:solidFill>
              <w14:schemeClr w14:val="tx1"/>
            </w14:solidFill>
          </w14:textFill>
        </w:rPr>
        <w:t>与管理人沟通办理委托手续，经管理人确认后方可参加。竞买成功后，竞买人（法定代表人、其他组织的负责人）须与委托代理人一同到管理人处办理交付或权属转移手续。如果竞买人本人因客观原因无法来办理手续的，竞买人应向管理人提交委托书，并由代理人携带委托书原件、委托人和受托人身份证明原件，到管理人处办理交付或权属转移手续。如无委托手续或委托手续不全，竞买活动认定为委托代理人的个人行为。因不符合条件参加竞买的，由竞买人自行承担相应的法律责任。</w:t>
      </w:r>
    </w:p>
    <w:p w14:paraId="58CDEAAE">
      <w:pPr>
        <w:pStyle w:val="6"/>
        <w:spacing w:beforeAutospacing="0" w:afterAutospacing="0" w:line="360" w:lineRule="auto"/>
        <w:ind w:firstLine="482" w:firstLineChars="200"/>
        <w:rPr>
          <w:rFonts w:ascii="宋体" w:hAnsi="宋体" w:eastAsia="宋体" w:cs="宋体"/>
          <w:color w:val="000000" w:themeColor="text1"/>
          <w:lang w:bidi="ar"/>
          <w14:textFill>
            <w14:solidFill>
              <w14:schemeClr w14:val="tx1"/>
            </w14:solidFill>
          </w14:textFill>
        </w:rPr>
      </w:pPr>
      <w:r>
        <w:rPr>
          <w:rFonts w:hint="eastAsia" w:ascii="宋体" w:hAnsi="宋体" w:eastAsia="宋体" w:cs="宋体"/>
          <w:b/>
          <w:bCs/>
          <w:color w:val="000000" w:themeColor="text1"/>
          <w:lang w:bidi="ar"/>
          <w14:textFill>
            <w14:solidFill>
              <w14:schemeClr w14:val="tx1"/>
            </w14:solidFill>
          </w14:textFill>
        </w:rPr>
        <w:t>3.</w:t>
      </w:r>
      <w:r>
        <w:rPr>
          <w:rFonts w:hint="eastAsia" w:ascii="宋体" w:hAnsi="宋体" w:eastAsia="宋体" w:cs="宋体"/>
          <w:color w:val="000000" w:themeColor="text1"/>
          <w:lang w:bidi="ar"/>
          <w14:textFill>
            <w14:solidFill>
              <w14:schemeClr w14:val="tx1"/>
            </w14:solidFill>
          </w14:textFill>
        </w:rPr>
        <w:t>两人或以上联名竞买的，可委托联名竞买人中的一人或其他人代为竞买。所有联名竞买人与委托代理人应于</w:t>
      </w:r>
      <w:r>
        <w:rPr>
          <w:rFonts w:hint="eastAsia" w:ascii="宋体" w:hAnsi="宋体" w:eastAsia="宋体" w:cs="宋体"/>
          <w:b/>
          <w:bCs/>
          <w:color w:val="000000" w:themeColor="text1"/>
          <w:lang w:bidi="ar"/>
          <w14:textFill>
            <w14:solidFill>
              <w14:schemeClr w14:val="tx1"/>
            </w14:solidFill>
          </w14:textFill>
        </w:rPr>
        <w:t>竞价活动开始3个工作日前</w:t>
      </w:r>
      <w:r>
        <w:rPr>
          <w:rFonts w:hint="eastAsia" w:ascii="宋体" w:hAnsi="宋体" w:eastAsia="宋体" w:cs="宋体"/>
          <w:color w:val="000000" w:themeColor="text1"/>
          <w:lang w:bidi="ar"/>
          <w14:textFill>
            <w14:solidFill>
              <w14:schemeClr w14:val="tx1"/>
            </w14:solidFill>
          </w14:textFill>
        </w:rPr>
        <w:t>一同到管理人处办理联名竞买委托竞买手续。如未办理联名竞买委托手续或委托手续不全，竞买活动认定为委托代理人的个人行为。不符合条件参加竞买的，竞买人自行承担相应的法律责任。</w:t>
      </w:r>
    </w:p>
    <w:p w14:paraId="2E3D34C4">
      <w:pPr>
        <w:pStyle w:val="6"/>
        <w:spacing w:beforeAutospacing="0" w:afterAutospacing="0" w:line="360" w:lineRule="auto"/>
        <w:ind w:firstLine="480" w:firstLineChars="200"/>
        <w:rPr>
          <w:rFonts w:ascii="宋体" w:hAnsi="宋体" w:eastAsia="宋体" w:cs="宋体"/>
          <w:color w:val="000000" w:themeColor="text1"/>
          <w:lang w:bidi="ar"/>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委托竞买、联名竞买、法定代理人代为竞买等特殊情况，均应在开拍前办理相关手续并按规定在网络拍卖平台录入相关信息，无相关手续的，竞拍行为一般视为竞拍人本人的行为。</w:t>
      </w:r>
    </w:p>
    <w:p w14:paraId="5441B750">
      <w:pPr>
        <w:pStyle w:val="6"/>
        <w:widowControl/>
        <w:numPr>
          <w:ilvl w:val="255"/>
          <w:numId w:val="0"/>
        </w:numPr>
        <w:spacing w:beforeAutospacing="0" w:afterAutospacing="0" w:line="360" w:lineRule="auto"/>
        <w:ind w:firstLine="482" w:firstLineChars="200"/>
        <w:rPr>
          <w:rFonts w:ascii="宋体" w:hAnsi="宋体" w:eastAsia="宋体" w:cs="宋体"/>
          <w:color w:val="000000" w:themeColor="text1"/>
          <w:lang w:bidi="ar"/>
          <w14:textFill>
            <w14:solidFill>
              <w14:schemeClr w14:val="tx1"/>
            </w14:solidFill>
          </w14:textFill>
        </w:rPr>
      </w:pPr>
      <w:r>
        <w:rPr>
          <w:rFonts w:hint="eastAsia" w:ascii="宋体" w:hAnsi="宋体" w:eastAsia="宋体" w:cs="宋体"/>
          <w:b/>
          <w:bCs/>
          <w:color w:val="000000" w:themeColor="text1"/>
          <w:lang w:bidi="ar"/>
          <w14:textFill>
            <w14:solidFill>
              <w14:schemeClr w14:val="tx1"/>
            </w14:solidFill>
          </w14:textFill>
        </w:rPr>
        <w:t>4.</w:t>
      </w:r>
      <w:r>
        <w:rPr>
          <w:rFonts w:hint="eastAsia" w:ascii="宋体" w:hAnsi="宋体" w:eastAsia="宋体" w:cs="宋体"/>
          <w:color w:val="000000" w:themeColor="text1"/>
          <w:lang w:bidi="ar"/>
          <w14:textFill>
            <w14:solidFill>
              <w14:schemeClr w14:val="tx1"/>
            </w14:solidFill>
          </w14:textFill>
        </w:rPr>
        <w:t>符合前述要求的竞买人</w:t>
      </w:r>
      <w:r>
        <w:rPr>
          <w:rFonts w:hint="eastAsia" w:ascii="宋体" w:hAnsi="宋体" w:eastAsia="宋体" w:cs="宋体"/>
          <w:b/>
          <w:bCs/>
          <w:color w:val="000000" w:themeColor="text1"/>
          <w:lang w:bidi="ar"/>
          <w14:textFill>
            <w14:solidFill>
              <w14:schemeClr w14:val="tx1"/>
            </w14:solidFill>
          </w14:textFill>
        </w:rPr>
        <w:t>在拍卖竞价程序结束前竞买保证金被平台成功锁定并经确认后</w:t>
      </w:r>
      <w:r>
        <w:rPr>
          <w:rFonts w:hint="eastAsia" w:ascii="宋体" w:hAnsi="宋体" w:eastAsia="宋体" w:cs="宋体"/>
          <w:color w:val="000000" w:themeColor="text1"/>
          <w:lang w:bidi="ar"/>
          <w14:textFill>
            <w14:solidFill>
              <w14:schemeClr w14:val="tx1"/>
            </w14:solidFill>
          </w14:textFill>
        </w:rPr>
        <w:t>，方可取得竞买资格。</w:t>
      </w:r>
    </w:p>
    <w:p w14:paraId="399E9D6E">
      <w:pPr>
        <w:pStyle w:val="6"/>
        <w:widowControl/>
        <w:spacing w:beforeAutospacing="0" w:afterAutospacing="0" w:line="360" w:lineRule="auto"/>
        <w:ind w:firstLine="482" w:firstLineChars="200"/>
        <w:rPr>
          <w:rFonts w:ascii="宋体" w:hAnsi="宋体" w:eastAsia="宋体" w:cs="宋体"/>
          <w:b/>
          <w:bCs/>
          <w:color w:val="000000" w:themeColor="text1"/>
          <w:lang w:bidi="ar"/>
          <w14:textFill>
            <w14:solidFill>
              <w14:schemeClr w14:val="tx1"/>
            </w14:solidFill>
          </w14:textFill>
        </w:rPr>
      </w:pPr>
      <w:r>
        <w:rPr>
          <w:rFonts w:hint="eastAsia" w:ascii="宋体" w:hAnsi="宋体" w:eastAsia="宋体" w:cs="宋体"/>
          <w:b/>
          <w:bCs/>
          <w:color w:val="000000" w:themeColor="text1"/>
          <w:lang w:bidi="ar"/>
          <w14:textFill>
            <w14:solidFill>
              <w14:schemeClr w14:val="tx1"/>
            </w14:solidFill>
          </w14:textFill>
        </w:rPr>
        <w:t>五、竞价方式：</w:t>
      </w:r>
    </w:p>
    <w:p w14:paraId="4338B993">
      <w:pPr>
        <w:spacing w:line="360" w:lineRule="auto"/>
        <w:ind w:firstLine="480" w:firstLineChars="200"/>
        <w:rPr>
          <w:rFonts w:ascii="宋体" w:hAnsi="宋体" w:eastAsia="宋体" w:cs="宋体"/>
          <w:sz w:val="24"/>
        </w:rPr>
      </w:pPr>
      <w:r>
        <w:rPr>
          <w:rFonts w:hint="eastAsia" w:ascii="宋体" w:hAnsi="宋体" w:eastAsia="宋体" w:cs="宋体"/>
          <w:sz w:val="24"/>
        </w:rPr>
        <w:t>本次拍卖采取有保留价的增价拍卖方式，保留价即为起拍价，至少一人报名且出价不低于起拍价，方可成交。无人报名或出价的，竞价会流拍。本次拍卖活动设置延时出价功能。每最后五分钟有竞买人出价的，竞价时间自该出价时点顺延五分钟。竞买人以低于起拍价出价的无效。竞价时间应当不少于二十四小时。拍卖竞价价高者得，不限制竞买人数量。竞价程序结束前五分钟内无人出价的，最后出价且不低于起拍价的即为成交价。竞买人出价时间以进入网络拍卖平台服务系统时间为准。</w:t>
      </w:r>
    </w:p>
    <w:p w14:paraId="70CE3C23">
      <w:pPr>
        <w:pStyle w:val="6"/>
        <w:widowControl/>
        <w:spacing w:beforeAutospacing="0" w:afterAutospacing="0" w:line="360" w:lineRule="auto"/>
        <w:ind w:left="420" w:leftChars="200"/>
        <w:rPr>
          <w:rFonts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六、标的咨询与查看：</w:t>
      </w:r>
    </w:p>
    <w:p w14:paraId="667FA31A">
      <w:pPr>
        <w:pStyle w:val="6"/>
        <w:widowControl/>
        <w:spacing w:beforeAutospacing="0" w:afterAutospacing="0" w:line="360" w:lineRule="auto"/>
        <w:ind w:firstLine="482" w:firstLineChars="200"/>
        <w:rPr>
          <w:rFonts w:ascii="宋体" w:hAnsi="宋体" w:eastAsia="宋体" w:cs="宋体"/>
          <w:b/>
          <w:bCs/>
          <w:color w:val="C00000"/>
          <w:u w:val="single"/>
        </w:rPr>
      </w:pPr>
      <w:r>
        <w:rPr>
          <w:rFonts w:hint="eastAsia" w:ascii="宋体" w:hAnsi="宋体" w:eastAsia="宋体" w:cs="宋体"/>
          <w:b/>
          <w:bCs/>
          <w:color w:val="000000" w:themeColor="text1"/>
          <w14:textFill>
            <w14:solidFill>
              <w14:schemeClr w14:val="tx1"/>
            </w14:solidFill>
          </w14:textFill>
        </w:rPr>
        <w:t>1.</w:t>
      </w:r>
      <w:r>
        <w:rPr>
          <w:rFonts w:hint="eastAsia" w:ascii="宋体" w:hAnsi="宋体" w:eastAsia="宋体" w:cs="宋体"/>
          <w:color w:val="000000" w:themeColor="text1"/>
          <w14:textFill>
            <w14:solidFill>
              <w14:schemeClr w14:val="tx1"/>
            </w14:solidFill>
          </w14:textFill>
        </w:rPr>
        <w:t>本次拍卖是经法定公告期和展示期后才举行的，就拍卖标的物已知及可能存在的瑕疵已在本次拍买资料中作了详尽的说明。管理人对拍卖标的物所作的说明和提供的视频资料、图片等，仅供竞买人参考，不构成对标的物的任何担保。所以请竞买人在拍卖前必须仔细审查拍卖标的物，自行调查是否存在瑕疵，认真研究查看所竞买标的物的实际情况。</w:t>
      </w:r>
    </w:p>
    <w:p w14:paraId="0722C403">
      <w:pPr>
        <w:spacing w:line="360" w:lineRule="auto"/>
        <w:ind w:firstLine="482" w:firstLineChars="200"/>
        <w:rPr>
          <w:rFonts w:eastAsia="仿宋"/>
          <w:color w:val="C00000"/>
        </w:rPr>
      </w:pPr>
      <w:r>
        <w:rPr>
          <w:rFonts w:hint="eastAsia" w:ascii="宋体" w:hAnsi="宋体" w:eastAsia="宋体" w:cs="宋体"/>
          <w:b/>
          <w:bCs/>
          <w:color w:val="000000" w:themeColor="text1"/>
          <w:sz w:val="24"/>
          <w14:textFill>
            <w14:solidFill>
              <w14:schemeClr w14:val="tx1"/>
            </w14:solidFill>
          </w14:textFill>
        </w:rPr>
        <w:t>2.</w:t>
      </w:r>
      <w:r>
        <w:rPr>
          <w:rFonts w:hint="eastAsia" w:ascii="宋体" w:hAnsi="宋体" w:eastAsia="宋体" w:cs="宋体"/>
          <w:color w:val="000000" w:themeColor="text1"/>
          <w:kern w:val="0"/>
          <w:sz w:val="24"/>
          <w:lang w:bidi="ar"/>
          <w14:textFill>
            <w14:solidFill>
              <w14:schemeClr w14:val="tx1"/>
            </w14:solidFill>
          </w14:textFill>
        </w:rPr>
        <w:t>已由管理人在《竞买公告》、《竞买须知》、《标的物介绍》等竞买文件（以下简称“竞买文件”）中披露的瑕疵，以及一切未披露或潜在、未知、可能存在</w:t>
      </w:r>
      <w:r>
        <w:rPr>
          <w:rFonts w:hint="eastAsia" w:ascii="宋体" w:hAnsi="宋体" w:eastAsia="宋体" w:cs="宋体"/>
          <w:kern w:val="0"/>
          <w:sz w:val="24"/>
          <w:lang w:bidi="ar"/>
        </w:rPr>
        <w:t>的瑕疵或尚未发现的缺陷，诸如各种欠费、罚款、滞纳金以及其他的相关费用或者其他的各种不利情况和负担、不利影响等，均将导致财产在涉及交割、处置、使用等事项上存在极大困难、不确定性和不可预见的风险，亦可能产生巨额费用，均由买受人自行处理和负担，管理人对此不作任何承诺、不予保证。竞买人务必于竞买前亲自对该竞买标的物的法律及自然现状进行深入而全面地了解，包括亲自查验、向相关主管部门了解标的物权利现状以及后续手续办理等要求，以及其他需注意的事项，或聘请专家提供专业意见。</w:t>
      </w:r>
      <w:r>
        <w:rPr>
          <w:rFonts w:hint="eastAsia" w:ascii="宋体" w:hAnsi="宋体" w:eastAsia="宋体" w:cs="宋体"/>
          <w:b/>
          <w:bCs/>
          <w:color w:val="C00000"/>
          <w:kern w:val="0"/>
          <w:sz w:val="24"/>
          <w:lang w:bidi="ar"/>
        </w:rPr>
        <w:t>竞买人一旦完成报名手续，即表明对该标的物的现状已作全面了解、自行承担全部风险及相关费用（包括但不限于欠费、罚款、滞纳金、税款等），法院、管理人和拍卖平台不承担对标的物的一切已知和其他可能存在未知的瑕疵及缺陷的任何担保责任。</w:t>
      </w:r>
    </w:p>
    <w:p w14:paraId="3D6ED314">
      <w:pPr>
        <w:pStyle w:val="6"/>
        <w:widowControl/>
        <w:spacing w:beforeAutospacing="0" w:afterAutospacing="0" w:line="360" w:lineRule="auto"/>
        <w:ind w:left="420" w:leftChars="200"/>
        <w:rPr>
          <w:rFonts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七、优先购买权人及利害关系人：</w:t>
      </w:r>
    </w:p>
    <w:p w14:paraId="4C3EAB6E">
      <w:pPr>
        <w:pStyle w:val="5"/>
        <w:spacing w:line="360" w:lineRule="auto"/>
        <w:ind w:firstLine="482" w:firstLineChars="200"/>
        <w:rPr>
          <w:rFonts w:ascii="黑体" w:hAnsi="黑体" w:eastAsia="黑体" w:cs="黑体"/>
          <w:sz w:val="24"/>
        </w:rPr>
      </w:pPr>
      <w:r>
        <w:rPr>
          <w:rFonts w:hint="eastAsia" w:ascii="宋体" w:hAnsi="宋体" w:cs="宋体"/>
          <w:b/>
          <w:bCs/>
          <w:color w:val="000000" w:themeColor="text1"/>
          <w:kern w:val="0"/>
          <w:sz w:val="24"/>
          <w:lang w:bidi="ar"/>
          <w14:textFill>
            <w14:solidFill>
              <w14:schemeClr w14:val="tx1"/>
            </w14:solidFill>
          </w14:textFill>
        </w:rPr>
        <w:t>1.</w:t>
      </w:r>
      <w:r>
        <w:rPr>
          <w:rFonts w:hint="eastAsia" w:ascii="宋体" w:hAnsi="宋体" w:cs="宋体"/>
          <w:sz w:val="24"/>
        </w:rPr>
        <w:t>本标的物优先购买权人相关说明：如标的物存在优先购买权人，优先购买权人参加竞买的，</w:t>
      </w:r>
      <w:r>
        <w:rPr>
          <w:rFonts w:hint="eastAsia" w:ascii="宋体" w:hAnsi="宋体" w:cs="宋体"/>
          <w:b/>
          <w:bCs/>
          <w:sz w:val="24"/>
        </w:rPr>
        <w:t>应于竞价活动开始3个工作日前</w:t>
      </w:r>
      <w:r>
        <w:rPr>
          <w:rFonts w:hint="eastAsia" w:ascii="宋体" w:hAnsi="宋体" w:cs="宋体"/>
          <w:sz w:val="24"/>
        </w:rPr>
        <w:t>向管理人提交合法有效的证明（登记的证件信息必须与阿里实名认证相一致），经管理人确认后才能以优先购买权人的身份参与竞买，逾期不提交的，视为放弃对本标的物享有的优先购买权。本标的物优先购买权人未报名参加竞价，亦视为放弃优先购买权。</w:t>
      </w:r>
    </w:p>
    <w:p w14:paraId="315C3A49">
      <w:pPr>
        <w:pStyle w:val="5"/>
        <w:spacing w:line="360" w:lineRule="auto"/>
        <w:ind w:firstLine="482" w:firstLineChars="200"/>
        <w:rPr>
          <w:rFonts w:ascii="仿宋" w:hAnsi="仿宋" w:eastAsia="仿宋" w:cs="仿宋"/>
          <w:sz w:val="24"/>
        </w:rPr>
      </w:pPr>
      <w:r>
        <w:rPr>
          <w:rFonts w:hint="eastAsia" w:ascii="宋体" w:hAnsi="宋体" w:cs="宋体"/>
          <w:b/>
          <w:bCs/>
          <w:color w:val="000000" w:themeColor="text1"/>
          <w:kern w:val="0"/>
          <w:sz w:val="24"/>
          <w:lang w:bidi="ar"/>
          <w14:textFill>
            <w14:solidFill>
              <w14:schemeClr w14:val="tx1"/>
            </w14:solidFill>
          </w14:textFill>
        </w:rPr>
        <w:t>2.</w:t>
      </w:r>
      <w:r>
        <w:rPr>
          <w:rFonts w:hint="eastAsia" w:ascii="宋体" w:hAnsi="宋体" w:cs="宋体"/>
          <w:color w:val="000000" w:themeColor="text1"/>
          <w:kern w:val="0"/>
          <w:sz w:val="24"/>
          <w:lang w:bidi="ar"/>
          <w14:textFill>
            <w14:solidFill>
              <w14:schemeClr w14:val="tx1"/>
            </w14:solidFill>
          </w14:textFill>
        </w:rPr>
        <w:t>本次竞价活动如若存在优先竞买人的，</w:t>
      </w:r>
      <w:r>
        <w:rPr>
          <w:rFonts w:hint="eastAsia" w:ascii="宋体" w:hAnsi="宋体" w:cs="宋体"/>
          <w:sz w:val="24"/>
        </w:rPr>
        <w:t>优先购买权人参与竞买的，与其他竞买人以相同的价格出价，没有更高出价的，拍品由优先购买权人竞得。</w:t>
      </w:r>
    </w:p>
    <w:p w14:paraId="61211622">
      <w:pPr>
        <w:pStyle w:val="5"/>
        <w:spacing w:line="360" w:lineRule="auto"/>
        <w:ind w:firstLine="482" w:firstLineChars="200"/>
        <w:rPr>
          <w:rFonts w:ascii="宋体" w:hAnsi="宋体" w:cs="宋体"/>
          <w:sz w:val="24"/>
        </w:rPr>
      </w:pPr>
      <w:r>
        <w:rPr>
          <w:rFonts w:hint="eastAsia" w:ascii="宋体" w:hAnsi="宋体" w:cs="宋体"/>
          <w:b/>
          <w:bCs/>
          <w:color w:val="000000" w:themeColor="text1"/>
          <w:kern w:val="0"/>
          <w:sz w:val="24"/>
          <w:lang w:bidi="ar"/>
          <w14:textFill>
            <w14:solidFill>
              <w14:schemeClr w14:val="tx1"/>
            </w14:solidFill>
          </w14:textFill>
        </w:rPr>
        <w:t>3.</w:t>
      </w:r>
      <w:r>
        <w:rPr>
          <w:rFonts w:hint="eastAsia" w:ascii="宋体" w:hAnsi="宋体" w:cs="宋体"/>
          <w:sz w:val="24"/>
        </w:rPr>
        <w:t>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71C58864">
      <w:pPr>
        <w:pStyle w:val="5"/>
        <w:spacing w:line="360" w:lineRule="auto"/>
        <w:ind w:firstLine="482" w:firstLineChars="200"/>
        <w:rPr>
          <w:rFonts w:ascii="仿宋" w:hAnsi="仿宋" w:eastAsia="仿宋" w:cs="仿宋"/>
          <w:sz w:val="24"/>
        </w:rPr>
      </w:pPr>
      <w:r>
        <w:rPr>
          <w:rFonts w:hint="eastAsia" w:ascii="宋体" w:hAnsi="宋体" w:cs="宋体"/>
          <w:b/>
          <w:bCs/>
          <w:color w:val="000000" w:themeColor="text1"/>
          <w:kern w:val="0"/>
          <w:sz w:val="24"/>
          <w:lang w:bidi="ar"/>
          <w14:textFill>
            <w14:solidFill>
              <w14:schemeClr w14:val="tx1"/>
            </w14:solidFill>
          </w14:textFill>
        </w:rPr>
        <w:t>4.</w:t>
      </w:r>
      <w:r>
        <w:rPr>
          <w:rFonts w:hint="eastAsia" w:ascii="宋体" w:hAnsi="宋体" w:cs="宋体"/>
          <w:sz w:val="24"/>
        </w:rPr>
        <w:t>本次公告将在阿里拍卖网络平台上进行，管理人不再另行公告。</w:t>
      </w:r>
    </w:p>
    <w:p w14:paraId="2D586F41">
      <w:pPr>
        <w:pStyle w:val="5"/>
        <w:spacing w:line="360" w:lineRule="auto"/>
        <w:ind w:firstLine="482" w:firstLineChars="200"/>
        <w:rPr>
          <w:rFonts w:ascii="仿宋" w:hAnsi="仿宋" w:eastAsia="仿宋" w:cs="仿宋"/>
          <w:sz w:val="24"/>
        </w:rPr>
      </w:pPr>
      <w:r>
        <w:rPr>
          <w:rFonts w:hint="eastAsia" w:ascii="宋体" w:hAnsi="宋体" w:cs="宋体"/>
          <w:b/>
          <w:bCs/>
          <w:color w:val="000000" w:themeColor="text1"/>
          <w:kern w:val="0"/>
          <w:sz w:val="24"/>
          <w:lang w:bidi="ar"/>
          <w14:textFill>
            <w14:solidFill>
              <w14:schemeClr w14:val="tx1"/>
            </w14:solidFill>
          </w14:textFill>
        </w:rPr>
        <w:t>5.</w:t>
      </w:r>
      <w:r>
        <w:rPr>
          <w:rFonts w:hint="eastAsia" w:ascii="宋体" w:hAnsi="宋体" w:cs="宋体"/>
          <w:sz w:val="24"/>
        </w:rPr>
        <w:t>如拍卖标的存在其他利害关系人的，本次公告公示之日起满五日即视为已通知。</w:t>
      </w:r>
    </w:p>
    <w:p w14:paraId="0D921F41">
      <w:pPr>
        <w:pStyle w:val="6"/>
        <w:widowControl/>
        <w:spacing w:beforeAutospacing="0" w:afterAutospacing="0" w:line="360" w:lineRule="auto"/>
        <w:ind w:left="420" w:leftChars="200"/>
        <w:rPr>
          <w:rFonts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八、保证金：</w:t>
      </w:r>
    </w:p>
    <w:p w14:paraId="657078D2">
      <w:pPr>
        <w:pStyle w:val="6"/>
        <w:widowControl/>
        <w:spacing w:beforeAutospacing="0" w:afterAutospacing="0" w:line="360" w:lineRule="auto"/>
        <w:ind w:firstLine="482"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1.</w:t>
      </w:r>
      <w:r>
        <w:rPr>
          <w:rFonts w:hint="eastAsia" w:ascii="宋体" w:hAnsi="宋体" w:eastAsia="宋体" w:cs="宋体"/>
          <w:color w:val="000000" w:themeColor="text1"/>
          <w14:textFill>
            <w14:solidFill>
              <w14:schemeClr w14:val="tx1"/>
            </w14:solidFill>
          </w14:textFill>
        </w:rPr>
        <w:t>竞拍前，阿里</w:t>
      </w:r>
      <w:r>
        <w:rPr>
          <w:rFonts w:ascii="宋体" w:hAnsi="宋体" w:eastAsia="宋体" w:cs="宋体"/>
          <w:color w:val="000000" w:themeColor="text1"/>
          <w14:textFill>
            <w14:solidFill>
              <w14:schemeClr w14:val="tx1"/>
            </w14:solidFill>
          </w14:textFill>
        </w:rPr>
        <w:t>破产强清平台将锁定竞买人</w:t>
      </w:r>
      <w:r>
        <w:rPr>
          <w:rFonts w:hint="eastAsia" w:ascii="宋体" w:hAnsi="宋体" w:eastAsia="宋体" w:cs="宋体"/>
          <w:color w:val="000000" w:themeColor="text1"/>
          <w14:textFill>
            <w14:solidFill>
              <w14:schemeClr w14:val="tx1"/>
            </w14:solidFill>
          </w14:textFill>
        </w:rPr>
        <w:t>实名认证绑定的支付宝</w:t>
      </w:r>
      <w:r>
        <w:rPr>
          <w:rFonts w:ascii="宋体" w:hAnsi="宋体" w:eastAsia="宋体" w:cs="宋体"/>
          <w:color w:val="000000" w:themeColor="text1"/>
          <w14:textFill>
            <w14:solidFill>
              <w14:schemeClr w14:val="tx1"/>
            </w14:solidFill>
          </w14:textFill>
        </w:rPr>
        <w:t>账户内相应</w:t>
      </w:r>
      <w:r>
        <w:rPr>
          <w:rFonts w:hint="eastAsia" w:ascii="宋体" w:hAnsi="宋体" w:eastAsia="宋体" w:cs="宋体"/>
          <w:color w:val="000000" w:themeColor="text1"/>
          <w14:textFill>
            <w14:solidFill>
              <w14:schemeClr w14:val="tx1"/>
            </w14:solidFill>
          </w14:textFill>
        </w:rPr>
        <w:t>的</w:t>
      </w:r>
      <w:r>
        <w:rPr>
          <w:rFonts w:ascii="宋体" w:hAnsi="宋体" w:eastAsia="宋体" w:cs="宋体"/>
          <w:color w:val="000000" w:themeColor="text1"/>
          <w14:textFill>
            <w14:solidFill>
              <w14:schemeClr w14:val="tx1"/>
            </w14:solidFill>
          </w14:textFill>
        </w:rPr>
        <w:t>资金作为应缴的保证金，拍卖结束后未能竞得者</w:t>
      </w:r>
      <w:r>
        <w:rPr>
          <w:rFonts w:hint="eastAsia" w:ascii="宋体" w:hAnsi="宋体" w:eastAsia="宋体" w:cs="宋体"/>
          <w:color w:val="000000" w:themeColor="text1"/>
          <w14:textFill>
            <w14:solidFill>
              <w14:schemeClr w14:val="tx1"/>
            </w14:solidFill>
          </w14:textFill>
        </w:rPr>
        <w:t>以及竞价未成交的（即流拍的）竞买人</w:t>
      </w:r>
      <w:r>
        <w:rPr>
          <w:rFonts w:ascii="宋体" w:hAnsi="宋体" w:eastAsia="宋体" w:cs="宋体"/>
          <w:color w:val="000000" w:themeColor="text1"/>
          <w14:textFill>
            <w14:solidFill>
              <w14:schemeClr w14:val="tx1"/>
            </w14:solidFill>
          </w14:textFill>
        </w:rPr>
        <w:t>锁定的保证金自动解锁，锁定期间不计利息。</w:t>
      </w:r>
    </w:p>
    <w:p w14:paraId="22CEEA3E">
      <w:pPr>
        <w:pStyle w:val="6"/>
        <w:widowControl/>
        <w:spacing w:beforeAutospacing="0" w:afterAutospacing="0" w:line="360" w:lineRule="auto"/>
        <w:ind w:firstLine="482"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2.</w:t>
      </w:r>
      <w:r>
        <w:rPr>
          <w:rFonts w:hint="eastAsia" w:ascii="宋体" w:hAnsi="宋体" w:eastAsia="宋体" w:cs="宋体"/>
          <w:color w:val="000000" w:themeColor="text1"/>
          <w14:textFill>
            <w14:solidFill>
              <w14:schemeClr w14:val="tx1"/>
            </w14:solidFill>
          </w14:textFill>
        </w:rPr>
        <w:t>拍卖成交后，竞买人交纳的保证金充抵成交价款，本标的物竞买人原锁定的保证金将在竞买人竞买成功且付清软件服务费后的24小时内自动转入管理人指定账户。</w:t>
      </w:r>
    </w:p>
    <w:p w14:paraId="10A83129">
      <w:pPr>
        <w:pStyle w:val="6"/>
        <w:widowControl/>
        <w:spacing w:beforeAutospacing="0" w:afterAutospacing="0" w:line="360" w:lineRule="auto"/>
        <w:ind w:firstLine="480"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保证金支付帮助：</w:t>
      </w:r>
      <w:r>
        <w:fldChar w:fldCharType="begin"/>
      </w:r>
      <w:r>
        <w:instrText xml:space="preserve"> HYPERLINK "https://www.taobao.com/market/paimai/sf-helpcenter.php?path=sf-hc-right-content5" \l "q1" </w:instrText>
      </w:r>
      <w:r>
        <w:fldChar w:fldCharType="separate"/>
      </w:r>
      <w:r>
        <w:rPr>
          <w:rFonts w:hint="eastAsia" w:ascii="宋体" w:hAnsi="宋体" w:eastAsia="宋体" w:cs="宋体"/>
          <w:color w:val="000000" w:themeColor="text1"/>
          <w14:textFill>
            <w14:solidFill>
              <w14:schemeClr w14:val="tx1"/>
            </w14:solidFill>
          </w14:textFill>
        </w:rPr>
        <w:t>https://www.taobao.com/market/paimai/sf-helpcenter.php?path=sf-hc-right-content5#q1</w:t>
      </w:r>
      <w:r>
        <w:rPr>
          <w:rFonts w:hint="eastAsia" w:ascii="宋体" w:hAnsi="宋体" w:eastAsia="宋体" w:cs="宋体"/>
          <w:color w:val="000000" w:themeColor="text1"/>
          <w14:textFill>
            <w14:solidFill>
              <w14:schemeClr w14:val="tx1"/>
            </w14:solidFill>
          </w14:textFill>
        </w:rPr>
        <w:fldChar w:fldCharType="end"/>
      </w:r>
    </w:p>
    <w:p w14:paraId="01871C35">
      <w:pPr>
        <w:pStyle w:val="6"/>
        <w:spacing w:beforeAutospacing="0" w:afterAutospacing="0" w:line="360" w:lineRule="auto"/>
        <w:ind w:firstLine="482"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3.</w:t>
      </w:r>
      <w:r>
        <w:rPr>
          <w:rFonts w:hint="eastAsia" w:ascii="宋体" w:hAnsi="宋体" w:eastAsia="宋体" w:cs="宋体"/>
          <w:color w:val="000000" w:themeColor="text1"/>
          <w14:textFill>
            <w14:solidFill>
              <w14:schemeClr w14:val="tx1"/>
            </w14:solidFill>
          </w14:textFill>
        </w:rPr>
        <w:t>竞买人参与竞拍，支付保证金及余款可能会遇到当天限额无法支付的情况，请竞买人根据自身情况选择网上充值银行。各大银行充值和支付的限额情况可上网查询，网址：https://www.taobao.com/market/paimai/sf-helpcenter.php?path=sf-hc-right-content5#q1</w:t>
      </w:r>
    </w:p>
    <w:p w14:paraId="2EC1F143">
      <w:pPr>
        <w:pStyle w:val="6"/>
        <w:widowControl/>
        <w:spacing w:beforeAutospacing="0" w:afterAutospacing="0" w:line="360" w:lineRule="auto"/>
        <w:ind w:firstLine="482" w:firstLineChars="200"/>
        <w:rPr>
          <w:rFonts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九、余款缴纳：</w:t>
      </w:r>
    </w:p>
    <w:p w14:paraId="3D935163">
      <w:pPr>
        <w:pStyle w:val="6"/>
        <w:widowControl/>
        <w:shd w:val="clear" w:color="auto" w:fill="FFFFFF"/>
        <w:spacing w:beforeAutospacing="0" w:afterAutospacing="0" w:line="360" w:lineRule="auto"/>
        <w:ind w:firstLine="480" w:firstLineChars="200"/>
        <w:rPr>
          <w:rFonts w:ascii="宋体" w:hAnsi="宋体" w:eastAsia="宋体" w:cs="宋体"/>
          <w:b/>
          <w:bCs/>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竞买人成功竞得拍卖标的物后，破产强清平台将在管理人后台生成相应《网络竞价成功确认书》</w:t>
      </w:r>
      <w:r>
        <w:rPr>
          <w:rFonts w:hint="eastAsia" w:ascii="仿宋" w:hAnsi="仿宋" w:eastAsia="仿宋" w:cs="仿宋"/>
          <w:b/>
          <w:bCs/>
        </w:rPr>
        <w:t>，即视为拍卖成交。</w:t>
      </w:r>
      <w:r>
        <w:rPr>
          <w:rFonts w:hint="eastAsia" w:ascii="宋体" w:hAnsi="宋体" w:eastAsia="宋体" w:cs="宋体"/>
          <w:color w:val="000000" w:themeColor="text1"/>
          <w14:textFill>
            <w14:solidFill>
              <w14:schemeClr w14:val="tx1"/>
            </w14:solidFill>
          </w14:textFill>
        </w:rPr>
        <w:t>买受人</w:t>
      </w:r>
      <w:r>
        <w:rPr>
          <w:rFonts w:hint="eastAsia" w:ascii="宋体" w:hAnsi="宋体" w:eastAsia="宋体" w:cs="宋体"/>
          <w:color w:val="C00000"/>
        </w:rPr>
        <w:t>应于拍卖成交之日起15日内</w:t>
      </w:r>
      <w:r>
        <w:rPr>
          <w:rFonts w:hint="eastAsia" w:ascii="宋体" w:hAnsi="宋体" w:eastAsia="宋体" w:cs="宋体"/>
          <w:color w:val="000000" w:themeColor="text1"/>
          <w14:textFill>
            <w14:solidFill>
              <w14:schemeClr w14:val="tx1"/>
            </w14:solidFill>
          </w14:textFill>
        </w:rPr>
        <w:t>将拍卖成交价余款（扣除保证金后的余款）转入管理人指定账户</w:t>
      </w:r>
      <w:r>
        <w:rPr>
          <w:rFonts w:hint="eastAsia" w:ascii="宋体" w:hAnsi="宋体" w:eastAsia="宋体" w:cs="宋体"/>
          <w:b/>
          <w:bCs/>
          <w:color w:val="000000" w:themeColor="text1"/>
          <w14:textFill>
            <w14:solidFill>
              <w14:schemeClr w14:val="tx1"/>
            </w14:solidFill>
          </w14:textFill>
        </w:rPr>
        <w:t>（账户名：湖南星城医药有限公司管理人，开户银行：广发银行股份有限公司长沙红星支行，账号：9550880229958100186）或其他管理人指定账户，并注明“破产案号：（2021）湘01破申52号；款项性质：星城医药公司出售家具以及办公用品尾款”。逾期则视为买受人违约，竞买保证金不予退还。</w:t>
      </w:r>
    </w:p>
    <w:p w14:paraId="2BF2689A">
      <w:pPr>
        <w:pStyle w:val="6"/>
        <w:widowControl/>
        <w:spacing w:beforeAutospacing="0" w:afterAutospacing="0" w:line="360" w:lineRule="auto"/>
        <w:ind w:firstLine="480"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color w:val="C00000"/>
        </w:rPr>
        <w:t>买受人可在【我的拍卖】中查看已拍下的订单，及时完成尾款的支付。</w:t>
      </w:r>
      <w:r>
        <w:rPr>
          <w:rFonts w:ascii="宋体" w:hAnsi="宋体" w:eastAsia="宋体" w:cs="宋体"/>
          <w:color w:val="000000" w:themeColor="text1"/>
          <w14:textFill>
            <w14:solidFill>
              <w14:schemeClr w14:val="tx1"/>
            </w14:solidFill>
          </w14:textFill>
        </w:rPr>
        <w:t>支付宝网上付款方式：登录我的淘宝-我的拍卖支付，付款教程：</w:t>
      </w:r>
    </w:p>
    <w:p w14:paraId="04C47972">
      <w:pPr>
        <w:pStyle w:val="6"/>
        <w:widowControl/>
        <w:spacing w:beforeAutospacing="0" w:afterAutospacing="0" w:line="360" w:lineRule="auto"/>
        <w:rPr>
          <w:rFonts w:ascii="宋体" w:hAnsi="宋体" w:eastAsia="宋体" w:cs="宋体"/>
          <w:b/>
          <w:bCs/>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https://www.taobao.com/market/paimai/sf-helpcenter.php?path=sf-hc-right-content5#q8）</w:t>
      </w:r>
    </w:p>
    <w:p w14:paraId="790FC4DD">
      <w:pPr>
        <w:pStyle w:val="6"/>
        <w:widowControl/>
        <w:spacing w:beforeAutospacing="0" w:afterAutospacing="0" w:line="360" w:lineRule="auto"/>
        <w:ind w:left="420" w:leftChars="200"/>
        <w:rPr>
          <w:rFonts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十、标的移交：</w:t>
      </w:r>
    </w:p>
    <w:p w14:paraId="40DBB439">
      <w:pPr>
        <w:pStyle w:val="2"/>
        <w:spacing w:line="360" w:lineRule="auto"/>
        <w:ind w:firstLine="482" w:firstLineChars="200"/>
        <w:rPr>
          <w:rFonts w:ascii="宋体" w:hAnsi="宋体" w:cs="宋体"/>
          <w:color w:val="000000" w:themeColor="text1"/>
          <w:sz w:val="24"/>
          <w14:textFill>
            <w14:solidFill>
              <w14:schemeClr w14:val="tx1"/>
            </w14:solidFill>
          </w14:textFill>
        </w:rPr>
      </w:pPr>
      <w:r>
        <w:rPr>
          <w:rFonts w:hint="eastAsia" w:ascii="宋体" w:hAnsi="宋体" w:eastAsia="宋体" w:cs="宋体"/>
          <w:b/>
          <w:bCs/>
          <w:color w:val="000000" w:themeColor="text1"/>
          <w:kern w:val="0"/>
          <w:sz w:val="24"/>
          <w:lang w:bidi="ar"/>
          <w14:textFill>
            <w14:solidFill>
              <w14:schemeClr w14:val="tx1"/>
            </w14:solidFill>
          </w14:textFill>
        </w:rPr>
        <w:t>1.</w:t>
      </w:r>
      <w:r>
        <w:rPr>
          <w:rFonts w:hint="eastAsia" w:ascii="宋体" w:hAnsi="宋体" w:eastAsia="宋体" w:cs="宋体"/>
          <w:color w:val="000000" w:themeColor="text1"/>
          <w:kern w:val="0"/>
          <w:sz w:val="24"/>
          <w:lang w:bidi="ar"/>
          <w14:textFill>
            <w14:solidFill>
              <w14:schemeClr w14:val="tx1"/>
            </w14:solidFill>
          </w14:textFill>
        </w:rPr>
        <w:t>买受人应于</w:t>
      </w:r>
      <w:r>
        <w:rPr>
          <w:rFonts w:hint="eastAsia" w:ascii="宋体" w:hAnsi="宋体" w:eastAsia="宋体" w:cs="宋体"/>
          <w:color w:val="C00000"/>
          <w:kern w:val="0"/>
          <w:sz w:val="24"/>
          <w:lang w:bidi="ar"/>
        </w:rPr>
        <w:t>付清全部拍卖成交款后5个工作日内</w:t>
      </w:r>
      <w:r>
        <w:rPr>
          <w:rFonts w:hint="eastAsia" w:ascii="宋体" w:hAnsi="宋体" w:eastAsia="宋体" w:cs="宋体"/>
          <w:color w:val="000000" w:themeColor="text1"/>
          <w:kern w:val="0"/>
          <w:sz w:val="24"/>
          <w:lang w:bidi="ar"/>
          <w14:textFill>
            <w14:solidFill>
              <w14:schemeClr w14:val="tx1"/>
            </w14:solidFill>
          </w14:textFill>
        </w:rPr>
        <w:t>（遇节假日顺延）凭缴齐全部款项的付款凭证及相关身份证明材料到管理人处办理交接手续【具体方式、联系地址等由管理人另行通知确定】。</w:t>
      </w:r>
    </w:p>
    <w:p w14:paraId="76682987">
      <w:pPr>
        <w:spacing w:line="360" w:lineRule="auto"/>
        <w:ind w:firstLine="482"/>
        <w:rPr>
          <w:rFonts w:ascii="宋体" w:hAnsi="宋体" w:eastAsia="宋体" w:cs="宋体"/>
          <w:color w:val="000000" w:themeColor="text1"/>
          <w:sz w:val="24"/>
          <w14:textFill>
            <w14:solidFill>
              <w14:schemeClr w14:val="tx1"/>
            </w14:solidFill>
          </w14:textFill>
        </w:rPr>
      </w:pPr>
      <w:r>
        <w:rPr>
          <w:rFonts w:hint="eastAsia" w:ascii="宋体" w:hAnsi="宋体" w:eastAsia="宋体" w:cs="宋体"/>
          <w:b/>
          <w:bCs/>
          <w:color w:val="000000" w:themeColor="text1"/>
          <w:kern w:val="0"/>
          <w:sz w:val="24"/>
          <w:lang w:bidi="ar"/>
          <w14:textFill>
            <w14:solidFill>
              <w14:schemeClr w14:val="tx1"/>
            </w14:solidFill>
          </w14:textFill>
        </w:rPr>
        <w:t>2.</w:t>
      </w:r>
      <w:r>
        <w:rPr>
          <w:rFonts w:hint="eastAsia" w:ascii="宋体" w:hAnsi="宋体" w:eastAsia="宋体" w:cs="宋体"/>
          <w:color w:val="000000" w:themeColor="text1"/>
          <w:sz w:val="24"/>
          <w14:textFill>
            <w14:solidFill>
              <w14:schemeClr w14:val="tx1"/>
            </w14:solidFill>
          </w14:textFill>
        </w:rPr>
        <w:t>自拍卖成交之日起，买受人自行承担标的物可能发生的损毁、灭失等全部自然风险和安全责任、索赔责任等全部法律责任、经济责任。</w:t>
      </w:r>
    </w:p>
    <w:p w14:paraId="3D8BE46B">
      <w:pPr>
        <w:spacing w:line="360" w:lineRule="auto"/>
        <w:ind w:firstLine="482"/>
        <w:rPr>
          <w:rFonts w:ascii="仿宋" w:hAnsi="仿宋" w:eastAsia="仿宋" w:cs="仿宋"/>
          <w:sz w:val="24"/>
        </w:rPr>
      </w:pPr>
      <w:r>
        <w:rPr>
          <w:rFonts w:hint="eastAsia" w:ascii="宋体" w:hAnsi="宋体" w:eastAsia="宋体" w:cs="宋体"/>
          <w:b/>
          <w:bCs/>
          <w:color w:val="000000" w:themeColor="text1"/>
          <w:kern w:val="0"/>
          <w:sz w:val="24"/>
          <w:lang w:bidi="ar"/>
          <w14:textFill>
            <w14:solidFill>
              <w14:schemeClr w14:val="tx1"/>
            </w14:solidFill>
          </w14:textFill>
        </w:rPr>
        <w:t>3.</w:t>
      </w:r>
      <w:r>
        <w:rPr>
          <w:rFonts w:hint="eastAsia" w:ascii="宋体" w:hAnsi="宋体" w:eastAsia="宋体" w:cs="宋体"/>
          <w:color w:val="000000" w:themeColor="text1"/>
          <w:sz w:val="24"/>
          <w14:textFill>
            <w14:solidFill>
              <w14:schemeClr w14:val="tx1"/>
            </w14:solidFill>
          </w14:textFill>
        </w:rPr>
        <w:t>标的物需要买受人自行领受，标的物以成交后交接时存在的状态就地进行交接，买受人对于标的物的拆卸、搬运、吊装及保管、清场等工作均由买受人自行负责，交接过程中发生的看管费、装卸费、人工费、运输费等均由买受人承担。如交接、搬运、拆卸、吊装及清运等过程中发生人身伤亡、财产损害的，一切责任及费用由买受人承担。</w:t>
      </w:r>
    </w:p>
    <w:p w14:paraId="71B8EB2D">
      <w:pPr>
        <w:pStyle w:val="5"/>
        <w:spacing w:line="360" w:lineRule="auto"/>
        <w:ind w:firstLine="482" w:firstLineChars="200"/>
        <w:rPr>
          <w:rFonts w:ascii="宋体" w:hAnsi="宋体" w:cs="宋体"/>
          <w:color w:val="000000" w:themeColor="text1"/>
          <w:kern w:val="0"/>
          <w:sz w:val="24"/>
          <w:lang w:bidi="ar"/>
          <w14:textFill>
            <w14:solidFill>
              <w14:schemeClr w14:val="tx1"/>
            </w14:solidFill>
          </w14:textFill>
        </w:rPr>
      </w:pPr>
      <w:r>
        <w:rPr>
          <w:rFonts w:hint="eastAsia" w:ascii="宋体" w:hAnsi="宋体" w:cs="宋体"/>
          <w:b/>
          <w:bCs/>
          <w:color w:val="000000" w:themeColor="text1"/>
          <w:kern w:val="0"/>
          <w:sz w:val="24"/>
          <w:lang w:bidi="ar"/>
          <w14:textFill>
            <w14:solidFill>
              <w14:schemeClr w14:val="tx1"/>
            </w14:solidFill>
          </w14:textFill>
        </w:rPr>
        <w:t>4.</w:t>
      </w:r>
      <w:r>
        <w:rPr>
          <w:rFonts w:hint="eastAsia" w:ascii="宋体" w:hAnsi="宋体" w:cs="宋体"/>
          <w:color w:val="000000" w:themeColor="text1"/>
          <w:kern w:val="0"/>
          <w:sz w:val="24"/>
          <w:lang w:bidi="ar"/>
          <w14:textFill>
            <w14:solidFill>
              <w14:schemeClr w14:val="tx1"/>
            </w14:solidFill>
          </w14:textFill>
        </w:rPr>
        <w:t>拍卖成交后，买受人应当自行妥善处理与其他人的法律关系。买受人与其他人就标的产生的一切纠纷由买受人自行处理，管理人不承担任何责任。</w:t>
      </w:r>
    </w:p>
    <w:p w14:paraId="614B04E4">
      <w:pPr>
        <w:spacing w:line="360" w:lineRule="auto"/>
        <w:ind w:firstLine="482" w:firstLineChars="200"/>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b/>
          <w:bCs/>
          <w:color w:val="000000" w:themeColor="text1"/>
          <w:kern w:val="0"/>
          <w:sz w:val="24"/>
          <w:lang w:bidi="ar"/>
          <w14:textFill>
            <w14:solidFill>
              <w14:schemeClr w14:val="tx1"/>
            </w14:solidFill>
          </w14:textFill>
        </w:rPr>
        <w:t>5.</w:t>
      </w:r>
      <w:r>
        <w:rPr>
          <w:rFonts w:hint="eastAsia" w:ascii="宋体" w:hAnsi="宋体" w:eastAsia="宋体" w:cs="宋体"/>
          <w:color w:val="000000" w:themeColor="text1"/>
          <w:kern w:val="0"/>
          <w:sz w:val="24"/>
          <w:lang w:bidi="ar"/>
          <w14:textFill>
            <w14:solidFill>
              <w14:schemeClr w14:val="tx1"/>
            </w14:solidFill>
          </w14:textFill>
        </w:rPr>
        <w:t>拍卖成交后，</w:t>
      </w:r>
      <w:r>
        <w:rPr>
          <w:rFonts w:ascii="宋体" w:hAnsi="宋体" w:eastAsia="宋体" w:cs="宋体"/>
          <w:color w:val="000000" w:themeColor="text1"/>
          <w:kern w:val="0"/>
          <w:sz w:val="24"/>
          <w:lang w:bidi="ar"/>
          <w14:textFill>
            <w14:solidFill>
              <w14:schemeClr w14:val="tx1"/>
            </w14:solidFill>
          </w14:textFill>
        </w:rPr>
        <w:t>管理人仅提供《</w:t>
      </w:r>
      <w:r>
        <w:rPr>
          <w:rFonts w:hint="eastAsia" w:ascii="宋体" w:hAnsi="宋体" w:cs="宋体"/>
          <w:color w:val="000000" w:themeColor="text1"/>
          <w:kern w:val="0"/>
          <w:sz w:val="24"/>
          <w:lang w:bidi="ar"/>
          <w14:textFill>
            <w14:solidFill>
              <w14:schemeClr w14:val="tx1"/>
            </w14:solidFill>
          </w14:textFill>
        </w:rPr>
        <w:t>网络竞价成功确认书</w:t>
      </w:r>
      <w:r>
        <w:rPr>
          <w:rFonts w:ascii="宋体" w:hAnsi="宋体" w:eastAsia="宋体" w:cs="宋体"/>
          <w:color w:val="000000" w:themeColor="text1"/>
          <w:kern w:val="0"/>
          <w:sz w:val="24"/>
          <w:lang w:bidi="ar"/>
          <w14:textFill>
            <w14:solidFill>
              <w14:schemeClr w14:val="tx1"/>
            </w14:solidFill>
          </w14:textFill>
        </w:rPr>
        <w:t>》，不负有其他材料（包括但不限于协助执行通知书等）的提供义务。</w:t>
      </w:r>
    </w:p>
    <w:p w14:paraId="75EC9FEA">
      <w:pPr>
        <w:spacing w:line="360" w:lineRule="auto"/>
        <w:ind w:firstLine="482" w:firstLineChars="200"/>
        <w:rPr>
          <w:rFonts w:ascii="宋体" w:hAnsi="宋体" w:eastAsia="宋体" w:cs="宋体"/>
          <w:color w:val="000000" w:themeColor="text1"/>
          <w:kern w:val="0"/>
          <w:sz w:val="24"/>
          <w:lang w:bidi="ar"/>
          <w14:textFill>
            <w14:solidFill>
              <w14:schemeClr w14:val="tx1"/>
            </w14:solidFill>
          </w14:textFill>
        </w:rPr>
      </w:pPr>
      <w:r>
        <w:rPr>
          <w:rFonts w:ascii="宋体" w:hAnsi="宋体" w:eastAsia="宋体" w:cs="宋体"/>
          <w:b/>
          <w:bCs/>
          <w:color w:val="000000" w:themeColor="text1"/>
          <w:kern w:val="0"/>
          <w:sz w:val="24"/>
          <w:lang w:bidi="ar"/>
          <w14:textFill>
            <w14:solidFill>
              <w14:schemeClr w14:val="tx1"/>
            </w14:solidFill>
          </w14:textFill>
        </w:rPr>
        <w:t>6.</w:t>
      </w:r>
      <w:r>
        <w:rPr>
          <w:rFonts w:hint="eastAsia" w:ascii="宋体" w:hAnsi="宋体" w:eastAsia="宋体" w:cs="宋体"/>
          <w:color w:val="000000" w:themeColor="text1"/>
          <w:kern w:val="0"/>
          <w:sz w:val="24"/>
          <w:lang w:bidi="ar"/>
          <w14:textFill>
            <w14:solidFill>
              <w14:schemeClr w14:val="tx1"/>
            </w14:solidFill>
          </w14:textFill>
        </w:rPr>
        <w:t>本次拍卖涉及的标的物（如电脑主机等）如有信息、数据等存储设备、内容物、其他数据信息存储介质，以及其它管理人认为不宜交付的物品，不在本次拍卖及交付范围之内。</w:t>
      </w:r>
    </w:p>
    <w:p w14:paraId="36FD633E">
      <w:pPr>
        <w:spacing w:line="360" w:lineRule="auto"/>
        <w:ind w:firstLine="482" w:firstLineChars="200"/>
        <w:rPr>
          <w:rFonts w:ascii="宋体" w:hAnsi="宋体" w:eastAsia="宋体" w:cs="宋体"/>
          <w:b/>
          <w:bCs/>
          <w:color w:val="000000" w:themeColor="text1"/>
          <w:kern w:val="0"/>
          <w:sz w:val="24"/>
          <w:lang w:bidi="ar"/>
          <w14:textFill>
            <w14:solidFill>
              <w14:schemeClr w14:val="tx1"/>
            </w14:solidFill>
          </w14:textFill>
        </w:rPr>
      </w:pPr>
      <w:r>
        <w:rPr>
          <w:rFonts w:hint="eastAsia" w:ascii="宋体" w:hAnsi="宋体" w:eastAsia="宋体" w:cs="宋体"/>
          <w:b/>
          <w:bCs/>
          <w:color w:val="000000" w:themeColor="text1"/>
          <w:kern w:val="0"/>
          <w:sz w:val="24"/>
          <w:lang w:bidi="ar"/>
          <w14:textFill>
            <w14:solidFill>
              <w14:schemeClr w14:val="tx1"/>
            </w14:solidFill>
          </w14:textFill>
        </w:rPr>
        <w:t>十一、税费及其他费用承担：</w:t>
      </w:r>
    </w:p>
    <w:p w14:paraId="5144F648">
      <w:pPr>
        <w:pStyle w:val="6"/>
        <w:widowControl/>
        <w:spacing w:beforeAutospacing="0" w:afterAutospacing="0" w:line="360" w:lineRule="auto"/>
        <w:ind w:firstLine="482" w:firstLineChars="200"/>
        <w:rPr>
          <w:rFonts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1.本次拍卖成交价不包含转让时双方的一切税、费、标的物交接运输费等费用；按法律、法规、政策规定所产生的税由相应主体承担；本次拍卖所涉及的除税以外的费及明确的或潜在的其他一切关联费用（包括但不限于拍卖方负担的）全部由买受人负责处理、承担。</w:t>
      </w:r>
    </w:p>
    <w:p w14:paraId="4076ED0F">
      <w:pPr>
        <w:spacing w:line="360" w:lineRule="auto"/>
        <w:ind w:firstLine="482" w:firstLineChars="200"/>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2.</w:t>
      </w:r>
      <w:r>
        <w:rPr>
          <w:rFonts w:hint="eastAsia" w:ascii="宋体" w:hAnsi="宋体" w:eastAsia="宋体" w:cs="宋体"/>
          <w:color w:val="000000" w:themeColor="text1"/>
          <w:kern w:val="0"/>
          <w:sz w:val="24"/>
          <w:lang w:bidi="ar"/>
          <w14:textFill>
            <w14:solidFill>
              <w14:schemeClr w14:val="tx1"/>
            </w14:solidFill>
          </w14:textFill>
        </w:rPr>
        <w:t>竞买人在竞投前应充分考虑到拍卖成交后可能需要支付的相关税、费、金及软件服务费等，并已充分了解标的物在拍卖成交后所产生的实物移交、相关政策规定及政策性调整所涉及的税费调整及不可抗力因素等方面所引发的风险；竞买人一旦参加竞价，就应对自己的竞买行为承担所有的法律责任和经济责任。竞买成交后，竞买人即为买受人，买受人不能以任何理由（包括“不可抗力”或“政策”等原因）要求退回标的物或拒付拍卖成交价款及软件服务费。</w:t>
      </w:r>
    </w:p>
    <w:p w14:paraId="0DF2DF41">
      <w:pPr>
        <w:spacing w:line="360" w:lineRule="auto"/>
        <w:ind w:firstLine="482" w:firstLineChars="200"/>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3.</w:t>
      </w:r>
      <w:r>
        <w:rPr>
          <w:rFonts w:hint="eastAsia" w:ascii="宋体" w:hAnsi="宋体" w:eastAsia="宋体" w:cs="宋体"/>
          <w:color w:val="000000" w:themeColor="text1"/>
          <w:kern w:val="0"/>
          <w:sz w:val="24"/>
          <w:lang w:bidi="ar"/>
          <w14:textFill>
            <w14:solidFill>
              <w14:schemeClr w14:val="tx1"/>
            </w14:solidFill>
          </w14:textFill>
        </w:rPr>
        <w:t>各项税费标准和其他费用请竞买人自行向相关职能部门、公司或个人咨询了解。</w:t>
      </w:r>
    </w:p>
    <w:p w14:paraId="4830E284">
      <w:pPr>
        <w:pStyle w:val="6"/>
        <w:shd w:val="clear" w:color="auto" w:fill="FFFFFF"/>
        <w:spacing w:beforeAutospacing="0" w:afterAutospacing="0" w:line="360" w:lineRule="auto"/>
        <w:ind w:firstLine="482" w:firstLineChars="200"/>
        <w:jc w:val="both"/>
        <w:rPr>
          <w:rFonts w:ascii="宋体" w:hAnsi="宋体" w:eastAsia="宋体" w:cs="宋体"/>
          <w:b/>
          <w:bCs/>
          <w:color w:val="000000" w:themeColor="text1"/>
          <w:kern w:val="2"/>
          <w14:textFill>
            <w14:solidFill>
              <w14:schemeClr w14:val="tx1"/>
            </w14:solidFill>
          </w14:textFill>
        </w:rPr>
      </w:pPr>
      <w:r>
        <w:rPr>
          <w:rFonts w:hint="eastAsia" w:ascii="宋体" w:hAnsi="宋体" w:eastAsia="宋体" w:cs="宋体"/>
          <w:b/>
          <w:bCs/>
          <w:color w:val="000000" w:themeColor="text1"/>
          <w:kern w:val="2"/>
          <w14:textFill>
            <w14:solidFill>
              <w14:schemeClr w14:val="tx1"/>
            </w14:solidFill>
          </w14:textFill>
        </w:rPr>
        <w:t>十二、买受人及时处理竞价后事宜：</w:t>
      </w:r>
    </w:p>
    <w:p w14:paraId="03EF2373">
      <w:pPr>
        <w:widowControl/>
        <w:spacing w:line="360" w:lineRule="auto"/>
        <w:ind w:firstLine="480" w:firstLineChars="200"/>
        <w:jc w:val="left"/>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买受人有以下行为之一的，均视为悔拍：买受人提供虚假、伪造证件或证明文件的；买受人拖延或拒绝、未按管理人要求签订相关文件的；买受人未按竞买文件规定的支付方式、期限、金额交纳成交价款及拍卖佣金（服务费）的；买受人拖延或拒绝、未按管理人要求完成标的物交割的；恶意炒作和操纵市场的、通过非正当手段扰乱市场的；阻挠其他竞买人竞拍，操纵、垄断竞拍价格，同其他竞买人恶意串标；在交易过程中，有其他法律、法规禁止行为或违反相关规定、约定内容之行为，或给管理人和辅助拍卖机构造成损失的；其他拍卖人认为属于悔拍的行为。</w:t>
      </w:r>
    </w:p>
    <w:p w14:paraId="290B4855">
      <w:pPr>
        <w:widowControl/>
        <w:spacing w:line="360" w:lineRule="auto"/>
        <w:ind w:firstLine="480" w:firstLineChars="200"/>
        <w:jc w:val="left"/>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kern w:val="0"/>
          <w:sz w:val="24"/>
          <w:lang w:bidi="ar"/>
          <w14:textFill>
            <w14:solidFill>
              <w14:schemeClr w14:val="tx1"/>
            </w14:solidFill>
          </w14:textFill>
        </w:rPr>
        <w:t>买受人有上述悔拍行为之一的，其交纳的竞买保证金不予退回，计入星城医药公司财产；管理人有权取消其买受人资格，重新竞价；有权终止或解除与其签订的所涉及拍卖标的物的全部法律文件及附件；有权收回成交的标的物；有权要求买受人支付违约赔偿并追究其他法律责任。悔拍后重新竞价的，原买受人不得参加竞价。重新拍卖成交价款低于原拍卖成交价款的，其差价由原买受人补偿和承担。原买受人的保证金数额不足以弥补拍卖费用损失以及重新拍卖成交价款低于原拍卖成交价款的差价的，原买受人应予补足，管理人可向原买受人追索。拒绝补交的，管理人将申请法院强制执行。</w:t>
      </w:r>
    </w:p>
    <w:p w14:paraId="1B16D21F">
      <w:pPr>
        <w:pStyle w:val="6"/>
        <w:shd w:val="clear" w:color="auto" w:fill="FFFFFF"/>
        <w:spacing w:beforeAutospacing="0" w:afterAutospacing="0" w:line="360" w:lineRule="auto"/>
        <w:ind w:firstLine="482" w:firstLineChars="200"/>
        <w:jc w:val="both"/>
        <w:rPr>
          <w:rFonts w:ascii="宋体" w:hAnsi="宋体" w:eastAsia="宋体" w:cs="宋体"/>
          <w:color w:val="000000" w:themeColor="text1"/>
          <w:kern w:val="2"/>
          <w14:textFill>
            <w14:solidFill>
              <w14:schemeClr w14:val="tx1"/>
            </w14:solidFill>
          </w14:textFill>
        </w:rPr>
      </w:pPr>
      <w:r>
        <w:rPr>
          <w:rFonts w:hint="eastAsia" w:ascii="宋体" w:hAnsi="宋体" w:eastAsia="宋体" w:cs="宋体"/>
          <w:b/>
          <w:bCs/>
          <w:color w:val="000000" w:themeColor="text1"/>
          <w:kern w:val="2"/>
          <w14:textFill>
            <w14:solidFill>
              <w14:schemeClr w14:val="tx1"/>
            </w14:solidFill>
          </w14:textFill>
        </w:rPr>
        <w:t>十三、</w:t>
      </w:r>
      <w:r>
        <w:rPr>
          <w:rFonts w:hint="eastAsia" w:ascii="宋体" w:hAnsi="宋体" w:eastAsia="宋体" w:cs="宋体"/>
          <w:color w:val="000000" w:themeColor="text1"/>
          <w:kern w:val="2"/>
          <w14:textFill>
            <w14:solidFill>
              <w14:schemeClr w14:val="tx1"/>
            </w14:solidFill>
          </w14:textFill>
        </w:rPr>
        <w:t>参加竞买的人应当遵守竞买文件的规定，不得阻挠其他竞买人竞拍，不得操纵、垄断竞拍价格，严禁竞买人恶意串标，上述行为一经发现，将取消其竞买资格，并追究相关的法律责任。</w:t>
      </w:r>
    </w:p>
    <w:p w14:paraId="43FCCF08">
      <w:pPr>
        <w:spacing w:line="360" w:lineRule="auto"/>
        <w:ind w:firstLine="482" w:firstLineChars="200"/>
        <w:jc w:val="left"/>
        <w:rPr>
          <w:rFonts w:ascii="仿宋" w:hAnsi="仿宋" w:eastAsia="仿宋" w:cs="仿宋"/>
          <w:sz w:val="24"/>
        </w:rPr>
      </w:pPr>
      <w:r>
        <w:rPr>
          <w:rFonts w:hint="eastAsia" w:ascii="宋体" w:hAnsi="宋体" w:eastAsia="宋体" w:cs="宋体"/>
          <w:b/>
          <w:bCs/>
          <w:color w:val="000000" w:themeColor="text1"/>
          <w:sz w:val="24"/>
          <w14:textFill>
            <w14:solidFill>
              <w14:schemeClr w14:val="tx1"/>
            </w14:solidFill>
          </w14:textFill>
        </w:rPr>
        <w:t>十四、</w:t>
      </w:r>
      <w:r>
        <w:rPr>
          <w:rFonts w:hint="eastAsia" w:ascii="宋体" w:hAnsi="宋体" w:eastAsia="宋体" w:cs="宋体"/>
          <w:color w:val="000000" w:themeColor="text1"/>
          <w:sz w:val="24"/>
          <w14:textFill>
            <w14:solidFill>
              <w14:schemeClr w14:val="tx1"/>
            </w14:solidFill>
          </w14:textFill>
        </w:rPr>
        <w:t>长沙市中级人民法院与管理人有权在竞价开始前、竞价过程中，中止竞价或撤回竞价。因网络或其他客观原因导致竞价无法正常进行的，管理人有权待以上因素消除后视情决定重新竞价，并不承担因此造成的损失。</w:t>
      </w:r>
    </w:p>
    <w:p w14:paraId="65C5A981">
      <w:pPr>
        <w:spacing w:line="360" w:lineRule="auto"/>
        <w:ind w:firstLine="482" w:firstLineChars="200"/>
        <w:jc w:val="left"/>
        <w:rPr>
          <w:rFonts w:ascii="宋体" w:hAnsi="宋体" w:eastAsia="宋体" w:cs="宋体"/>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十五、</w:t>
      </w:r>
      <w:r>
        <w:rPr>
          <w:rFonts w:hint="eastAsia" w:ascii="宋体" w:hAnsi="宋体" w:eastAsia="宋体" w:cs="宋体"/>
          <w:color w:val="000000" w:themeColor="text1"/>
          <w:sz w:val="24"/>
          <w14:textFill>
            <w14:solidFill>
              <w14:schemeClr w14:val="tx1"/>
            </w14:solidFill>
          </w14:textFill>
        </w:rPr>
        <w:t>为便于买受人及时收到相关的法律文书及通知，竞买人在竞价前如实向竞价平台提供确切的送达地址或者主动与管理人联系。如需更改地址，买受人应及时与管理人联系确认更改。因提供的送达地址不确切，或未及时告知变更地址，导致有关法律文书及通知无法送达的，由竞买人自行承担由此可能产生的法律后果。</w:t>
      </w:r>
    </w:p>
    <w:p w14:paraId="48FF04A1">
      <w:pPr>
        <w:spacing w:line="360" w:lineRule="auto"/>
        <w:ind w:firstLine="482" w:firstLineChars="200"/>
        <w:jc w:val="left"/>
        <w:rPr>
          <w:rFonts w:ascii="宋体" w:hAnsi="宋体" w:eastAsia="宋体" w:cs="宋体"/>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十六、</w:t>
      </w:r>
      <w:r>
        <w:rPr>
          <w:rFonts w:hint="eastAsia" w:ascii="宋体" w:hAnsi="宋体" w:eastAsia="宋体" w:cs="宋体"/>
          <w:color w:val="000000" w:themeColor="text1"/>
          <w:sz w:val="24"/>
          <w14:textFill>
            <w14:solidFill>
              <w14:schemeClr w14:val="tx1"/>
            </w14:solidFill>
          </w14:textFill>
        </w:rPr>
        <w:t>管理人有权在竞价通道开放前，据实修订竞买文件的相关内容且无需承担任何责任，竞拍人应当自行关注最新竞买文件内容并谨慎报名竞拍。竞买文件内容以网拍平台竞价页面最终显示为准，不再另行通知或者设置提醒。</w:t>
      </w:r>
    </w:p>
    <w:p w14:paraId="3A35E8EB">
      <w:pPr>
        <w:spacing w:line="360" w:lineRule="auto"/>
        <w:ind w:firstLine="482" w:firstLineChars="200"/>
        <w:jc w:val="left"/>
        <w:rPr>
          <w:rFonts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十七、竞买人在竞价前请务必仔细阅读全部竞买文件。本次竞买文件的最终解释权在管理人。</w:t>
      </w:r>
    </w:p>
    <w:p w14:paraId="460D57C5">
      <w:pPr>
        <w:pStyle w:val="6"/>
        <w:shd w:val="clear" w:color="auto" w:fill="FFFFFF"/>
        <w:spacing w:beforeAutospacing="0" w:afterAutospacing="0" w:line="360" w:lineRule="auto"/>
        <w:ind w:firstLine="482" w:firstLineChars="200"/>
        <w:jc w:val="both"/>
        <w:rPr>
          <w:rFonts w:ascii="宋体" w:hAnsi="宋体" w:eastAsia="宋体" w:cs="宋体"/>
          <w:color w:val="000000" w:themeColor="text1"/>
          <w:kern w:val="2"/>
          <w14:textFill>
            <w14:solidFill>
              <w14:schemeClr w14:val="tx1"/>
            </w14:solidFill>
          </w14:textFill>
        </w:rPr>
      </w:pPr>
      <w:r>
        <w:rPr>
          <w:rFonts w:hint="eastAsia" w:ascii="宋体" w:hAnsi="宋体" w:eastAsia="宋体" w:cs="宋体"/>
          <w:b/>
          <w:bCs/>
          <w:color w:val="000000" w:themeColor="text1"/>
          <w:kern w:val="2"/>
          <w14:textFill>
            <w14:solidFill>
              <w14:schemeClr w14:val="tx1"/>
            </w14:solidFill>
          </w14:textFill>
        </w:rPr>
        <w:t>十八</w:t>
      </w:r>
      <w:r>
        <w:rPr>
          <w:rFonts w:ascii="宋体" w:hAnsi="宋体" w:eastAsia="宋体" w:cs="宋体"/>
          <w:b/>
          <w:bCs/>
          <w:color w:val="000000" w:themeColor="text1"/>
          <w:kern w:val="2"/>
          <w14:textFill>
            <w14:solidFill>
              <w14:schemeClr w14:val="tx1"/>
            </w14:solidFill>
          </w14:textFill>
        </w:rPr>
        <w:t>、</w:t>
      </w:r>
      <w:r>
        <w:rPr>
          <w:rFonts w:hint="eastAsia" w:ascii="宋体" w:hAnsi="宋体" w:eastAsia="宋体" w:cs="宋体"/>
          <w:color w:val="000000" w:themeColor="text1"/>
          <w:kern w:val="2"/>
          <w14:textFill>
            <w14:solidFill>
              <w14:schemeClr w14:val="tx1"/>
            </w14:solidFill>
          </w14:textFill>
        </w:rPr>
        <w:t>凡发现拍卖中有违规行为，可如实举报。</w:t>
      </w:r>
    </w:p>
    <w:p w14:paraId="1C430CC9">
      <w:pPr>
        <w:pStyle w:val="6"/>
        <w:widowControl/>
        <w:spacing w:beforeAutospacing="0" w:afterAutospacing="0" w:line="360" w:lineRule="auto"/>
        <w:ind w:firstLine="480"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法院监督电话：0731-85798378</w:t>
      </w:r>
    </w:p>
    <w:p w14:paraId="2DA9F66E">
      <w:pPr>
        <w:pStyle w:val="6"/>
        <w:widowControl/>
        <w:spacing w:beforeAutospacing="0" w:afterAutospacing="0" w:line="360" w:lineRule="auto"/>
        <w:ind w:firstLine="480"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管理人咨询电话：</w:t>
      </w:r>
      <w:r>
        <w:rPr>
          <w:rFonts w:ascii="宋体" w:hAnsi="宋体" w:eastAsia="宋体" w:cs="宋体"/>
          <w:color w:val="000000" w:themeColor="text1"/>
          <w14:textFill>
            <w14:solidFill>
              <w14:schemeClr w14:val="tx1"/>
            </w14:solidFill>
          </w14:textFill>
        </w:rPr>
        <w:t>15558815578</w:t>
      </w:r>
      <w:r>
        <w:rPr>
          <w:rFonts w:hint="eastAsia" w:ascii="宋体" w:hAnsi="宋体" w:eastAsia="宋体" w:cs="宋体"/>
          <w:color w:val="000000" w:themeColor="text1"/>
          <w14:textFill>
            <w14:solidFill>
              <w14:schemeClr w14:val="tx1"/>
            </w14:solidFill>
          </w14:textFill>
        </w:rPr>
        <w:t>；1</w:t>
      </w:r>
      <w:r>
        <w:rPr>
          <w:rFonts w:ascii="宋体" w:hAnsi="宋体" w:eastAsia="宋体" w:cs="宋体"/>
          <w:color w:val="000000" w:themeColor="text1"/>
          <w14:textFill>
            <w14:solidFill>
              <w14:schemeClr w14:val="tx1"/>
            </w14:solidFill>
          </w14:textFill>
        </w:rPr>
        <w:t>5958012283</w:t>
      </w:r>
    </w:p>
    <w:p w14:paraId="5231166C">
      <w:pPr>
        <w:pStyle w:val="6"/>
        <w:widowControl/>
        <w:spacing w:beforeAutospacing="0" w:afterAutospacing="0" w:line="360" w:lineRule="auto"/>
        <w:ind w:firstLine="480"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淘宝技术咨询：400-822-2870</w:t>
      </w:r>
    </w:p>
    <w:p w14:paraId="3F4D71D9">
      <w:pPr>
        <w:pStyle w:val="6"/>
        <w:widowControl/>
        <w:spacing w:beforeAutospacing="0" w:afterAutospacing="0" w:line="360" w:lineRule="auto"/>
        <w:jc w:val="right"/>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 湖南星城医药有限公司管理人</w:t>
      </w:r>
    </w:p>
    <w:p w14:paraId="0D46E387">
      <w:pPr>
        <w:pStyle w:val="6"/>
        <w:widowControl/>
        <w:spacing w:beforeAutospacing="0" w:afterAutospacing="0" w:line="360" w:lineRule="auto"/>
        <w:jc w:val="right"/>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 xml:space="preserve">                                          二〇二四年十</w:t>
      </w:r>
      <w:r>
        <w:rPr>
          <w:rFonts w:hint="eastAsia" w:ascii="宋体" w:hAnsi="宋体" w:eastAsia="宋体" w:cs="宋体"/>
          <w:color w:val="000000" w:themeColor="text1"/>
          <w:lang w:eastAsia="zh-CN"/>
          <w14:textFill>
            <w14:solidFill>
              <w14:schemeClr w14:val="tx1"/>
            </w14:solidFill>
          </w14:textFill>
        </w:rPr>
        <w:t>二</w:t>
      </w:r>
      <w:r>
        <w:rPr>
          <w:rFonts w:hint="eastAsia" w:ascii="宋体" w:hAnsi="宋体" w:eastAsia="宋体" w:cs="宋体"/>
          <w:color w:val="000000" w:themeColor="text1"/>
          <w14:textFill>
            <w14:solidFill>
              <w14:schemeClr w14:val="tx1"/>
            </w14:solidFill>
          </w14:textFill>
        </w:rPr>
        <w:t>月</w:t>
      </w:r>
      <w:r>
        <w:rPr>
          <w:rFonts w:hint="eastAsia" w:ascii="宋体" w:hAnsi="宋体" w:eastAsia="宋体" w:cs="宋体"/>
          <w:color w:val="000000" w:themeColor="text1"/>
          <w:lang w:eastAsia="zh-CN"/>
          <w14:textFill>
            <w14:solidFill>
              <w14:schemeClr w14:val="tx1"/>
            </w14:solidFill>
          </w14:textFill>
        </w:rPr>
        <w:t>十一</w:t>
      </w:r>
      <w:bookmarkStart w:id="0" w:name="_GoBack"/>
      <w:bookmarkEnd w:id="0"/>
      <w:r>
        <w:rPr>
          <w:rFonts w:hint="eastAsia" w:ascii="宋体" w:hAnsi="宋体" w:eastAsia="宋体" w:cs="宋体"/>
          <w:color w:val="000000" w:themeColor="text1"/>
          <w14:textFill>
            <w14:solidFill>
              <w14:schemeClr w14:val="tx1"/>
            </w14:solidFill>
          </w14:textFill>
        </w:rPr>
        <w:t>日</w:t>
      </w:r>
    </w:p>
    <w:p w14:paraId="2D9255CF">
      <w:pPr>
        <w:rPr>
          <w:rFonts w:ascii="宋体" w:hAnsi="宋体" w:eastAsia="宋体" w:cs="宋体"/>
          <w:sz w:val="24"/>
        </w:rPr>
      </w:pPr>
      <w:r>
        <w:rPr>
          <w:rFonts w:hint="eastAsia" w:ascii="宋体" w:hAnsi="宋体" w:eastAsia="宋体" w:cs="宋体"/>
          <w:sz w:val="24"/>
        </w:rPr>
        <w:br w:type="page"/>
      </w:r>
    </w:p>
    <w:p w14:paraId="1168B39C">
      <w:pPr>
        <w:spacing w:line="360" w:lineRule="auto"/>
        <w:jc w:val="center"/>
        <w:rPr>
          <w:rFonts w:ascii="黑体" w:hAnsi="黑体" w:eastAsia="黑体" w:cs="黑体"/>
          <w:b/>
          <w:bCs/>
          <w:color w:val="000000" w:themeColor="text1"/>
          <w:kern w:val="0"/>
          <w:sz w:val="36"/>
          <w:szCs w:val="36"/>
          <w:lang w:bidi="ar"/>
          <w14:textFill>
            <w14:solidFill>
              <w14:schemeClr w14:val="tx1"/>
            </w14:solidFill>
          </w14:textFill>
        </w:rPr>
      </w:pPr>
      <w:r>
        <w:rPr>
          <w:rFonts w:hint="eastAsia" w:ascii="黑体" w:hAnsi="黑体" w:eastAsia="黑体" w:cs="黑体"/>
          <w:b/>
          <w:bCs/>
          <w:color w:val="000000" w:themeColor="text1"/>
          <w:kern w:val="0"/>
          <w:sz w:val="36"/>
          <w:szCs w:val="36"/>
          <w:lang w:bidi="ar"/>
          <w14:textFill>
            <w14:solidFill>
              <w14:schemeClr w14:val="tx1"/>
            </w14:solidFill>
          </w14:textFill>
        </w:rPr>
        <w:t>尾款支付说明</w:t>
      </w:r>
    </w:p>
    <w:p w14:paraId="69D962E8">
      <w:pPr>
        <w:widowControl/>
        <w:spacing w:line="360" w:lineRule="auto"/>
        <w:jc w:val="left"/>
        <w:rPr>
          <w:rFonts w:ascii="宋体" w:hAnsi="宋体" w:eastAsia="宋体" w:cs="宋体"/>
          <w:color w:val="000000" w:themeColor="text1"/>
          <w:kern w:val="0"/>
          <w:sz w:val="24"/>
          <w:lang w:bidi="ar"/>
          <w14:textFill>
            <w14:solidFill>
              <w14:schemeClr w14:val="tx1"/>
            </w14:solidFill>
          </w14:textFill>
        </w:rPr>
      </w:pPr>
      <w:r>
        <w:rPr>
          <w:rFonts w:ascii="宋体" w:hAnsi="宋体" w:eastAsia="宋体" w:cs="宋体"/>
          <w:color w:val="000000" w:themeColor="text1"/>
          <w:kern w:val="0"/>
          <w:sz w:val="24"/>
          <w:lang w:bidi="ar"/>
          <w14:textFill>
            <w14:solidFill>
              <w14:schemeClr w14:val="tx1"/>
            </w14:solidFill>
          </w14:textFill>
        </w:rPr>
        <w:t>线上支付截止</w:t>
      </w:r>
      <w:r>
        <w:rPr>
          <w:rFonts w:hint="eastAsia" w:ascii="宋体" w:hAnsi="宋体" w:eastAsia="宋体" w:cs="宋体"/>
          <w:color w:val="000000" w:themeColor="text1"/>
          <w:kern w:val="0"/>
          <w:sz w:val="24"/>
          <w:lang w:bidi="ar"/>
          <w14:textFill>
            <w14:solidFill>
              <w14:schemeClr w14:val="tx1"/>
            </w14:solidFill>
          </w14:textFill>
        </w:rPr>
        <w:t>：拍卖成交之日起15日内</w:t>
      </w:r>
    </w:p>
    <w:p w14:paraId="17A08EDF">
      <w:pPr>
        <w:widowControl/>
        <w:spacing w:line="360" w:lineRule="auto"/>
        <w:jc w:val="left"/>
        <w:rPr>
          <w:rFonts w:ascii="宋体" w:hAnsi="宋体" w:eastAsia="宋体" w:cs="宋体"/>
          <w:color w:val="000000" w:themeColor="text1"/>
          <w:kern w:val="0"/>
          <w:sz w:val="24"/>
          <w:lang w:bidi="ar"/>
          <w14:textFill>
            <w14:solidFill>
              <w14:schemeClr w14:val="tx1"/>
            </w14:solidFill>
          </w14:textFill>
        </w:rPr>
      </w:pPr>
      <w:r>
        <w:rPr>
          <w:rFonts w:ascii="宋体" w:hAnsi="宋体" w:eastAsia="宋体" w:cs="宋体"/>
          <w:color w:val="000000" w:themeColor="text1"/>
          <w:kern w:val="0"/>
          <w:sz w:val="24"/>
          <w:lang w:bidi="ar"/>
          <w14:textFill>
            <w14:solidFill>
              <w14:schemeClr w14:val="tx1"/>
            </w14:solidFill>
          </w14:textFill>
        </w:rPr>
        <w:t>尾款支付方式</w:t>
      </w:r>
      <w:r>
        <w:rPr>
          <w:rFonts w:hint="eastAsia" w:ascii="宋体" w:hAnsi="宋体" w:eastAsia="宋体" w:cs="宋体"/>
          <w:color w:val="000000" w:themeColor="text1"/>
          <w:kern w:val="0"/>
          <w:sz w:val="24"/>
          <w:lang w:bidi="ar"/>
          <w14:textFill>
            <w14:solidFill>
              <w14:schemeClr w14:val="tx1"/>
            </w14:solidFill>
          </w14:textFill>
        </w:rPr>
        <w:t>：</w:t>
      </w:r>
      <w:r>
        <w:rPr>
          <w:rFonts w:ascii="宋体" w:hAnsi="宋体" w:eastAsia="宋体" w:cs="宋体"/>
          <w:color w:val="000000" w:themeColor="text1"/>
          <w:kern w:val="0"/>
          <w:sz w:val="24"/>
          <w:lang w:bidi="ar"/>
          <w14:textFill>
            <w14:solidFill>
              <w14:schemeClr w14:val="tx1"/>
            </w14:solidFill>
          </w14:textFill>
        </w:rPr>
        <w:t>通过淘宝订单支付</w:t>
      </w:r>
    </w:p>
    <w:p w14:paraId="7AB63FD9">
      <w:pPr>
        <w:spacing w:line="360" w:lineRule="auto"/>
        <w:rPr>
          <w:rFonts w:ascii="宋体" w:hAnsi="宋体" w:eastAsia="宋体" w:cs="宋体"/>
          <w:b/>
          <w:bCs/>
          <w:color w:val="000000" w:themeColor="text1"/>
          <w:kern w:val="0"/>
          <w:sz w:val="24"/>
          <w:lang w:bidi="ar"/>
          <w14:textFill>
            <w14:solidFill>
              <w14:schemeClr w14:val="tx1"/>
            </w14:solidFill>
          </w14:textFill>
        </w:rPr>
      </w:pPr>
      <w:r>
        <w:rPr>
          <w:rFonts w:ascii="宋体" w:hAnsi="宋体" w:eastAsia="宋体" w:cs="宋体"/>
          <w:b/>
          <w:bCs/>
          <w:color w:val="000000" w:themeColor="text1"/>
          <w:kern w:val="0"/>
          <w:sz w:val="24"/>
          <w:lang w:bidi="ar"/>
          <w14:textFill>
            <w14:solidFill>
              <w14:schemeClr w14:val="tx1"/>
            </w14:solidFill>
          </w14:textFill>
        </w:rPr>
        <w:br w:type="page"/>
      </w:r>
    </w:p>
    <w:p w14:paraId="055F6953">
      <w:pPr>
        <w:jc w:val="center"/>
        <w:rPr>
          <w:rFonts w:ascii="黑体" w:hAnsi="黑体" w:eastAsia="黑体" w:cs="黑体"/>
          <w:b/>
          <w:bCs/>
          <w:color w:val="000000" w:themeColor="text1"/>
          <w:kern w:val="0"/>
          <w:sz w:val="36"/>
          <w:szCs w:val="36"/>
          <w:lang w:bidi="ar"/>
          <w14:textFill>
            <w14:solidFill>
              <w14:schemeClr w14:val="tx1"/>
            </w14:solidFill>
          </w14:textFill>
        </w:rPr>
      </w:pPr>
      <w:r>
        <w:rPr>
          <w:rFonts w:hint="eastAsia" w:ascii="黑体" w:hAnsi="黑体" w:eastAsia="黑体" w:cs="黑体"/>
          <w:b/>
          <w:bCs/>
          <w:color w:val="000000" w:themeColor="text1"/>
          <w:kern w:val="0"/>
          <w:sz w:val="36"/>
          <w:szCs w:val="36"/>
          <w:lang w:bidi="ar"/>
          <w14:textFill>
            <w14:solidFill>
              <w14:schemeClr w14:val="tx1"/>
            </w14:solidFill>
          </w14:textFill>
        </w:rPr>
        <w:t xml:space="preserve">授权书 </w:t>
      </w:r>
    </w:p>
    <w:p w14:paraId="51351EFE">
      <w:pPr>
        <w:jc w:val="center"/>
        <w:rPr>
          <w:rFonts w:ascii="宋体" w:hAnsi="宋体" w:eastAsia="宋体" w:cs="宋体"/>
          <w:b/>
          <w:bCs/>
          <w:color w:val="000000" w:themeColor="text1"/>
          <w:kern w:val="0"/>
          <w:sz w:val="36"/>
          <w:szCs w:val="36"/>
          <w:lang w:bidi="ar"/>
          <w14:textFill>
            <w14:solidFill>
              <w14:schemeClr w14:val="tx1"/>
            </w14:solidFill>
          </w14:textFill>
        </w:rPr>
      </w:pPr>
      <w:r>
        <w:drawing>
          <wp:inline distT="0" distB="0" distL="114300" distR="114300">
            <wp:extent cx="5263515" cy="7526655"/>
            <wp:effectExtent l="0" t="0" r="381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63515" cy="7526655"/>
                    </a:xfrm>
                    <a:prstGeom prst="rect">
                      <a:avLst/>
                    </a:prstGeom>
                    <a:noFill/>
                    <a:ln>
                      <a:noFill/>
                    </a:ln>
                  </pic:spPr>
                </pic:pic>
              </a:graphicData>
            </a:graphic>
          </wp:inline>
        </w:drawing>
      </w:r>
      <w:r>
        <w:drawing>
          <wp:inline distT="0" distB="0" distL="114300" distR="114300">
            <wp:extent cx="5191760" cy="7386320"/>
            <wp:effectExtent l="0" t="0" r="8890" b="5080"/>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5"/>
                    <a:stretch>
                      <a:fillRect/>
                    </a:stretch>
                  </pic:blipFill>
                  <pic:spPr>
                    <a:xfrm>
                      <a:off x="0" y="0"/>
                      <a:ext cx="5191760" cy="7386320"/>
                    </a:xfrm>
                    <a:prstGeom prst="rect">
                      <a:avLst/>
                    </a:prstGeom>
                    <a:noFill/>
                    <a:ln>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0000000000000000000"/>
    <w:charset w:val="00"/>
    <w:family w:val="auto"/>
    <w:pitch w:val="default"/>
    <w:sig w:usb0="00000000" w:usb1="00000000" w:usb2="00000000" w:usb3="00000000" w:csb0="0000019F" w:csb1="00000000"/>
  </w:font>
  <w:font w:name="仿宋">
    <w:panose1 w:val="02010609060101010101"/>
    <w:charset w:val="86"/>
    <w:family w:val="modern"/>
    <w:pitch w:val="default"/>
    <w:sig w:usb0="800002BF" w:usb1="38CF7CFA" w:usb2="00000016" w:usb3="00000000" w:csb0="00040001" w:csb1="00000000"/>
  </w:font>
  <w:font w:name="DengXian">
    <w:altName w:val="宋体"/>
    <w:panose1 w:val="02010600030101010101"/>
    <w:charset w:val="86"/>
    <w:family w:val="auto"/>
    <w:pitch w:val="default"/>
    <w:sig w:usb0="00000000" w:usb1="00000000" w:usb2="00000016" w:usb3="00000000" w:csb0="0004000F" w:csb1="00000000"/>
  </w:font>
  <w:font w:name="等线">
    <w:altName w:val="微软雅黑"/>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7B0701F"/>
    <w:multiLevelType w:val="singleLevel"/>
    <w:tmpl w:val="D7B0701F"/>
    <w:lvl w:ilvl="0" w:tentative="0">
      <w:start w:val="13"/>
      <w:numFmt w:val="decimal"/>
      <w:lvlText w:val="%1."/>
      <w:lvlJc w:val="left"/>
      <w:pPr>
        <w:tabs>
          <w:tab w:val="left" w:pos="312"/>
        </w:tabs>
      </w:pPr>
    </w:lvl>
  </w:abstractNum>
  <w:abstractNum w:abstractNumId="1">
    <w:nsid w:val="F64C2408"/>
    <w:multiLevelType w:val="singleLevel"/>
    <w:tmpl w:val="F64C2408"/>
    <w:lvl w:ilvl="0" w:tentative="0">
      <w:start w:val="3"/>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3ZTZjOTQyNjk2NzA0MTQyNTQyMzM4NzA2YzIzOWEifQ=="/>
  </w:docVars>
  <w:rsids>
    <w:rsidRoot w:val="1B164FA6"/>
    <w:rsid w:val="00053793"/>
    <w:rsid w:val="000C2BCE"/>
    <w:rsid w:val="00113B3E"/>
    <w:rsid w:val="00127843"/>
    <w:rsid w:val="00201932"/>
    <w:rsid w:val="004A1756"/>
    <w:rsid w:val="00620321"/>
    <w:rsid w:val="00656316"/>
    <w:rsid w:val="00664890"/>
    <w:rsid w:val="00701BFE"/>
    <w:rsid w:val="00A52AC1"/>
    <w:rsid w:val="00AC1405"/>
    <w:rsid w:val="00B30B7A"/>
    <w:rsid w:val="00BB6FC3"/>
    <w:rsid w:val="00C36A0B"/>
    <w:rsid w:val="00D30C11"/>
    <w:rsid w:val="00D3394F"/>
    <w:rsid w:val="00D60368"/>
    <w:rsid w:val="00D94DE1"/>
    <w:rsid w:val="00E627EE"/>
    <w:rsid w:val="00FF66CE"/>
    <w:rsid w:val="011B3E8D"/>
    <w:rsid w:val="014369FF"/>
    <w:rsid w:val="014A716A"/>
    <w:rsid w:val="018A090A"/>
    <w:rsid w:val="021F75A6"/>
    <w:rsid w:val="02660D5A"/>
    <w:rsid w:val="02BB7746"/>
    <w:rsid w:val="02F0273C"/>
    <w:rsid w:val="030468BF"/>
    <w:rsid w:val="03492604"/>
    <w:rsid w:val="034A40F3"/>
    <w:rsid w:val="039A67E8"/>
    <w:rsid w:val="03F1448E"/>
    <w:rsid w:val="040709C8"/>
    <w:rsid w:val="04697CE2"/>
    <w:rsid w:val="04B72C86"/>
    <w:rsid w:val="04B93B30"/>
    <w:rsid w:val="053015CA"/>
    <w:rsid w:val="05C37529"/>
    <w:rsid w:val="0604630A"/>
    <w:rsid w:val="067F3B6E"/>
    <w:rsid w:val="06CE2D47"/>
    <w:rsid w:val="072D64EB"/>
    <w:rsid w:val="07751859"/>
    <w:rsid w:val="079D563B"/>
    <w:rsid w:val="07BB0B45"/>
    <w:rsid w:val="07EE5041"/>
    <w:rsid w:val="0956672E"/>
    <w:rsid w:val="09C75886"/>
    <w:rsid w:val="0A07236D"/>
    <w:rsid w:val="0A223AFB"/>
    <w:rsid w:val="0A5F1488"/>
    <w:rsid w:val="0A986CE2"/>
    <w:rsid w:val="0B293B1E"/>
    <w:rsid w:val="0C015724"/>
    <w:rsid w:val="0C0539DD"/>
    <w:rsid w:val="0E3B410A"/>
    <w:rsid w:val="0F1401B8"/>
    <w:rsid w:val="0F663976"/>
    <w:rsid w:val="0F6C4862"/>
    <w:rsid w:val="0F816B2E"/>
    <w:rsid w:val="0F9A17D4"/>
    <w:rsid w:val="0F9A2E40"/>
    <w:rsid w:val="105401FE"/>
    <w:rsid w:val="10743D66"/>
    <w:rsid w:val="110C7C74"/>
    <w:rsid w:val="11604707"/>
    <w:rsid w:val="11887953"/>
    <w:rsid w:val="11CB59F2"/>
    <w:rsid w:val="12011292"/>
    <w:rsid w:val="125A6276"/>
    <w:rsid w:val="12CE31C0"/>
    <w:rsid w:val="135C5CB1"/>
    <w:rsid w:val="137C3A6B"/>
    <w:rsid w:val="13E42C19"/>
    <w:rsid w:val="13F31C10"/>
    <w:rsid w:val="1406224B"/>
    <w:rsid w:val="150F576C"/>
    <w:rsid w:val="153343EE"/>
    <w:rsid w:val="156B6B5D"/>
    <w:rsid w:val="158E0CAD"/>
    <w:rsid w:val="15AC4ACD"/>
    <w:rsid w:val="161301C8"/>
    <w:rsid w:val="16857337"/>
    <w:rsid w:val="16AF07A6"/>
    <w:rsid w:val="17067793"/>
    <w:rsid w:val="176D58E3"/>
    <w:rsid w:val="17BC0ED9"/>
    <w:rsid w:val="17DA5BF3"/>
    <w:rsid w:val="18367405"/>
    <w:rsid w:val="186500E4"/>
    <w:rsid w:val="189579D6"/>
    <w:rsid w:val="18A0578A"/>
    <w:rsid w:val="195439AC"/>
    <w:rsid w:val="19921429"/>
    <w:rsid w:val="19952021"/>
    <w:rsid w:val="1A3A1D53"/>
    <w:rsid w:val="1A860DF4"/>
    <w:rsid w:val="1ADB3A54"/>
    <w:rsid w:val="1AE343DA"/>
    <w:rsid w:val="1B164FA6"/>
    <w:rsid w:val="1B167D23"/>
    <w:rsid w:val="1B463275"/>
    <w:rsid w:val="1B467D29"/>
    <w:rsid w:val="1C742641"/>
    <w:rsid w:val="1CA516D1"/>
    <w:rsid w:val="1D097720"/>
    <w:rsid w:val="1D820E34"/>
    <w:rsid w:val="1E981D82"/>
    <w:rsid w:val="1EFD247B"/>
    <w:rsid w:val="1F3B3EE2"/>
    <w:rsid w:val="1F4F7C3B"/>
    <w:rsid w:val="1FB27619"/>
    <w:rsid w:val="1FF73659"/>
    <w:rsid w:val="201541C3"/>
    <w:rsid w:val="20693422"/>
    <w:rsid w:val="2099095A"/>
    <w:rsid w:val="209F7321"/>
    <w:rsid w:val="20FD3BBF"/>
    <w:rsid w:val="212E2EFA"/>
    <w:rsid w:val="213C25B0"/>
    <w:rsid w:val="2188523F"/>
    <w:rsid w:val="219A05BE"/>
    <w:rsid w:val="21AA7AFF"/>
    <w:rsid w:val="226D64B1"/>
    <w:rsid w:val="23CB5BA3"/>
    <w:rsid w:val="23D7342C"/>
    <w:rsid w:val="24F90B85"/>
    <w:rsid w:val="2527668A"/>
    <w:rsid w:val="25380017"/>
    <w:rsid w:val="25D92115"/>
    <w:rsid w:val="26851904"/>
    <w:rsid w:val="277C3D16"/>
    <w:rsid w:val="27F51FD5"/>
    <w:rsid w:val="27FF1E08"/>
    <w:rsid w:val="285A12A4"/>
    <w:rsid w:val="287A7186"/>
    <w:rsid w:val="288876B1"/>
    <w:rsid w:val="288F0E6A"/>
    <w:rsid w:val="28BE0B56"/>
    <w:rsid w:val="28DA3C87"/>
    <w:rsid w:val="29126A9D"/>
    <w:rsid w:val="29273139"/>
    <w:rsid w:val="29870312"/>
    <w:rsid w:val="29B257C3"/>
    <w:rsid w:val="2A876D62"/>
    <w:rsid w:val="2AB85746"/>
    <w:rsid w:val="2AE839DA"/>
    <w:rsid w:val="2AF54738"/>
    <w:rsid w:val="2B245700"/>
    <w:rsid w:val="2B7B055E"/>
    <w:rsid w:val="2BD30778"/>
    <w:rsid w:val="2BE733F6"/>
    <w:rsid w:val="2BE86CED"/>
    <w:rsid w:val="2C02453D"/>
    <w:rsid w:val="2C3B01C6"/>
    <w:rsid w:val="2C725086"/>
    <w:rsid w:val="2CD93AB5"/>
    <w:rsid w:val="2DA64356"/>
    <w:rsid w:val="2F3B0B85"/>
    <w:rsid w:val="2F3C6DC2"/>
    <w:rsid w:val="2F4607D4"/>
    <w:rsid w:val="2F7B2DB5"/>
    <w:rsid w:val="2F8E5DB5"/>
    <w:rsid w:val="2FCC2461"/>
    <w:rsid w:val="305D5F0E"/>
    <w:rsid w:val="30B5373E"/>
    <w:rsid w:val="30D74E78"/>
    <w:rsid w:val="3103547C"/>
    <w:rsid w:val="31153B12"/>
    <w:rsid w:val="317C5755"/>
    <w:rsid w:val="32024A2E"/>
    <w:rsid w:val="3206424D"/>
    <w:rsid w:val="32276F43"/>
    <w:rsid w:val="32DB1233"/>
    <w:rsid w:val="338D04EF"/>
    <w:rsid w:val="34150A5E"/>
    <w:rsid w:val="34FC5682"/>
    <w:rsid w:val="35650B60"/>
    <w:rsid w:val="35664EC4"/>
    <w:rsid w:val="356854DC"/>
    <w:rsid w:val="35F42D38"/>
    <w:rsid w:val="362D624A"/>
    <w:rsid w:val="369131AA"/>
    <w:rsid w:val="36E737AD"/>
    <w:rsid w:val="3729371C"/>
    <w:rsid w:val="37D61FFB"/>
    <w:rsid w:val="38ED160C"/>
    <w:rsid w:val="3984114B"/>
    <w:rsid w:val="398475C6"/>
    <w:rsid w:val="399E5C14"/>
    <w:rsid w:val="39AE5DFE"/>
    <w:rsid w:val="3AB070BE"/>
    <w:rsid w:val="3AB331C1"/>
    <w:rsid w:val="3BD258C9"/>
    <w:rsid w:val="3C6070E5"/>
    <w:rsid w:val="3C610C36"/>
    <w:rsid w:val="3C832E28"/>
    <w:rsid w:val="3C9367F7"/>
    <w:rsid w:val="3C990153"/>
    <w:rsid w:val="3CE97521"/>
    <w:rsid w:val="3CF2253B"/>
    <w:rsid w:val="3D7E5923"/>
    <w:rsid w:val="3DAA4092"/>
    <w:rsid w:val="3DAB7905"/>
    <w:rsid w:val="3E4E1AB1"/>
    <w:rsid w:val="3EB45120"/>
    <w:rsid w:val="3F3F71E3"/>
    <w:rsid w:val="3F52287D"/>
    <w:rsid w:val="408B187F"/>
    <w:rsid w:val="408F439A"/>
    <w:rsid w:val="40A14D6A"/>
    <w:rsid w:val="40CB061C"/>
    <w:rsid w:val="41252819"/>
    <w:rsid w:val="415B441E"/>
    <w:rsid w:val="428146C2"/>
    <w:rsid w:val="429F34EF"/>
    <w:rsid w:val="42F361E1"/>
    <w:rsid w:val="44A504D3"/>
    <w:rsid w:val="44B90773"/>
    <w:rsid w:val="4511787E"/>
    <w:rsid w:val="454513CE"/>
    <w:rsid w:val="455A2BD4"/>
    <w:rsid w:val="45E22BAD"/>
    <w:rsid w:val="46761D34"/>
    <w:rsid w:val="46C422B2"/>
    <w:rsid w:val="475B6938"/>
    <w:rsid w:val="475B7C2A"/>
    <w:rsid w:val="47603415"/>
    <w:rsid w:val="47B36F9E"/>
    <w:rsid w:val="481631C2"/>
    <w:rsid w:val="48B171B1"/>
    <w:rsid w:val="48C30FDB"/>
    <w:rsid w:val="48CD7FCC"/>
    <w:rsid w:val="48F925F9"/>
    <w:rsid w:val="4A0F1FE1"/>
    <w:rsid w:val="4A504E38"/>
    <w:rsid w:val="4A5652BC"/>
    <w:rsid w:val="4AAC6583"/>
    <w:rsid w:val="4B0146E0"/>
    <w:rsid w:val="4B5736F5"/>
    <w:rsid w:val="4B8866C6"/>
    <w:rsid w:val="4BA01701"/>
    <w:rsid w:val="4BD05255"/>
    <w:rsid w:val="4C4E01C0"/>
    <w:rsid w:val="4C8E18CC"/>
    <w:rsid w:val="4C997C56"/>
    <w:rsid w:val="4CA26BF2"/>
    <w:rsid w:val="4D0A503F"/>
    <w:rsid w:val="4DCE70EF"/>
    <w:rsid w:val="4E6F6A0C"/>
    <w:rsid w:val="4EA45208"/>
    <w:rsid w:val="4F545668"/>
    <w:rsid w:val="4F620C06"/>
    <w:rsid w:val="4F6D12DE"/>
    <w:rsid w:val="4FB24C87"/>
    <w:rsid w:val="50926B99"/>
    <w:rsid w:val="50E35A66"/>
    <w:rsid w:val="51620E80"/>
    <w:rsid w:val="51AA1437"/>
    <w:rsid w:val="52697B69"/>
    <w:rsid w:val="52D651D7"/>
    <w:rsid w:val="535B0168"/>
    <w:rsid w:val="53726DDE"/>
    <w:rsid w:val="5466625B"/>
    <w:rsid w:val="547B5B45"/>
    <w:rsid w:val="550A71CD"/>
    <w:rsid w:val="55443116"/>
    <w:rsid w:val="559429DE"/>
    <w:rsid w:val="560D47C4"/>
    <w:rsid w:val="5646008E"/>
    <w:rsid w:val="56A5083D"/>
    <w:rsid w:val="56A75525"/>
    <w:rsid w:val="56A87CBD"/>
    <w:rsid w:val="56B37C4E"/>
    <w:rsid w:val="56B84F93"/>
    <w:rsid w:val="57A74E83"/>
    <w:rsid w:val="57EE44B6"/>
    <w:rsid w:val="5826041D"/>
    <w:rsid w:val="584102DC"/>
    <w:rsid w:val="585F72A0"/>
    <w:rsid w:val="58B43BFF"/>
    <w:rsid w:val="59182FEA"/>
    <w:rsid w:val="59252097"/>
    <w:rsid w:val="592D662D"/>
    <w:rsid w:val="595E442E"/>
    <w:rsid w:val="59D5755A"/>
    <w:rsid w:val="5A186DC8"/>
    <w:rsid w:val="5ACB3BFA"/>
    <w:rsid w:val="5B011809"/>
    <w:rsid w:val="5B0D6A24"/>
    <w:rsid w:val="5B633E84"/>
    <w:rsid w:val="5CD901EE"/>
    <w:rsid w:val="5CE04E1E"/>
    <w:rsid w:val="5CEC6AD7"/>
    <w:rsid w:val="5D014763"/>
    <w:rsid w:val="5D274F41"/>
    <w:rsid w:val="5D290C69"/>
    <w:rsid w:val="5DC830AB"/>
    <w:rsid w:val="5DC83D9E"/>
    <w:rsid w:val="5E14477D"/>
    <w:rsid w:val="5E564E88"/>
    <w:rsid w:val="5E700AD7"/>
    <w:rsid w:val="5E8D7387"/>
    <w:rsid w:val="5EC41AE3"/>
    <w:rsid w:val="5F6B127E"/>
    <w:rsid w:val="5F911DE1"/>
    <w:rsid w:val="5FC05F61"/>
    <w:rsid w:val="5FC07536"/>
    <w:rsid w:val="602F3AC0"/>
    <w:rsid w:val="60817F3C"/>
    <w:rsid w:val="60A41268"/>
    <w:rsid w:val="60AB1067"/>
    <w:rsid w:val="60B337DD"/>
    <w:rsid w:val="60FA11F9"/>
    <w:rsid w:val="610436E7"/>
    <w:rsid w:val="61AE3508"/>
    <w:rsid w:val="61C05BD0"/>
    <w:rsid w:val="61C33276"/>
    <w:rsid w:val="62112F1B"/>
    <w:rsid w:val="62B31701"/>
    <w:rsid w:val="63241C24"/>
    <w:rsid w:val="63C36E81"/>
    <w:rsid w:val="64512668"/>
    <w:rsid w:val="649B443C"/>
    <w:rsid w:val="64C65643"/>
    <w:rsid w:val="64D46565"/>
    <w:rsid w:val="64F70A79"/>
    <w:rsid w:val="65E44745"/>
    <w:rsid w:val="66B2655C"/>
    <w:rsid w:val="683538A3"/>
    <w:rsid w:val="68453787"/>
    <w:rsid w:val="68531770"/>
    <w:rsid w:val="68573DCC"/>
    <w:rsid w:val="68B4312B"/>
    <w:rsid w:val="697B3329"/>
    <w:rsid w:val="69E93980"/>
    <w:rsid w:val="69EE6AA7"/>
    <w:rsid w:val="6A6657C4"/>
    <w:rsid w:val="6A680759"/>
    <w:rsid w:val="6B1165D5"/>
    <w:rsid w:val="6B9250B9"/>
    <w:rsid w:val="6BA83B40"/>
    <w:rsid w:val="6C1B2C78"/>
    <w:rsid w:val="6CBF6EF4"/>
    <w:rsid w:val="6CCF059F"/>
    <w:rsid w:val="6D2D3750"/>
    <w:rsid w:val="6DAA5FD2"/>
    <w:rsid w:val="6E3201C6"/>
    <w:rsid w:val="6E415A81"/>
    <w:rsid w:val="6E57391C"/>
    <w:rsid w:val="6E662DE8"/>
    <w:rsid w:val="6E814C08"/>
    <w:rsid w:val="6EC261E0"/>
    <w:rsid w:val="6F6D4C84"/>
    <w:rsid w:val="70171DC4"/>
    <w:rsid w:val="71266FB1"/>
    <w:rsid w:val="71411D57"/>
    <w:rsid w:val="71796F85"/>
    <w:rsid w:val="71BB37DA"/>
    <w:rsid w:val="721E7082"/>
    <w:rsid w:val="72A21D4A"/>
    <w:rsid w:val="72C947C8"/>
    <w:rsid w:val="73045395"/>
    <w:rsid w:val="73736FB1"/>
    <w:rsid w:val="73EE52A2"/>
    <w:rsid w:val="745F54D8"/>
    <w:rsid w:val="74724A54"/>
    <w:rsid w:val="74822E63"/>
    <w:rsid w:val="74B22D2F"/>
    <w:rsid w:val="74B51D1B"/>
    <w:rsid w:val="74E569B9"/>
    <w:rsid w:val="750647C1"/>
    <w:rsid w:val="75B86DA1"/>
    <w:rsid w:val="75BB3192"/>
    <w:rsid w:val="75CD66A7"/>
    <w:rsid w:val="75D90519"/>
    <w:rsid w:val="764220F8"/>
    <w:rsid w:val="76C61E58"/>
    <w:rsid w:val="771F2A69"/>
    <w:rsid w:val="779F0A5A"/>
    <w:rsid w:val="77CA6CDD"/>
    <w:rsid w:val="780C3326"/>
    <w:rsid w:val="78141133"/>
    <w:rsid w:val="781520BE"/>
    <w:rsid w:val="78850C55"/>
    <w:rsid w:val="793F5645"/>
    <w:rsid w:val="794963E7"/>
    <w:rsid w:val="79BB6E5B"/>
    <w:rsid w:val="79D106EA"/>
    <w:rsid w:val="7A0C2CC5"/>
    <w:rsid w:val="7AA13495"/>
    <w:rsid w:val="7AE0101F"/>
    <w:rsid w:val="7B19569D"/>
    <w:rsid w:val="7B2D7FEE"/>
    <w:rsid w:val="7B33304D"/>
    <w:rsid w:val="7B52435D"/>
    <w:rsid w:val="7B7932F4"/>
    <w:rsid w:val="7BDF03C3"/>
    <w:rsid w:val="7C3522B8"/>
    <w:rsid w:val="7C394B7A"/>
    <w:rsid w:val="7CE24C08"/>
    <w:rsid w:val="7D267BCC"/>
    <w:rsid w:val="7DA24D3F"/>
    <w:rsid w:val="7DE107F3"/>
    <w:rsid w:val="7DEB2703"/>
    <w:rsid w:val="7DF256AC"/>
    <w:rsid w:val="7F24326C"/>
    <w:rsid w:val="7F8D6FFB"/>
    <w:rsid w:val="7FFB0F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toc 1"/>
    <w:next w:val="1"/>
    <w:qFormat/>
    <w:uiPriority w:val="39"/>
    <w:pPr>
      <w:widowControl w:val="0"/>
      <w:jc w:val="both"/>
    </w:pPr>
    <w:rPr>
      <w:rFonts w:ascii="Times New Roman" w:hAnsi="Times New Roman" w:eastAsia="宋体" w:cs="Times New Roman"/>
      <w:kern w:val="2"/>
      <w:sz w:val="21"/>
      <w:szCs w:val="24"/>
      <w:lang w:val="en-US" w:eastAsia="zh-CN" w:bidi="ar-SA"/>
    </w:rPr>
  </w:style>
  <w:style w:type="paragraph" w:styleId="6">
    <w:name w:val="Normal (Web)"/>
    <w:basedOn w:val="1"/>
    <w:qFormat/>
    <w:uiPriority w:val="0"/>
    <w:pPr>
      <w:spacing w:beforeAutospacing="1" w:afterAutospacing="1"/>
      <w:jc w:val="left"/>
    </w:pPr>
    <w:rPr>
      <w:rFonts w:cs="Times New Roman"/>
      <w:kern w:val="0"/>
      <w:sz w:val="24"/>
    </w:rPr>
  </w:style>
  <w:style w:type="character" w:styleId="9">
    <w:name w:val="FollowedHyperlink"/>
    <w:basedOn w:val="8"/>
    <w:uiPriority w:val="0"/>
    <w:rPr>
      <w:color w:val="954F72" w:themeColor="followedHyperlink"/>
      <w:u w:val="single"/>
      <w14:textFill>
        <w14:solidFill>
          <w14:schemeClr w14:val="folHlink"/>
        </w14:solidFill>
      </w14:textFill>
    </w:rPr>
  </w:style>
  <w:style w:type="character" w:styleId="10">
    <w:name w:val="Hyperlink"/>
    <w:basedOn w:val="8"/>
    <w:qFormat/>
    <w:uiPriority w:val="0"/>
    <w:rPr>
      <w:color w:val="0000FF"/>
      <w:u w:val="single"/>
    </w:rPr>
  </w:style>
  <w:style w:type="paragraph" w:customStyle="1" w:styleId="11">
    <w:name w:val="修订1"/>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12">
    <w:name w:val="修订2"/>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13">
    <w:name w:val="修订3"/>
    <w:hidden/>
    <w:unhideWhenUsed/>
    <w:qFormat/>
    <w:uiPriority w:val="99"/>
    <w:rPr>
      <w:rFonts w:asciiTheme="minorHAnsi" w:hAnsiTheme="minorHAnsi" w:eastAsiaTheme="minorEastAsia" w:cstheme="minorBidi"/>
      <w:kern w:val="2"/>
      <w:sz w:val="21"/>
      <w:szCs w:val="24"/>
      <w:lang w:val="en-US" w:eastAsia="zh-CN" w:bidi="ar-SA"/>
    </w:rPr>
  </w:style>
  <w:style w:type="paragraph" w:customStyle="1" w:styleId="14">
    <w:name w:val="修订4"/>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08A30B-2DBF-AB4E-9D29-65CC47F37CC1}">
  <ds:schemaRefs/>
</ds:datastoreItem>
</file>

<file path=docProps/app.xml><?xml version="1.0" encoding="utf-8"?>
<Properties xmlns="http://schemas.openxmlformats.org/officeDocument/2006/extended-properties" xmlns:vt="http://schemas.openxmlformats.org/officeDocument/2006/docPropsVTypes">
  <Template>Normal.dotm</Template>
  <Pages>25</Pages>
  <Words>14623</Words>
  <Characters>15913</Characters>
  <Lines>119</Lines>
  <Paragraphs>33</Paragraphs>
  <TotalTime>23</TotalTime>
  <ScaleCrop>false</ScaleCrop>
  <LinksUpToDate>false</LinksUpToDate>
  <CharactersWithSpaces>16014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2022-02-09T03:22:00Z</dcterms:created>
  <dc:creator>叶亚明</dc:creator>
  <cp:lastModifiedBy>Lawer Z</cp:lastModifiedBy>
  <dcterms:modified xsi:type="dcterms:W3CDTF">2024-12-11T11:48:31Z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56FC4E25A7AB49E3A73A3F5124F93969_13</vt:lpwstr>
  </property>
</Properties>
</file>