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6BDE9">
      <w:pPr>
        <w:pStyle w:val="12"/>
        <w:spacing w:after="140"/>
        <w:rPr>
          <w:rFonts w:hint="eastAsia" w:ascii="仿宋" w:hAnsi="仿宋" w:eastAsia="仿宋"/>
          <w:b/>
          <w:bCs/>
          <w:lang w:val="en-US" w:eastAsia="zh-CN"/>
        </w:rPr>
      </w:pPr>
      <w:r>
        <w:rPr>
          <w:rFonts w:hint="eastAsia" w:ascii="仿宋" w:hAnsi="仿宋" w:eastAsia="仿宋"/>
          <w:b/>
          <w:bCs/>
          <w:lang w:val="en-US" w:eastAsia="zh-CN"/>
        </w:rPr>
        <w:t>红河云牛乳业有限责任公司破产管理人</w:t>
      </w:r>
    </w:p>
    <w:p w14:paraId="2A711FDA">
      <w:pPr>
        <w:pStyle w:val="12"/>
        <w:spacing w:after="140"/>
        <w:rPr>
          <w:rFonts w:ascii="仿宋" w:hAnsi="仿宋" w:eastAsia="仿宋"/>
          <w:b/>
          <w:bCs/>
        </w:rPr>
      </w:pPr>
      <w:r>
        <w:rPr>
          <w:rFonts w:hint="eastAsia" w:ascii="仿宋" w:hAnsi="仿宋" w:eastAsia="仿宋"/>
          <w:b/>
          <w:bCs/>
          <w:lang w:val="en-US" w:eastAsia="zh-CN"/>
        </w:rPr>
        <w:t>债权申报</w:t>
      </w:r>
      <w:r>
        <w:rPr>
          <w:rFonts w:ascii="仿宋" w:hAnsi="仿宋" w:eastAsia="仿宋"/>
          <w:b/>
          <w:bCs/>
        </w:rPr>
        <w:t>公告</w:t>
      </w:r>
    </w:p>
    <w:p w14:paraId="15463992">
      <w:pPr>
        <w:pStyle w:val="16"/>
        <w:spacing w:line="540" w:lineRule="exact"/>
        <w:ind w:firstLine="600"/>
        <w:jc w:val="both"/>
        <w:rPr>
          <w:rFonts w:ascii="仿宋" w:hAnsi="仿宋" w:eastAsia="PMingLiU" w:cs="仿宋"/>
        </w:rPr>
      </w:pPr>
      <w:r>
        <w:rPr>
          <w:rFonts w:hint="eastAsia" w:ascii="仿宋" w:hAnsi="仿宋" w:eastAsia="仿宋" w:cs="仿宋"/>
          <w:color w:val="auto"/>
          <w:lang w:val="en-US" w:eastAsia="zh-CN"/>
        </w:rPr>
        <w:t>红河州中级人民法院</w:t>
      </w:r>
      <w:r>
        <w:rPr>
          <w:rFonts w:hint="eastAsia" w:ascii="仿宋" w:hAnsi="仿宋" w:eastAsia="仿宋" w:cs="仿宋"/>
          <w:color w:val="auto"/>
        </w:rPr>
        <w:t>根据</w:t>
      </w:r>
      <w:r>
        <w:rPr>
          <w:rFonts w:hint="eastAsia" w:ascii="仿宋" w:hAnsi="仿宋" w:eastAsia="仿宋" w:cs="仿宋"/>
          <w:color w:val="auto"/>
          <w:lang w:val="en-US" w:eastAsia="zh-CN"/>
        </w:rPr>
        <w:t>许桂玲、王锐</w:t>
      </w:r>
      <w:r>
        <w:rPr>
          <w:rFonts w:hint="eastAsia" w:ascii="仿宋" w:hAnsi="仿宋" w:eastAsia="仿宋" w:cs="仿宋"/>
          <w:color w:val="auto"/>
        </w:rPr>
        <w:t>的申请，于</w:t>
      </w:r>
      <w:r>
        <w:rPr>
          <w:rFonts w:hint="eastAsia" w:ascii="仿宋" w:hAnsi="仿宋" w:eastAsia="仿宋" w:cs="仿宋"/>
          <w:color w:val="auto"/>
          <w:lang w:val="en-US" w:eastAsia="zh-CN"/>
        </w:rPr>
        <w:t>2018</w:t>
      </w:r>
      <w:r>
        <w:rPr>
          <w:rFonts w:hint="eastAsia" w:ascii="仿宋" w:hAnsi="仿宋" w:eastAsia="仿宋" w:cs="仿宋"/>
          <w:color w:val="auto"/>
        </w:rPr>
        <w:t>年</w:t>
      </w:r>
      <w:r>
        <w:rPr>
          <w:rFonts w:hint="eastAsia" w:ascii="仿宋" w:hAnsi="仿宋" w:eastAsia="仿宋" w:cs="仿宋"/>
          <w:color w:val="auto"/>
          <w:lang w:val="en-US" w:eastAsia="zh-CN"/>
        </w:rPr>
        <w:t>9</w:t>
      </w:r>
      <w:r>
        <w:rPr>
          <w:rFonts w:hint="eastAsia" w:ascii="仿宋" w:hAnsi="仿宋" w:eastAsia="仿宋" w:cs="仿宋"/>
          <w:color w:val="auto"/>
        </w:rPr>
        <w:t>月</w:t>
      </w:r>
      <w:r>
        <w:rPr>
          <w:rFonts w:hint="eastAsia" w:ascii="仿宋" w:hAnsi="仿宋" w:eastAsia="仿宋" w:cs="仿宋"/>
          <w:color w:val="auto"/>
          <w:lang w:val="en-US" w:eastAsia="zh-CN"/>
        </w:rPr>
        <w:t>30</w:t>
      </w:r>
      <w:r>
        <w:rPr>
          <w:rFonts w:hint="eastAsia" w:ascii="仿宋" w:hAnsi="仿宋" w:eastAsia="仿宋" w:cs="仿宋"/>
          <w:color w:val="auto"/>
        </w:rPr>
        <w:t>日作出</w:t>
      </w:r>
      <w:r>
        <w:rPr>
          <w:rFonts w:hint="eastAsia" w:ascii="仿宋" w:hAnsi="仿宋" w:eastAsia="仿宋" w:cs="仿宋"/>
          <w:color w:val="auto"/>
          <w:lang w:eastAsia="zh-CN"/>
        </w:rPr>
        <w:t>（2018）云25破申2号</w:t>
      </w:r>
      <w:r>
        <w:rPr>
          <w:rFonts w:hint="eastAsia" w:ascii="仿宋" w:hAnsi="仿宋" w:eastAsia="仿宋" w:cs="仿宋"/>
          <w:color w:val="auto"/>
        </w:rPr>
        <w:t>民事裁定，受理</w:t>
      </w:r>
      <w:r>
        <w:rPr>
          <w:rFonts w:hint="eastAsia" w:ascii="仿宋" w:hAnsi="仿宋" w:eastAsia="仿宋" w:cs="仿宋"/>
          <w:color w:val="auto"/>
          <w:lang w:val="en-US" w:eastAsia="zh-CN"/>
        </w:rPr>
        <w:t>红河云牛乳业有限责任公司</w:t>
      </w:r>
      <w:r>
        <w:rPr>
          <w:rFonts w:hint="eastAsia" w:ascii="仿宋" w:hAnsi="仿宋" w:eastAsia="仿宋" w:cs="仿宋"/>
          <w:color w:val="auto"/>
        </w:rPr>
        <w:t>破产清算一案,并同时指定</w:t>
      </w:r>
      <w:r>
        <w:rPr>
          <w:rFonts w:hint="eastAsia" w:ascii="仿宋" w:hAnsi="仿宋" w:eastAsia="仿宋" w:cs="仿宋"/>
          <w:color w:val="auto"/>
          <w:lang w:val="en-US" w:eastAsia="zh-CN"/>
        </w:rPr>
        <w:t>云南贞元律师事务所</w:t>
      </w:r>
      <w:r>
        <w:rPr>
          <w:rFonts w:hint="eastAsia" w:ascii="仿宋" w:hAnsi="仿宋" w:eastAsia="仿宋" w:cs="仿宋"/>
          <w:color w:val="auto"/>
        </w:rPr>
        <w:t>担任</w:t>
      </w:r>
      <w:r>
        <w:rPr>
          <w:rFonts w:hint="eastAsia" w:ascii="仿宋" w:hAnsi="仿宋" w:eastAsia="仿宋" w:cs="仿宋"/>
          <w:color w:val="auto"/>
          <w:lang w:val="en-US" w:eastAsia="zh-CN"/>
        </w:rPr>
        <w:t>红河云牛乳业有限责任公司</w:t>
      </w:r>
      <w:r>
        <w:rPr>
          <w:rFonts w:hint="eastAsia" w:ascii="仿宋" w:hAnsi="仿宋" w:eastAsia="仿宋" w:cs="仿宋"/>
        </w:rPr>
        <w:t>管理人。</w:t>
      </w:r>
    </w:p>
    <w:p w14:paraId="186CB3D7">
      <w:pPr>
        <w:pStyle w:val="16"/>
        <w:spacing w:line="540" w:lineRule="exact"/>
        <w:ind w:firstLine="600"/>
        <w:jc w:val="both"/>
        <w:rPr>
          <w:rFonts w:hint="eastAsia" w:ascii="仿宋" w:hAnsi="仿宋" w:eastAsia="仿宋" w:cs="仿宋"/>
        </w:rPr>
      </w:pPr>
      <w:r>
        <w:rPr>
          <w:rFonts w:hint="eastAsia" w:ascii="仿宋" w:hAnsi="仿宋" w:eastAsia="仿宋" w:cs="仿宋"/>
          <w:color w:val="auto"/>
          <w:lang w:val="en-US" w:eastAsia="zh-CN"/>
        </w:rPr>
        <w:t>红河云牛乳业有限责任公司</w:t>
      </w:r>
      <w:r>
        <w:rPr>
          <w:rFonts w:hint="eastAsia" w:ascii="仿宋" w:hAnsi="仿宋" w:eastAsia="仿宋" w:cs="仿宋"/>
        </w:rPr>
        <w:t>的债权人应于本公告发布之日起</w:t>
      </w:r>
      <w:r>
        <w:rPr>
          <w:rFonts w:hint="eastAsia" w:ascii="仿宋" w:hAnsi="仿宋" w:eastAsia="仿宋" w:cs="仿宋"/>
          <w:color w:val="auto"/>
        </w:rPr>
        <w:t>至</w:t>
      </w:r>
      <w:r>
        <w:rPr>
          <w:rFonts w:hint="eastAsia" w:ascii="仿宋" w:hAnsi="仿宋" w:eastAsia="仿宋" w:cs="仿宋"/>
          <w:color w:val="auto"/>
          <w:lang w:val="en-US" w:eastAsia="zh-CN"/>
        </w:rPr>
        <w:t>2025</w:t>
      </w:r>
      <w:r>
        <w:rPr>
          <w:rFonts w:hint="eastAsia" w:ascii="仿宋" w:hAnsi="仿宋" w:eastAsia="仿宋" w:cs="仿宋"/>
          <w:color w:val="auto"/>
        </w:rPr>
        <w:t>年</w:t>
      </w:r>
      <w:r>
        <w:rPr>
          <w:rFonts w:hint="eastAsia" w:ascii="仿宋" w:hAnsi="仿宋" w:eastAsia="仿宋" w:cs="仿宋"/>
          <w:color w:val="auto"/>
          <w:lang w:val="en-US" w:eastAsia="zh-CN"/>
        </w:rPr>
        <w:t>1</w:t>
      </w:r>
      <w:r>
        <w:rPr>
          <w:rFonts w:hint="eastAsia" w:ascii="仿宋" w:hAnsi="仿宋" w:eastAsia="仿宋" w:cs="仿宋"/>
          <w:color w:val="auto"/>
        </w:rPr>
        <w:t>月</w:t>
      </w:r>
      <w:r>
        <w:rPr>
          <w:rFonts w:hint="eastAsia" w:ascii="仿宋" w:hAnsi="仿宋" w:eastAsia="仿宋" w:cs="仿宋"/>
          <w:color w:val="auto"/>
          <w:lang w:val="en-US" w:eastAsia="zh-CN"/>
        </w:rPr>
        <w:t>24</w:t>
      </w:r>
      <w:r>
        <w:rPr>
          <w:rFonts w:hint="eastAsia" w:ascii="仿宋" w:hAnsi="仿宋" w:eastAsia="仿宋" w:cs="仿宋"/>
          <w:color w:val="auto"/>
        </w:rPr>
        <w:t>日前，向管理人</w:t>
      </w:r>
      <w:r>
        <w:rPr>
          <w:rFonts w:hint="eastAsia" w:ascii="仿宋" w:hAnsi="仿宋" w:eastAsia="仿宋" w:cs="仿宋"/>
          <w:color w:val="auto"/>
          <w:lang w:val="en-US"/>
        </w:rPr>
        <w:t>通过线上或线下两种方式</w:t>
      </w:r>
      <w:r>
        <w:rPr>
          <w:rFonts w:hint="eastAsia" w:ascii="仿宋" w:hAnsi="仿宋" w:eastAsia="仿宋" w:cs="仿宋"/>
        </w:rPr>
        <w:t>申报债权</w:t>
      </w:r>
    </w:p>
    <w:p w14:paraId="7467F8D0">
      <w:pPr>
        <w:pStyle w:val="16"/>
        <w:spacing w:line="540" w:lineRule="exact"/>
        <w:ind w:firstLine="600"/>
        <w:jc w:val="both"/>
        <w:rPr>
          <w:rFonts w:hint="default" w:ascii="仿宋" w:hAnsi="仿宋" w:eastAsia="仿宋" w:cs="仿宋"/>
          <w:b/>
          <w:bCs/>
          <w:lang w:val="en-US" w:eastAsia="zh-CN"/>
        </w:rPr>
      </w:pPr>
      <w:r>
        <w:rPr>
          <w:rFonts w:hint="eastAsia" w:ascii="仿宋" w:hAnsi="仿宋" w:eastAsia="仿宋" w:cs="仿宋"/>
          <w:b/>
          <w:bCs/>
          <w:lang w:val="en-US"/>
        </w:rPr>
        <w:t>1.</w:t>
      </w:r>
      <w:r>
        <w:rPr>
          <w:rFonts w:hint="eastAsia" w:ascii="仿宋" w:hAnsi="仿宋" w:eastAsia="仿宋" w:cs="仿宋"/>
          <w:b/>
          <w:bCs/>
        </w:rPr>
        <w:t>线上债权申报方式：（1）电脑浏览器访问破易云破产办案工作平台</w:t>
      </w:r>
      <w:r>
        <w:fldChar w:fldCharType="begin"/>
      </w:r>
      <w:r>
        <w:instrText xml:space="preserve"> HYPERLINK "https://www.poyiyun.com/" </w:instrText>
      </w:r>
      <w:r>
        <w:fldChar w:fldCharType="separate"/>
      </w:r>
      <w:r>
        <w:rPr>
          <w:rStyle w:val="9"/>
          <w:rFonts w:ascii="仿宋" w:hAnsi="仿宋" w:eastAsia="仿宋" w:cs="仿宋"/>
          <w:b/>
          <w:bCs/>
        </w:rPr>
        <w:t>https://www.poyiyun.com/</w:t>
      </w:r>
      <w:r>
        <w:rPr>
          <w:rStyle w:val="9"/>
          <w:rFonts w:ascii="仿宋" w:hAnsi="仿宋" w:eastAsia="仿宋" w:cs="仿宋"/>
          <w:b/>
          <w:bCs/>
        </w:rPr>
        <w:fldChar w:fldCharType="end"/>
      </w:r>
      <w:r>
        <w:rPr>
          <w:rFonts w:ascii="仿宋" w:hAnsi="仿宋" w:eastAsia="PMingLiU" w:cs="仿宋"/>
          <w:b/>
          <w:bCs/>
        </w:rPr>
        <w:t xml:space="preserve"> </w:t>
      </w:r>
      <w:r>
        <w:rPr>
          <w:rFonts w:hint="eastAsia" w:ascii="仿宋" w:hAnsi="仿宋" w:eastAsia="仿宋" w:cs="仿宋"/>
          <w:b/>
          <w:bCs/>
        </w:rPr>
        <w:t>，</w:t>
      </w:r>
      <w:r>
        <w:rPr>
          <w:rFonts w:hint="eastAsia" w:ascii="仿宋" w:hAnsi="仿宋" w:eastAsia="仿宋" w:cs="仿宋"/>
          <w:b/>
          <w:bCs/>
          <w:lang w:val="en-US"/>
        </w:rPr>
        <w:t>点击</w:t>
      </w:r>
      <w:r>
        <w:rPr>
          <w:rFonts w:hint="eastAsia" w:ascii="仿宋" w:hAnsi="仿宋" w:eastAsia="仿宋" w:cs="仿宋"/>
          <w:b/>
          <w:bCs/>
          <w:lang w:val="en-US" w:eastAsia="zh-CN"/>
        </w:rPr>
        <w:t>右上角</w:t>
      </w:r>
      <w:r>
        <w:rPr>
          <w:rFonts w:hint="eastAsia" w:ascii="仿宋" w:hAnsi="仿宋" w:eastAsia="仿宋" w:cs="仿宋"/>
          <w:b/>
          <w:bCs/>
          <w:lang w:val="en-US"/>
        </w:rPr>
        <w:t>“登录”</w:t>
      </w:r>
      <w:r>
        <w:rPr>
          <w:rFonts w:ascii="仿宋" w:hAnsi="仿宋" w:eastAsia="仿宋" w:cs="仿宋"/>
          <w:b/>
          <w:bCs/>
          <w:lang w:val="en-US" w:eastAsia="zh-CN"/>
        </w:rPr>
        <w:t>,</w:t>
      </w:r>
      <w:r>
        <w:rPr>
          <w:rFonts w:hint="eastAsia" w:ascii="仿宋" w:hAnsi="仿宋" w:eastAsia="仿宋" w:cs="仿宋"/>
          <w:b/>
          <w:bCs/>
          <w:lang w:val="en-US" w:eastAsia="zh-CN"/>
        </w:rPr>
        <w:t>输入手机号、获取短信验证码、案件识别码</w:t>
      </w:r>
      <w:r>
        <w:rPr>
          <w:rFonts w:hint="eastAsia" w:ascii="仿宋" w:hAnsi="仿宋" w:eastAsia="仿宋" w:cs="仿宋"/>
          <w:b/>
          <w:bCs/>
          <w:lang w:val="en-US"/>
        </w:rPr>
        <w:t>申报债权</w:t>
      </w:r>
      <w:r>
        <w:rPr>
          <w:rFonts w:hint="eastAsia" w:ascii="仿宋" w:hAnsi="仿宋" w:eastAsia="仿宋" w:cs="仿宋"/>
          <w:b/>
          <w:bCs/>
        </w:rPr>
        <w:t>，本案件识别码</w:t>
      </w:r>
      <w:r>
        <w:rPr>
          <w:rFonts w:hint="eastAsia" w:ascii="仿宋" w:hAnsi="仿宋" w:eastAsia="仿宋" w:cs="仿宋"/>
          <w:b/>
          <w:bCs/>
          <w:color w:val="FF0000"/>
          <w:lang w:val="en-US" w:eastAsia="zh-CN"/>
        </w:rPr>
        <w:t>113413</w:t>
      </w:r>
      <w:r>
        <w:rPr>
          <w:rFonts w:hint="eastAsia" w:ascii="仿宋" w:hAnsi="仿宋" w:eastAsia="仿宋" w:cs="仿宋"/>
          <w:b/>
          <w:bCs/>
        </w:rPr>
        <w:t>；（2）或</w:t>
      </w:r>
      <w:r>
        <w:rPr>
          <w:rFonts w:hint="eastAsia" w:ascii="仿宋" w:hAnsi="仿宋" w:eastAsia="仿宋" w:cs="仿宋"/>
          <w:b/>
          <w:bCs/>
          <w:lang w:val="en-US"/>
        </w:rPr>
        <w:t>手机微信</w:t>
      </w:r>
      <w:r>
        <w:rPr>
          <w:rFonts w:hint="eastAsia" w:ascii="仿宋" w:hAnsi="仿宋" w:eastAsia="仿宋" w:cs="仿宋"/>
          <w:b/>
          <w:bCs/>
        </w:rPr>
        <w:t>扫描本公告后附的自主申报二维码，债权人根据提示完成登录、债权申报，本案件识别码</w:t>
      </w:r>
      <w:r>
        <w:rPr>
          <w:rFonts w:hint="eastAsia" w:ascii="仿宋" w:hAnsi="仿宋" w:eastAsia="仿宋" w:cs="仿宋"/>
          <w:b/>
          <w:bCs/>
          <w:color w:val="FF0000"/>
          <w:lang w:val="en-US" w:eastAsia="zh-CN"/>
        </w:rPr>
        <w:t>113413</w:t>
      </w:r>
      <w:r>
        <w:rPr>
          <w:rFonts w:hint="eastAsia" w:ascii="仿宋" w:hAnsi="仿宋" w:eastAsia="仿宋" w:cs="仿宋"/>
          <w:b/>
          <w:bCs/>
        </w:rPr>
        <w:t>；</w:t>
      </w:r>
      <w:r>
        <w:rPr>
          <w:rFonts w:hint="eastAsia" w:ascii="仿宋" w:hAnsi="仿宋" w:eastAsia="仿宋" w:cs="仿宋"/>
          <w:b/>
          <w:bCs/>
          <w:lang w:eastAsia="zh-CN"/>
        </w:rPr>
        <w:t>（</w:t>
      </w:r>
      <w:r>
        <w:rPr>
          <w:rFonts w:hint="eastAsia" w:ascii="仿宋" w:hAnsi="仿宋" w:eastAsia="仿宋" w:cs="仿宋"/>
          <w:b/>
          <w:bCs/>
          <w:lang w:val="en-US" w:eastAsia="zh-CN"/>
        </w:rPr>
        <w:t>3</w:t>
      </w:r>
      <w:r>
        <w:rPr>
          <w:rFonts w:hint="eastAsia" w:ascii="仿宋" w:hAnsi="仿宋" w:eastAsia="仿宋" w:cs="仿宋"/>
          <w:b/>
          <w:bCs/>
          <w:lang w:eastAsia="zh-CN"/>
        </w:rPr>
        <w:t>）</w:t>
      </w:r>
      <w:r>
        <w:rPr>
          <w:rFonts w:hint="eastAsia" w:ascii="仿宋" w:hAnsi="仿宋" w:eastAsia="仿宋" w:cs="仿宋"/>
          <w:b/>
          <w:bCs/>
          <w:color w:val="FF0000"/>
          <w:lang w:val="en-US" w:eastAsia="zh-CN"/>
        </w:rPr>
        <w:t>特别注意事项</w:t>
      </w:r>
      <w:r>
        <w:rPr>
          <w:rFonts w:hint="eastAsia" w:ascii="仿宋" w:hAnsi="仿宋" w:eastAsia="仿宋" w:cs="仿宋"/>
          <w:b/>
          <w:bCs/>
          <w:lang w:val="en-US" w:eastAsia="zh-CN"/>
        </w:rPr>
        <w:t>：申报人应当</w:t>
      </w:r>
      <w:r>
        <w:rPr>
          <w:rFonts w:hint="eastAsia" w:ascii="仿宋" w:hAnsi="仿宋" w:eastAsia="仿宋" w:cs="仿宋"/>
          <w:b/>
          <w:bCs/>
          <w:color w:val="auto"/>
          <w:lang w:val="en-US" w:eastAsia="zh-CN"/>
        </w:rPr>
        <w:t>下载本公告的附件</w:t>
      </w:r>
      <w:r>
        <w:rPr>
          <w:rFonts w:hint="eastAsia" w:ascii="仿宋" w:hAnsi="仿宋" w:eastAsia="仿宋" w:cs="仿宋"/>
          <w:b/>
          <w:bCs/>
          <w:lang w:val="en-US" w:eastAsia="zh-CN"/>
        </w:rPr>
        <w:t>并如实填写相关信息，填写完毕后与债权申报文件、材料一并上传至破易云破产办案工作平台（附件获取方式：扫描公告下方二维码下载）。</w:t>
      </w:r>
    </w:p>
    <w:p w14:paraId="2E818063">
      <w:pPr>
        <w:pStyle w:val="16"/>
        <w:spacing w:line="540" w:lineRule="exact"/>
        <w:ind w:firstLine="600"/>
        <w:jc w:val="both"/>
        <w:rPr>
          <w:rFonts w:hint="eastAsia" w:ascii="仿宋" w:hAnsi="仿宋" w:eastAsia="仿宋" w:cs="仿宋"/>
        </w:rPr>
      </w:pPr>
      <w:r>
        <w:rPr>
          <w:rFonts w:hint="eastAsia" w:ascii="仿宋" w:hAnsi="仿宋" w:eastAsia="仿宋" w:cs="仿宋"/>
          <w:b/>
          <w:bCs/>
          <w:lang w:val="en-US"/>
        </w:rPr>
        <w:t>2.线下债权申报</w:t>
      </w:r>
      <w:r>
        <w:rPr>
          <w:rFonts w:hint="eastAsia" w:ascii="仿宋" w:hAnsi="仿宋" w:eastAsia="仿宋" w:cs="仿宋"/>
          <w:b/>
          <w:bCs/>
          <w:color w:val="auto"/>
        </w:rPr>
        <w:t>地址</w:t>
      </w:r>
      <w:r>
        <w:rPr>
          <w:rFonts w:hint="eastAsia" w:ascii="仿宋" w:hAnsi="仿宋" w:eastAsia="仿宋" w:cs="仿宋"/>
          <w:b/>
          <w:bCs/>
          <w:color w:val="auto"/>
          <w:lang w:val="en-US"/>
        </w:rPr>
        <w:t>及联系方式</w:t>
      </w:r>
      <w:r>
        <w:rPr>
          <w:rFonts w:hint="eastAsia" w:ascii="仿宋" w:hAnsi="仿宋" w:eastAsia="仿宋" w:cs="仿宋"/>
          <w:b/>
          <w:bCs/>
          <w:color w:val="auto"/>
        </w:rPr>
        <w:t>：云南省红河哈尼族彝族自治州蒙自市观澜街道天马路华风现代城2栋3楼凌云（红河）律师事务所；联系人及联系电</w:t>
      </w:r>
      <w:r>
        <w:rPr>
          <w:rFonts w:hint="eastAsia" w:ascii="仿宋" w:hAnsi="仿宋" w:eastAsia="仿宋" w:cs="仿宋"/>
          <w:b/>
          <w:bCs/>
        </w:rPr>
        <w:t>话:</w:t>
      </w:r>
      <w:r>
        <w:rPr>
          <w:rFonts w:hint="eastAsia" w:ascii="仿宋" w:hAnsi="仿宋" w:eastAsia="仿宋" w:cs="仿宋"/>
          <w:b/>
          <w:bCs/>
          <w:lang w:val="en-US" w:eastAsia="zh-CN"/>
        </w:rPr>
        <w:t>张纹慧：19315961780；李思娴：13608738399；王丽：13508837705</w:t>
      </w:r>
      <w:r>
        <w:rPr>
          <w:rFonts w:hint="eastAsia" w:ascii="仿宋" w:hAnsi="仿宋" w:eastAsia="仿宋" w:cs="仿宋"/>
          <w:b/>
          <w:bCs/>
        </w:rPr>
        <w:t>）</w:t>
      </w:r>
      <w:r>
        <w:rPr>
          <w:rFonts w:hint="eastAsia" w:ascii="仿宋" w:hAnsi="仿宋" w:eastAsia="仿宋" w:cs="仿宋"/>
        </w:rPr>
        <w:t>。</w:t>
      </w:r>
    </w:p>
    <w:p w14:paraId="04EE02D1">
      <w:pPr>
        <w:pStyle w:val="16"/>
        <w:spacing w:line="540" w:lineRule="exact"/>
        <w:ind w:firstLine="600"/>
        <w:jc w:val="both"/>
        <w:rPr>
          <w:rFonts w:ascii="仿宋" w:hAnsi="仿宋" w:eastAsia="仿宋" w:cs="仿宋"/>
          <w:b/>
          <w:bCs/>
        </w:rPr>
      </w:pPr>
      <w:bookmarkStart w:id="0" w:name="_GoBack"/>
      <w:bookmarkEnd w:id="0"/>
      <w:r>
        <w:rPr>
          <w:rFonts w:hint="eastAsia" w:ascii="仿宋" w:hAnsi="仿宋" w:eastAsia="仿宋" w:cs="仿宋"/>
        </w:rPr>
        <w:t>申报债权应书面说明债权数额、有无财产担保及是否属于连带债权，并提供相关证据材料。在预申报期限内已预申报的，请在前述期限内向管理人进行确认。未在上述期限内申报债权的，可以在破产财产最后分配前补充申报，</w:t>
      </w:r>
      <w:r>
        <w:rPr>
          <w:rFonts w:hint="eastAsia" w:ascii="仿宋" w:hAnsi="仿宋" w:eastAsia="仿宋" w:cs="仿宋"/>
          <w:lang w:val="en-US" w:eastAsia="zh-CN"/>
        </w:rPr>
        <w:t>此前已进行的分配不再补充分配，同时仍需</w:t>
      </w:r>
      <w:r>
        <w:rPr>
          <w:rFonts w:hint="eastAsia" w:ascii="仿宋" w:hAnsi="仿宋" w:eastAsia="仿宋" w:cs="仿宋"/>
        </w:rPr>
        <w:t>承担为审查和确认补充申报债权所产生的费用。未依法申报债权的，不得依照《中华人民共和国企业破产法》规定的程序行使权利。</w:t>
      </w:r>
      <w:r>
        <w:rPr>
          <w:rFonts w:hint="eastAsia" w:ascii="仿宋" w:hAnsi="仿宋" w:eastAsia="仿宋" w:cs="仿宋"/>
          <w:color w:val="auto"/>
          <w:lang w:val="en-US" w:eastAsia="zh-CN"/>
        </w:rPr>
        <w:t>红河云牛乳业有限责任公司</w:t>
      </w:r>
      <w:r>
        <w:rPr>
          <w:rFonts w:hint="eastAsia" w:ascii="仿宋" w:hAnsi="仿宋" w:eastAsia="仿宋" w:cs="仿宋"/>
        </w:rPr>
        <w:t>的债务人或者财产持有人应当向</w:t>
      </w:r>
      <w:r>
        <w:rPr>
          <w:rFonts w:hint="eastAsia" w:ascii="仿宋" w:hAnsi="仿宋" w:eastAsia="仿宋" w:cs="仿宋"/>
          <w:color w:val="auto"/>
          <w:lang w:val="en-US" w:eastAsia="zh-CN"/>
        </w:rPr>
        <w:t>红河云牛乳业有限责任公司破产</w:t>
      </w:r>
      <w:r>
        <w:rPr>
          <w:rFonts w:hint="eastAsia" w:ascii="仿宋" w:hAnsi="仿宋" w:eastAsia="仿宋" w:cs="仿宋"/>
        </w:rPr>
        <w:t>管理人清偿债务或交付财产。</w:t>
      </w:r>
    </w:p>
    <w:p w14:paraId="2F9FB7EB">
      <w:pPr>
        <w:pStyle w:val="16"/>
        <w:spacing w:line="540" w:lineRule="exact"/>
        <w:ind w:firstLine="562" w:firstLineChars="200"/>
        <w:jc w:val="both"/>
        <w:rPr>
          <w:rFonts w:ascii="仿宋" w:hAnsi="仿宋" w:eastAsia="仿宋" w:cs="仿宋"/>
        </w:rPr>
      </w:pPr>
      <w:r>
        <w:rPr>
          <w:rFonts w:hint="eastAsia" w:ascii="仿宋" w:hAnsi="仿宋" w:eastAsia="仿宋" w:cs="仿宋"/>
          <w:b/>
          <w:bCs/>
          <w:color w:val="auto"/>
        </w:rPr>
        <w:t>第一次债权人会议将于</w:t>
      </w:r>
      <w:r>
        <w:rPr>
          <w:rFonts w:hint="eastAsia" w:ascii="仿宋" w:hAnsi="仿宋" w:eastAsia="仿宋" w:cs="仿宋"/>
          <w:b/>
          <w:bCs/>
          <w:color w:val="auto"/>
          <w:lang w:val="en-US" w:eastAsia="zh-CN"/>
        </w:rPr>
        <w:t>2025</w:t>
      </w:r>
      <w:r>
        <w:rPr>
          <w:rFonts w:hint="eastAsia" w:ascii="仿宋" w:hAnsi="仿宋" w:eastAsia="仿宋" w:cs="仿宋"/>
          <w:b/>
          <w:bCs/>
          <w:color w:val="auto"/>
        </w:rPr>
        <w:t>年</w:t>
      </w:r>
      <w:r>
        <w:rPr>
          <w:rFonts w:hint="eastAsia" w:ascii="仿宋" w:hAnsi="仿宋" w:eastAsia="仿宋" w:cs="仿宋"/>
          <w:b/>
          <w:bCs/>
          <w:color w:val="auto"/>
          <w:lang w:val="en-US" w:eastAsia="zh-CN"/>
        </w:rPr>
        <w:t>2</w:t>
      </w:r>
      <w:r>
        <w:rPr>
          <w:rFonts w:hint="eastAsia" w:ascii="仿宋" w:hAnsi="仿宋" w:eastAsia="仿宋" w:cs="仿宋"/>
          <w:b/>
          <w:bCs/>
          <w:color w:val="auto"/>
        </w:rPr>
        <w:t>月</w:t>
      </w:r>
      <w:r>
        <w:rPr>
          <w:rFonts w:hint="eastAsia" w:ascii="仿宋" w:hAnsi="仿宋" w:eastAsia="仿宋" w:cs="仿宋"/>
          <w:b/>
          <w:bCs/>
          <w:color w:val="auto"/>
          <w:lang w:val="en-US" w:eastAsia="zh-CN"/>
        </w:rPr>
        <w:t>18</w:t>
      </w:r>
      <w:r>
        <w:rPr>
          <w:rFonts w:hint="eastAsia" w:ascii="仿宋" w:hAnsi="仿宋" w:eastAsia="仿宋" w:cs="仿宋"/>
          <w:b/>
          <w:bCs/>
          <w:color w:val="auto"/>
        </w:rPr>
        <w:t>日</w:t>
      </w:r>
      <w:r>
        <w:rPr>
          <w:rFonts w:hint="eastAsia" w:ascii="仿宋" w:hAnsi="仿宋" w:eastAsia="仿宋" w:cs="仿宋"/>
          <w:b/>
          <w:bCs/>
          <w:color w:val="auto"/>
          <w:lang w:val="en-US" w:eastAsia="zh-CN"/>
        </w:rPr>
        <w:t>上午9时</w:t>
      </w:r>
      <w:r>
        <w:rPr>
          <w:rFonts w:hint="eastAsia" w:ascii="仿宋" w:hAnsi="仿宋" w:eastAsia="仿宋" w:cs="仿宋"/>
          <w:b/>
          <w:bCs/>
          <w:color w:val="auto"/>
        </w:rPr>
        <w:t>在</w:t>
      </w:r>
      <w:r>
        <w:rPr>
          <w:rFonts w:hint="eastAsia" w:ascii="仿宋" w:hAnsi="仿宋" w:eastAsia="仿宋" w:cs="仿宋"/>
          <w:b/>
          <w:bCs/>
          <w:color w:val="auto"/>
          <w:lang w:val="en-US" w:eastAsia="zh-CN"/>
        </w:rPr>
        <w:t>红河州中级人民法院第二法庭</w:t>
      </w:r>
      <w:r>
        <w:rPr>
          <w:rFonts w:hint="eastAsia" w:ascii="仿宋" w:hAnsi="仿宋" w:eastAsia="仿宋" w:cs="仿宋"/>
          <w:b/>
          <w:bCs/>
          <w:color w:val="auto"/>
        </w:rPr>
        <w:t>召开。</w:t>
      </w:r>
      <w:r>
        <w:rPr>
          <w:rFonts w:hint="eastAsia" w:ascii="仿宋" w:hAnsi="仿宋" w:eastAsia="仿宋" w:cs="仿宋"/>
        </w:rPr>
        <w:t>依法申报债权的债权人为债权人会议的成员，有权参加债权人会议。参加会议的债权人系法人或其他组织的，应提交营业执照副本、法定代表人或负责人身份证明；债权人系自然人的，应提交个人身份证明。债权人如委托代理人出席会议，应提交特别授权委托书、委托代理人的身份证件，委托代理人是律师的还应提交律师事务所的指派函原件及律师执业证复印件。</w:t>
      </w:r>
    </w:p>
    <w:p w14:paraId="1F3D5728">
      <w:pPr>
        <w:pStyle w:val="16"/>
        <w:spacing w:line="540" w:lineRule="exact"/>
        <w:ind w:firstLine="560" w:firstLineChars="200"/>
        <w:jc w:val="both"/>
        <w:rPr>
          <w:rFonts w:ascii="仿宋" w:hAnsi="仿宋" w:eastAsia="PMingLiU" w:cs="仿宋"/>
          <w:lang w:val="en-US"/>
        </w:rPr>
      </w:pPr>
      <w:r>
        <w:rPr>
          <w:rFonts w:hint="eastAsia" w:ascii="仿宋" w:hAnsi="仿宋" w:eastAsia="仿宋" w:cs="仿宋"/>
        </w:rPr>
        <w:t>特此公告</w:t>
      </w:r>
    </w:p>
    <w:p w14:paraId="5FD61756">
      <w:pPr>
        <w:pStyle w:val="16"/>
        <w:spacing w:after="140" w:line="540" w:lineRule="exact"/>
        <w:ind w:firstLine="780"/>
        <w:jc w:val="right"/>
        <w:rPr>
          <w:rFonts w:ascii="仿宋" w:hAnsi="仿宋" w:eastAsia="PMingLiU" w:cs="仿宋"/>
          <w:color w:val="auto"/>
          <w:lang w:val="en-US"/>
        </w:rPr>
      </w:pPr>
      <w:r>
        <w:rPr>
          <w:rFonts w:hint="eastAsia" w:ascii="仿宋" w:hAnsi="仿宋" w:eastAsia="仿宋" w:cs="仿宋"/>
          <w:lang w:val="en-US"/>
        </w:rPr>
        <w:t xml:space="preserve">                                  </w:t>
      </w:r>
      <w:r>
        <w:rPr>
          <w:rFonts w:hint="eastAsia" w:ascii="仿宋" w:hAnsi="仿宋" w:eastAsia="仿宋" w:cs="仿宋"/>
          <w:color w:val="auto"/>
          <w:lang w:val="en-US"/>
        </w:rPr>
        <w:t xml:space="preserve">  </w:t>
      </w:r>
      <w:r>
        <w:rPr>
          <w:rFonts w:hint="eastAsia" w:ascii="仿宋" w:hAnsi="仿宋" w:eastAsia="仿宋" w:cs="仿宋"/>
          <w:color w:val="auto"/>
          <w:lang w:val="en-US" w:eastAsia="zh-CN"/>
        </w:rPr>
        <w:t xml:space="preserve">   2024</w:t>
      </w:r>
      <w:r>
        <w:rPr>
          <w:rFonts w:hint="eastAsia" w:ascii="仿宋" w:hAnsi="仿宋" w:eastAsia="仿宋" w:cs="仿宋"/>
          <w:color w:val="auto"/>
          <w:lang w:val="en-US"/>
        </w:rPr>
        <w:t>年</w:t>
      </w:r>
      <w:r>
        <w:rPr>
          <w:rFonts w:hint="eastAsia" w:ascii="仿宋" w:hAnsi="仿宋" w:eastAsia="仿宋" w:cs="仿宋"/>
          <w:color w:val="auto"/>
          <w:lang w:val="en-US" w:eastAsia="zh-CN"/>
        </w:rPr>
        <w:t>11</w:t>
      </w:r>
      <w:r>
        <w:rPr>
          <w:rFonts w:hint="eastAsia" w:ascii="仿宋" w:hAnsi="仿宋" w:eastAsia="仿宋" w:cs="仿宋"/>
          <w:color w:val="auto"/>
          <w:lang w:val="en-US"/>
        </w:rPr>
        <w:t>月</w:t>
      </w:r>
      <w:r>
        <w:rPr>
          <w:rFonts w:hint="eastAsia" w:ascii="仿宋" w:hAnsi="仿宋" w:eastAsia="仿宋" w:cs="仿宋"/>
          <w:color w:val="auto"/>
          <w:lang w:val="en-US" w:eastAsia="zh-CN"/>
        </w:rPr>
        <w:t>14</w:t>
      </w:r>
      <w:r>
        <w:rPr>
          <w:rFonts w:hint="eastAsia" w:ascii="仿宋" w:hAnsi="仿宋" w:eastAsia="仿宋" w:cs="仿宋"/>
          <w:color w:val="auto"/>
          <w:lang w:val="en-US"/>
        </w:rPr>
        <w:t>日</w:t>
      </w:r>
    </w:p>
    <w:p w14:paraId="00D65290">
      <w:pPr>
        <w:pStyle w:val="16"/>
        <w:spacing w:after="140" w:line="240" w:lineRule="auto"/>
        <w:ind w:firstLine="2142" w:firstLineChars="765"/>
      </w:pPr>
      <w:r>
        <w:rPr>
          <w:rFonts w:hint="eastAsia"/>
          <w:lang w:eastAsia="zh-CN"/>
        </w:rPr>
        <w:drawing>
          <wp:anchor distT="0" distB="0" distL="114300" distR="114300" simplePos="0" relativeHeight="251659264" behindDoc="0" locked="0" layoutInCell="1" allowOverlap="1">
            <wp:simplePos x="0" y="0"/>
            <wp:positionH relativeFrom="column">
              <wp:posOffset>3326765</wp:posOffset>
            </wp:positionH>
            <wp:positionV relativeFrom="paragraph">
              <wp:posOffset>244475</wp:posOffset>
            </wp:positionV>
            <wp:extent cx="2487295" cy="2755900"/>
            <wp:effectExtent l="9525" t="9525" r="17780" b="15875"/>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2487295" cy="2755900"/>
                    </a:xfrm>
                    <a:prstGeom prst="rect">
                      <a:avLst/>
                    </a:prstGeom>
                    <a:ln>
                      <a:solidFill>
                        <a:schemeClr val="bg1">
                          <a:lumMod val="65000"/>
                        </a:schemeClr>
                      </a:solidFill>
                    </a:ln>
                  </pic:spPr>
                </pic:pic>
              </a:graphicData>
            </a:graphic>
          </wp:anchor>
        </w:drawing>
      </w:r>
      <w:r>
        <w:rPr>
          <w:rFonts w:hint="eastAsia"/>
          <w:lang w:eastAsia="zh-CN"/>
        </w:rPr>
        <w:tab/>
      </w:r>
      <w:r>
        <w:drawing>
          <wp:inline distT="0" distB="0" distL="0" distR="0">
            <wp:extent cx="2882265" cy="2851150"/>
            <wp:effectExtent l="9525" t="9525" r="22860" b="15875"/>
            <wp:docPr id="3" name="图片 3" descr="D:/01 办公室电脑所有文档/03 在办案件/05 云牛乳业破产清算案/自主申报二维码.jpg自主申报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01 办公室电脑所有文档/03 在办案件/05 云牛乳业破产清算案/自主申报二维码.jpg自主申报二维码"/>
                    <pic:cNvPicPr>
                      <a:picLocks noChangeAspect="1" noChangeArrowheads="1"/>
                    </pic:cNvPicPr>
                  </pic:nvPicPr>
                  <pic:blipFill>
                    <a:blip r:embed="rId8"/>
                    <a:srcRect t="13891" b="13891"/>
                    <a:stretch>
                      <a:fillRect/>
                    </a:stretch>
                  </pic:blipFill>
                  <pic:spPr>
                    <a:xfrm>
                      <a:off x="0" y="0"/>
                      <a:ext cx="2882265" cy="2859045"/>
                    </a:xfrm>
                    <a:prstGeom prst="rect">
                      <a:avLst/>
                    </a:prstGeom>
                    <a:noFill/>
                    <a:ln>
                      <a:solidFill>
                        <a:schemeClr val="bg1">
                          <a:lumMod val="85000"/>
                        </a:schemeClr>
                      </a:solidFill>
                    </a:ln>
                  </pic:spPr>
                </pic:pic>
              </a:graphicData>
            </a:graphic>
          </wp:inline>
        </w:drawing>
      </w:r>
    </w:p>
    <w:p w14:paraId="178067A8">
      <w:pPr>
        <w:pStyle w:val="16"/>
        <w:spacing w:after="140" w:line="240" w:lineRule="auto"/>
        <w:ind w:left="0" w:leftChars="0" w:firstLine="0" w:firstLineChars="0"/>
        <w:rPr>
          <w:rFonts w:ascii="仿宋" w:hAnsi="仿宋" w:eastAsia="仿宋" w:cs="仿宋"/>
          <w:color w:val="auto"/>
          <w:lang w:val="en-US"/>
        </w:rPr>
      </w:pPr>
      <w:r>
        <w:rPr>
          <w:rFonts w:hint="eastAsia" w:ascii="华文楷体" w:hAnsi="华文楷体" w:eastAsia="华文楷体" w:cs="仿宋"/>
          <w:b/>
          <w:bCs/>
          <w:color w:val="auto"/>
          <w:sz w:val="24"/>
          <w:szCs w:val="24"/>
          <w:lang w:val="en-US" w:eastAsia="zh-CN"/>
        </w:rPr>
        <w:t>（微信扫描上方二维码，完成债权申报）       （微信扫描二维码，可查看详细申报步骤）</w:t>
      </w:r>
    </w:p>
    <w:sectPr>
      <w:footerReference r:id="rId5" w:type="default"/>
      <w:pgSz w:w="11900" w:h="16840"/>
      <w:pgMar w:top="1803" w:right="1387" w:bottom="1587" w:left="1521" w:header="1375" w:footer="1375" w:gutter="0"/>
      <w:pgNumType w:fmt="numberInDash"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9C278">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90500" cy="131445"/>
              <wp:effectExtent l="0" t="0" r="12700" b="14605"/>
              <wp:wrapNone/>
              <wp:docPr id="1" name="文本框 1"/>
              <wp:cNvGraphicFramePr/>
              <a:graphic xmlns:a="http://schemas.openxmlformats.org/drawingml/2006/main">
                <a:graphicData uri="http://schemas.microsoft.com/office/word/2010/wordprocessingShape">
                  <wps:wsp>
                    <wps:cNvSpPr txBox="1"/>
                    <wps:spPr>
                      <a:xfrm>
                        <a:off x="0" y="0"/>
                        <a:ext cx="190500" cy="131445"/>
                      </a:xfrm>
                      <a:prstGeom prst="rect">
                        <a:avLst/>
                      </a:prstGeom>
                      <a:noFill/>
                      <a:ln w="6350">
                        <a:noFill/>
                      </a:ln>
                    </wps:spPr>
                    <wps:txbx>
                      <w:txbxContent>
                        <w:p w14:paraId="2E9B29BF">
                          <w:pPr>
                            <w:pStyle w:val="4"/>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- 1 -</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15pt;mso-position-horizontal:left;mso-position-horizontal-relative:margin;mso-wrap-style:none;z-index:251660288;mso-width-relative:page;mso-height-relative:page;" filled="f" stroked="f" coordsize="21600,21600" o:gfxdata="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RJ1N0NEAAAADAQAADwAAAAAAAAABACAAAAAiAAAAZHJzL2Rvd25yZXYueG1sUEsBAhQAFAAA&#10;AAgAh07iQBkPNaAvAgAAUwQAAA4AAAAAAAAAAQAgAAAAIAEAAGRycy9lMm9Eb2MueG1sUEsFBgAA&#10;AAAGAAYAWQEAAMEFAAAAAA==&#10;">
              <v:fill on="f" focussize="0,0"/>
              <v:stroke on="f" weight="0.5pt"/>
              <v:imagedata o:title=""/>
              <o:lock v:ext="edit" aspectratio="f"/>
              <v:textbox inset="0mm,0mm,0mm,0mm" style="mso-fit-shape-to-text:t;">
                <w:txbxContent>
                  <w:p w14:paraId="2E9B29BF">
                    <w:pPr>
                      <w:pStyle w:val="4"/>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eastAsia="宋体"/>
                        <w:lang w:eastAsia="zh-CN"/>
                      </w:rPr>
                      <w:t>- 1 -</w:t>
                    </w:r>
                    <w:r>
                      <w:rPr>
                        <w:rFonts w:hint="eastAsia" w:eastAsia="宋体"/>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3NjY0ZTA0YjBjMzgwMzk3MmZmNjk3MGNjYjYwNjUifQ=="/>
  </w:docVars>
  <w:rsids>
    <w:rsidRoot w:val="00C219A2"/>
    <w:rsid w:val="0002371B"/>
    <w:rsid w:val="00074358"/>
    <w:rsid w:val="001327C2"/>
    <w:rsid w:val="001559BD"/>
    <w:rsid w:val="00191008"/>
    <w:rsid w:val="0019427F"/>
    <w:rsid w:val="001A2BA1"/>
    <w:rsid w:val="00212C69"/>
    <w:rsid w:val="0022707C"/>
    <w:rsid w:val="00244188"/>
    <w:rsid w:val="002A500B"/>
    <w:rsid w:val="002E74FB"/>
    <w:rsid w:val="00352DBF"/>
    <w:rsid w:val="00387A2C"/>
    <w:rsid w:val="003C2F10"/>
    <w:rsid w:val="003D52B2"/>
    <w:rsid w:val="003F5ADB"/>
    <w:rsid w:val="00410917"/>
    <w:rsid w:val="004238A7"/>
    <w:rsid w:val="00486B22"/>
    <w:rsid w:val="005102E4"/>
    <w:rsid w:val="00520EE4"/>
    <w:rsid w:val="00583726"/>
    <w:rsid w:val="005A5CC0"/>
    <w:rsid w:val="005F4FE4"/>
    <w:rsid w:val="00652F33"/>
    <w:rsid w:val="0069162F"/>
    <w:rsid w:val="0074516F"/>
    <w:rsid w:val="0076018E"/>
    <w:rsid w:val="007A0122"/>
    <w:rsid w:val="0080061F"/>
    <w:rsid w:val="00806A53"/>
    <w:rsid w:val="0083108F"/>
    <w:rsid w:val="008316AB"/>
    <w:rsid w:val="008B10A5"/>
    <w:rsid w:val="00961226"/>
    <w:rsid w:val="00983D26"/>
    <w:rsid w:val="00996452"/>
    <w:rsid w:val="009B634C"/>
    <w:rsid w:val="00AE2D40"/>
    <w:rsid w:val="00AF1417"/>
    <w:rsid w:val="00B9507C"/>
    <w:rsid w:val="00B9533D"/>
    <w:rsid w:val="00BB3635"/>
    <w:rsid w:val="00BC7AA6"/>
    <w:rsid w:val="00C219A2"/>
    <w:rsid w:val="00C9730D"/>
    <w:rsid w:val="00CB0B74"/>
    <w:rsid w:val="00CF2A54"/>
    <w:rsid w:val="00D32D42"/>
    <w:rsid w:val="00D5365D"/>
    <w:rsid w:val="00E516AE"/>
    <w:rsid w:val="00E9138C"/>
    <w:rsid w:val="00FA2342"/>
    <w:rsid w:val="00FD6DF5"/>
    <w:rsid w:val="067705CF"/>
    <w:rsid w:val="0677243D"/>
    <w:rsid w:val="0A9B365D"/>
    <w:rsid w:val="0AC93306"/>
    <w:rsid w:val="0E753F01"/>
    <w:rsid w:val="1921412B"/>
    <w:rsid w:val="1B375F27"/>
    <w:rsid w:val="1DC028AE"/>
    <w:rsid w:val="22A319D0"/>
    <w:rsid w:val="230204BE"/>
    <w:rsid w:val="28867910"/>
    <w:rsid w:val="28B5576F"/>
    <w:rsid w:val="2A4859B3"/>
    <w:rsid w:val="2A6B4E7D"/>
    <w:rsid w:val="2B001C7D"/>
    <w:rsid w:val="2F5D3C4C"/>
    <w:rsid w:val="31F20FFF"/>
    <w:rsid w:val="3992123C"/>
    <w:rsid w:val="3F66325E"/>
    <w:rsid w:val="44BD18BB"/>
    <w:rsid w:val="49310C1B"/>
    <w:rsid w:val="4A22713F"/>
    <w:rsid w:val="50CA7B2B"/>
    <w:rsid w:val="511E1E7E"/>
    <w:rsid w:val="53972FBC"/>
    <w:rsid w:val="53C42D9E"/>
    <w:rsid w:val="54EC51AA"/>
    <w:rsid w:val="562F534B"/>
    <w:rsid w:val="58820EE3"/>
    <w:rsid w:val="5ECD6291"/>
    <w:rsid w:val="5FF136AB"/>
    <w:rsid w:val="68682E09"/>
    <w:rsid w:val="6B864618"/>
    <w:rsid w:val="6E481671"/>
    <w:rsid w:val="77347E71"/>
    <w:rsid w:val="7E063159"/>
    <w:rsid w:val="7E332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qFormat/>
    <w:uiPriority w:val="0"/>
  </w:style>
  <w:style w:type="paragraph" w:styleId="3">
    <w:name w:val="Balloon Text"/>
    <w:basedOn w:val="1"/>
    <w:link w:val="19"/>
    <w:qFormat/>
    <w:uiPriority w:val="0"/>
    <w:rPr>
      <w:sz w:val="18"/>
      <w:szCs w:val="18"/>
    </w:rPr>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6">
    <w:name w:val="annotation subject"/>
    <w:basedOn w:val="2"/>
    <w:next w:val="2"/>
    <w:link w:val="18"/>
    <w:qFormat/>
    <w:uiPriority w:val="0"/>
    <w:rPr>
      <w:b/>
      <w:bCs/>
    </w:rPr>
  </w:style>
  <w:style w:type="character" w:styleId="9">
    <w:name w:val="Hyperlink"/>
    <w:basedOn w:val="8"/>
    <w:unhideWhenUsed/>
    <w:qFormat/>
    <w:uiPriority w:val="0"/>
    <w:rPr>
      <w:color w:val="0000FF" w:themeColor="hyperlink"/>
      <w:u w:val="single"/>
      <w14:textFill>
        <w14:solidFill>
          <w14:schemeClr w14:val="hlink"/>
        </w14:solidFill>
      </w14:textFill>
    </w:rPr>
  </w:style>
  <w:style w:type="character" w:styleId="10">
    <w:name w:val="annotation reference"/>
    <w:basedOn w:val="8"/>
    <w:qFormat/>
    <w:uiPriority w:val="0"/>
    <w:rPr>
      <w:sz w:val="21"/>
      <w:szCs w:val="21"/>
    </w:rPr>
  </w:style>
  <w:style w:type="character" w:customStyle="1" w:styleId="11">
    <w:name w:val="Body text|3_"/>
    <w:basedOn w:val="8"/>
    <w:link w:val="12"/>
    <w:qFormat/>
    <w:uiPriority w:val="0"/>
    <w:rPr>
      <w:rFonts w:ascii="宋体" w:hAnsi="宋体" w:eastAsia="宋体" w:cs="宋体"/>
      <w:sz w:val="48"/>
      <w:szCs w:val="48"/>
      <w:u w:val="none"/>
      <w:shd w:val="clear" w:color="auto" w:fill="auto"/>
      <w:lang w:val="zh-TW" w:eastAsia="zh-TW" w:bidi="zh-TW"/>
    </w:rPr>
  </w:style>
  <w:style w:type="paragraph" w:customStyle="1" w:styleId="12">
    <w:name w:val="Body text|3"/>
    <w:basedOn w:val="1"/>
    <w:link w:val="11"/>
    <w:qFormat/>
    <w:uiPriority w:val="0"/>
    <w:pPr>
      <w:spacing w:after="220"/>
      <w:jc w:val="center"/>
    </w:pPr>
    <w:rPr>
      <w:rFonts w:ascii="宋体" w:hAnsi="宋体" w:eastAsia="宋体" w:cs="宋体"/>
      <w:sz w:val="48"/>
      <w:szCs w:val="48"/>
      <w:lang w:val="zh-TW" w:eastAsia="zh-TW" w:bidi="zh-TW"/>
    </w:rPr>
  </w:style>
  <w:style w:type="character" w:customStyle="1" w:styleId="13">
    <w:name w:val="Body text|2_"/>
    <w:basedOn w:val="8"/>
    <w:link w:val="14"/>
    <w:qFormat/>
    <w:uiPriority w:val="0"/>
    <w:rPr>
      <w:sz w:val="28"/>
      <w:szCs w:val="28"/>
      <w:u w:val="none"/>
      <w:shd w:val="clear" w:color="auto" w:fill="auto"/>
      <w:lang w:val="zh-TW" w:eastAsia="zh-TW" w:bidi="zh-TW"/>
    </w:rPr>
  </w:style>
  <w:style w:type="paragraph" w:customStyle="1" w:styleId="14">
    <w:name w:val="Body text|2"/>
    <w:basedOn w:val="1"/>
    <w:link w:val="13"/>
    <w:qFormat/>
    <w:uiPriority w:val="0"/>
    <w:pPr>
      <w:spacing w:after="400"/>
      <w:jc w:val="right"/>
    </w:pPr>
    <w:rPr>
      <w:sz w:val="28"/>
      <w:szCs w:val="28"/>
      <w:lang w:val="zh-TW" w:eastAsia="zh-TW" w:bidi="zh-TW"/>
    </w:rPr>
  </w:style>
  <w:style w:type="character" w:customStyle="1" w:styleId="15">
    <w:name w:val="Body text|1_"/>
    <w:basedOn w:val="8"/>
    <w:link w:val="16"/>
    <w:qFormat/>
    <w:uiPriority w:val="0"/>
    <w:rPr>
      <w:rFonts w:ascii="宋体" w:hAnsi="宋体" w:eastAsia="宋体" w:cs="宋体"/>
      <w:sz w:val="28"/>
      <w:szCs w:val="28"/>
      <w:u w:val="none"/>
      <w:shd w:val="clear" w:color="auto" w:fill="auto"/>
      <w:lang w:val="zh-TW" w:eastAsia="zh-TW" w:bidi="zh-TW"/>
    </w:rPr>
  </w:style>
  <w:style w:type="paragraph" w:customStyle="1" w:styleId="16">
    <w:name w:val="Body text|1"/>
    <w:basedOn w:val="1"/>
    <w:link w:val="15"/>
    <w:qFormat/>
    <w:uiPriority w:val="0"/>
    <w:pPr>
      <w:spacing w:line="288" w:lineRule="auto"/>
      <w:ind w:firstLine="400"/>
    </w:pPr>
    <w:rPr>
      <w:rFonts w:ascii="宋体" w:hAnsi="宋体" w:eastAsia="宋体" w:cs="宋体"/>
      <w:sz w:val="28"/>
      <w:szCs w:val="28"/>
      <w:lang w:val="zh-TW" w:eastAsia="zh-TW" w:bidi="zh-TW"/>
    </w:rPr>
  </w:style>
  <w:style w:type="character" w:customStyle="1" w:styleId="17">
    <w:name w:val="批注文字 字符"/>
    <w:basedOn w:val="8"/>
    <w:link w:val="2"/>
    <w:qFormat/>
    <w:uiPriority w:val="0"/>
    <w:rPr>
      <w:rFonts w:eastAsia="Times New Roman"/>
      <w:color w:val="000000"/>
      <w:sz w:val="24"/>
      <w:szCs w:val="24"/>
      <w:lang w:eastAsia="en-US" w:bidi="en-US"/>
    </w:rPr>
  </w:style>
  <w:style w:type="character" w:customStyle="1" w:styleId="18">
    <w:name w:val="批注主题 字符"/>
    <w:basedOn w:val="17"/>
    <w:link w:val="6"/>
    <w:qFormat/>
    <w:uiPriority w:val="0"/>
    <w:rPr>
      <w:rFonts w:eastAsia="Times New Roman"/>
      <w:b/>
      <w:bCs/>
      <w:color w:val="000000"/>
      <w:sz w:val="24"/>
      <w:szCs w:val="24"/>
      <w:lang w:eastAsia="en-US" w:bidi="en-US"/>
    </w:rPr>
  </w:style>
  <w:style w:type="character" w:customStyle="1" w:styleId="19">
    <w:name w:val="批注框文本 字符"/>
    <w:basedOn w:val="8"/>
    <w:link w:val="3"/>
    <w:qFormat/>
    <w:uiPriority w:val="0"/>
    <w:rPr>
      <w:rFonts w:eastAsia="Times New Roman"/>
      <w:color w:val="000000"/>
      <w:sz w:val="18"/>
      <w:szCs w:val="18"/>
      <w:lang w:eastAsia="en-US" w:bidi="en-US"/>
    </w:rPr>
  </w:style>
  <w:style w:type="character" w:customStyle="1" w:styleId="20">
    <w:name w:val="未处理的提及1"/>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868</Words>
  <Characters>958</Characters>
  <Lines>6</Lines>
  <Paragraphs>1</Paragraphs>
  <TotalTime>32</TotalTime>
  <ScaleCrop>false</ScaleCrop>
  <LinksUpToDate>false</LinksUpToDate>
  <CharactersWithSpaces>1006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2020-10-16T07:22:00Z</dcterms:created>
  <dc:creator>lin</dc:creator>
  <cp:lastModifiedBy>凡生</cp:lastModifiedBy>
  <dcterms:modified xsi:type="dcterms:W3CDTF">2024-12-02T08:16:55Z</dcterms:modified>
  <dc:title>全能扫描仪</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3BC53B13DDD14CC4B03D85B3DD222E24_13</vt:lpwstr>
  </property>
</Properties>
</file>