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C93286">
      <w:pPr>
        <w:pStyle w:val="3"/>
        <w:shd w:val="clear" w:color="auto" w:fill="FFFFFF"/>
        <w:spacing w:before="0" w:beforeAutospacing="0" w:after="0" w:afterAutospacing="0" w:line="480" w:lineRule="exact"/>
        <w:jc w:val="center"/>
        <w:rPr>
          <w:rFonts w:hint="eastAsia" w:ascii="仿宋" w:hAnsi="仿宋" w:eastAsia="仿宋" w:cs="黑体"/>
          <w:sz w:val="44"/>
          <w:szCs w:val="44"/>
        </w:rPr>
      </w:pPr>
      <w:r>
        <w:rPr>
          <w:rFonts w:hint="eastAsia" w:ascii="仿宋" w:hAnsi="仿宋" w:eastAsia="仿宋" w:cs="黑体"/>
          <w:sz w:val="44"/>
          <w:szCs w:val="44"/>
        </w:rPr>
        <w:t>拍卖公告</w:t>
      </w:r>
    </w:p>
    <w:p w14:paraId="2F3D82EF">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lang w:eastAsia="zh-CN"/>
        </w:rPr>
        <w:t>安徽凯瑞轻钢彩板有限公司</w:t>
      </w:r>
      <w:r>
        <w:rPr>
          <w:rFonts w:hint="eastAsia" w:ascii="仿宋" w:hAnsi="仿宋" w:eastAsia="仿宋" w:cs="仿宋"/>
          <w:sz w:val="32"/>
          <w:szCs w:val="32"/>
        </w:rPr>
        <w:t>管理人将于</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日10时至202</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日10时</w:t>
      </w:r>
      <w:r>
        <w:rPr>
          <w:rFonts w:hint="eastAsia" w:ascii="仿宋" w:hAnsi="仿宋" w:eastAsia="仿宋" w:cs="仿宋"/>
          <w:sz w:val="32"/>
          <w:szCs w:val="32"/>
        </w:rPr>
        <w:t>止（延时除外）在淘宝网（处置单位：</w:t>
      </w:r>
      <w:r>
        <w:rPr>
          <w:rFonts w:hint="eastAsia" w:ascii="仿宋" w:hAnsi="仿宋" w:eastAsia="仿宋" w:cs="仿宋"/>
          <w:sz w:val="32"/>
          <w:szCs w:val="32"/>
          <w:lang w:eastAsia="zh-CN"/>
        </w:rPr>
        <w:t>安徽凯瑞轻钢彩板有限公司</w:t>
      </w:r>
      <w:r>
        <w:rPr>
          <w:rFonts w:hint="eastAsia" w:ascii="仿宋" w:hAnsi="仿宋" w:eastAsia="仿宋" w:cs="仿宋"/>
          <w:sz w:val="32"/>
          <w:szCs w:val="32"/>
        </w:rPr>
        <w:t>管理人，监督单位：安徽省马鞍山市</w:t>
      </w:r>
      <w:r>
        <w:rPr>
          <w:rFonts w:hint="eastAsia" w:ascii="仿宋" w:hAnsi="仿宋" w:eastAsia="仿宋" w:cs="仿宋"/>
          <w:sz w:val="32"/>
          <w:szCs w:val="32"/>
          <w:lang w:val="en-US" w:eastAsia="zh-CN"/>
        </w:rPr>
        <w:t>含山</w:t>
      </w:r>
      <w:r>
        <w:rPr>
          <w:rFonts w:hint="eastAsia" w:ascii="仿宋" w:hAnsi="仿宋" w:eastAsia="仿宋" w:cs="仿宋"/>
          <w:sz w:val="32"/>
          <w:szCs w:val="32"/>
        </w:rPr>
        <w:t>县人民法院，网址：https://susong.taobao.com/）进行公开拍卖活动，现公告如下：</w:t>
      </w:r>
    </w:p>
    <w:p w14:paraId="765ECDCB">
      <w:pPr>
        <w:spacing w:line="480" w:lineRule="exact"/>
        <w:ind w:firstLine="643" w:firstLineChars="200"/>
        <w:jc w:val="left"/>
        <w:rPr>
          <w:rFonts w:hint="eastAsia" w:ascii="仿宋" w:hAnsi="仿宋" w:eastAsia="仿宋" w:cs="仿宋"/>
          <w:b/>
          <w:bCs/>
          <w:sz w:val="32"/>
          <w:szCs w:val="32"/>
          <w:lang w:eastAsia="zh-CN"/>
        </w:rPr>
      </w:pPr>
      <w:r>
        <w:rPr>
          <w:rFonts w:hint="eastAsia" w:ascii="仿宋" w:hAnsi="仿宋" w:eastAsia="仿宋" w:cs="仿宋"/>
          <w:b/>
          <w:bCs/>
          <w:sz w:val="32"/>
          <w:szCs w:val="32"/>
        </w:rPr>
        <w:t>一、拍卖标的</w:t>
      </w:r>
      <w:r>
        <w:rPr>
          <w:rFonts w:hint="eastAsia" w:ascii="仿宋" w:hAnsi="仿宋" w:eastAsia="仿宋" w:cs="仿宋"/>
          <w:b/>
          <w:bCs/>
          <w:sz w:val="32"/>
          <w:szCs w:val="32"/>
          <w:lang w:eastAsia="zh-CN"/>
        </w:rPr>
        <w:t>：</w:t>
      </w:r>
    </w:p>
    <w:p w14:paraId="5E1DD924">
      <w:pPr>
        <w:keepNext w:val="0"/>
        <w:keepLines w:val="0"/>
        <w:widowControl/>
        <w:suppressLineNumbers w:val="0"/>
        <w:ind w:firstLine="620" w:firstLineChars="200"/>
        <w:jc w:val="left"/>
        <w:rPr>
          <w:rFonts w:hint="eastAsia" w:ascii="仿宋" w:hAnsi="仿宋" w:eastAsia="仿宋" w:cs="仿宋"/>
          <w:sz w:val="32"/>
          <w:szCs w:val="32"/>
        </w:rPr>
      </w:pPr>
      <w:r>
        <w:rPr>
          <w:rFonts w:ascii="仿宋" w:hAnsi="仿宋" w:eastAsia="仿宋" w:cs="仿宋"/>
          <w:color w:val="000000"/>
          <w:kern w:val="0"/>
          <w:sz w:val="31"/>
          <w:szCs w:val="31"/>
          <w:lang w:val="en-US" w:eastAsia="zh-CN" w:bidi="ar"/>
        </w:rPr>
        <w:t>位于含山县铜</w:t>
      </w:r>
      <w:r>
        <w:rPr>
          <w:rFonts w:hint="eastAsia" w:ascii="仿宋" w:hAnsi="仿宋" w:eastAsia="仿宋" w:cs="仿宋"/>
          <w:color w:val="000000"/>
          <w:kern w:val="0"/>
          <w:sz w:val="31"/>
          <w:szCs w:val="31"/>
          <w:lang w:val="en-US" w:eastAsia="zh-CN" w:bidi="ar"/>
        </w:rPr>
        <w:t>闸镇工业园区的一宗</w:t>
      </w:r>
      <w:bookmarkStart w:id="0" w:name="_GoBack"/>
      <w:bookmarkEnd w:id="0"/>
      <w:r>
        <w:rPr>
          <w:rFonts w:hint="eastAsia" w:ascii="仿宋" w:hAnsi="仿宋" w:eastAsia="仿宋" w:cs="仿宋"/>
          <w:color w:val="000000"/>
          <w:kern w:val="0"/>
          <w:sz w:val="31"/>
          <w:szCs w:val="31"/>
          <w:lang w:val="en-US" w:eastAsia="zh-CN" w:bidi="ar"/>
        </w:rPr>
        <w:t>约（17.79亩）工业土地使用权、房屋建筑物、附属物、及设备等（不包括债权债务、特许经营权、排污许可证等其他财产或权益），具体详见评估报告。</w:t>
      </w:r>
    </w:p>
    <w:p w14:paraId="7DAEEA3F">
      <w:pPr>
        <w:keepNext w:val="0"/>
        <w:keepLines w:val="0"/>
        <w:pageBreakBefore w:val="0"/>
        <w:widowControl/>
        <w:numPr>
          <w:ilvl w:val="0"/>
          <w:numId w:val="0"/>
        </w:numPr>
        <w:kinsoku/>
        <w:wordWrap w:val="0"/>
        <w:overflowPunct/>
        <w:topLinePunct w:val="0"/>
        <w:autoSpaceDN/>
        <w:bidi w:val="0"/>
        <w:adjustRightInd w:val="0"/>
        <w:snapToGrid w:val="0"/>
        <w:spacing w:beforeAutospacing="0" w:afterAutospacing="0" w:line="560" w:lineRule="atLeas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t>1、</w:t>
      </w:r>
      <w:r>
        <w:rPr>
          <w:rFonts w:hint="eastAsia" w:ascii="仿宋" w:hAnsi="仿宋" w:eastAsia="仿宋" w:cs="仿宋"/>
          <w:b w:val="0"/>
          <w:bCs w:val="0"/>
          <w:color w:val="000000" w:themeColor="text1"/>
          <w:sz w:val="28"/>
          <w:szCs w:val="28"/>
          <w:lang w:val="en-US" w:eastAsia="zh-CN"/>
          <w14:textFill>
            <w14:solidFill>
              <w14:schemeClr w14:val="tx1"/>
            </w14:solidFill>
          </w14:textFill>
        </w:rPr>
        <w:t>土地使用权</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1956"/>
        <w:gridCol w:w="2094"/>
        <w:gridCol w:w="1943"/>
        <w:gridCol w:w="750"/>
        <w:gridCol w:w="715"/>
        <w:gridCol w:w="1086"/>
      </w:tblGrid>
      <w:tr w14:paraId="14870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349" w:type="pct"/>
            <w:vAlign w:val="center"/>
          </w:tcPr>
          <w:p w14:paraId="0FA7754F">
            <w:pPr>
              <w:pStyle w:val="2"/>
              <w:numPr>
                <w:ilvl w:val="0"/>
                <w:numId w:val="0"/>
              </w:numPr>
              <w:jc w:val="center"/>
              <w:rPr>
                <w:rFonts w:hint="eastAsia" w:eastAsia="仿宋"/>
                <w:sz w:val="21"/>
                <w:szCs w:val="21"/>
                <w:vertAlign w:val="baseline"/>
                <w:lang w:val="en-US" w:eastAsia="zh-CN"/>
              </w:rPr>
            </w:pPr>
            <w:r>
              <w:rPr>
                <w:rFonts w:hint="eastAsia"/>
                <w:sz w:val="21"/>
                <w:szCs w:val="21"/>
                <w:vertAlign w:val="baseline"/>
                <w:lang w:val="en-US" w:eastAsia="zh-CN"/>
              </w:rPr>
              <w:t>序号</w:t>
            </w:r>
          </w:p>
        </w:tc>
        <w:tc>
          <w:tcPr>
            <w:tcW w:w="1064" w:type="pct"/>
            <w:vAlign w:val="center"/>
          </w:tcPr>
          <w:p w14:paraId="6E92882B">
            <w:pPr>
              <w:pStyle w:val="2"/>
              <w:numPr>
                <w:ilvl w:val="0"/>
                <w:numId w:val="0"/>
              </w:numPr>
              <w:jc w:val="center"/>
              <w:rPr>
                <w:rFonts w:hint="default" w:eastAsia="仿宋"/>
                <w:sz w:val="21"/>
                <w:szCs w:val="21"/>
                <w:vertAlign w:val="baseline"/>
                <w:lang w:val="en-US" w:eastAsia="zh-CN"/>
              </w:rPr>
            </w:pPr>
            <w:r>
              <w:rPr>
                <w:rFonts w:hint="eastAsia"/>
                <w:sz w:val="21"/>
                <w:szCs w:val="21"/>
                <w:vertAlign w:val="baseline"/>
                <w:lang w:val="en-US" w:eastAsia="zh-CN"/>
              </w:rPr>
              <w:t>土地使用证号</w:t>
            </w:r>
          </w:p>
        </w:tc>
        <w:tc>
          <w:tcPr>
            <w:tcW w:w="1139" w:type="pct"/>
            <w:vAlign w:val="center"/>
          </w:tcPr>
          <w:p w14:paraId="799DEB7C">
            <w:pPr>
              <w:pStyle w:val="2"/>
              <w:numPr>
                <w:ilvl w:val="0"/>
                <w:numId w:val="0"/>
              </w:numPr>
              <w:jc w:val="center"/>
              <w:rPr>
                <w:rFonts w:hint="default" w:eastAsia="仿宋"/>
                <w:sz w:val="21"/>
                <w:szCs w:val="21"/>
                <w:vertAlign w:val="baseline"/>
                <w:lang w:val="en-US" w:eastAsia="zh-CN"/>
              </w:rPr>
            </w:pPr>
            <w:r>
              <w:rPr>
                <w:rFonts w:hint="eastAsia"/>
                <w:sz w:val="21"/>
                <w:szCs w:val="21"/>
                <w:vertAlign w:val="baseline"/>
                <w:lang w:val="en-US" w:eastAsia="zh-CN"/>
              </w:rPr>
              <w:t>坐落</w:t>
            </w:r>
          </w:p>
        </w:tc>
        <w:tc>
          <w:tcPr>
            <w:tcW w:w="1057" w:type="pct"/>
            <w:vAlign w:val="center"/>
          </w:tcPr>
          <w:p w14:paraId="025D17F3">
            <w:pPr>
              <w:pStyle w:val="2"/>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使用期限</w:t>
            </w:r>
          </w:p>
        </w:tc>
        <w:tc>
          <w:tcPr>
            <w:tcW w:w="408" w:type="pct"/>
            <w:vAlign w:val="center"/>
          </w:tcPr>
          <w:p w14:paraId="7946035B">
            <w:pPr>
              <w:pStyle w:val="2"/>
              <w:numPr>
                <w:ilvl w:val="0"/>
                <w:numId w:val="0"/>
              </w:numPr>
              <w:jc w:val="center"/>
              <w:rPr>
                <w:rFonts w:hint="default" w:eastAsia="仿宋"/>
                <w:sz w:val="21"/>
                <w:szCs w:val="21"/>
                <w:vertAlign w:val="baseline"/>
                <w:lang w:val="en-US" w:eastAsia="zh-CN"/>
              </w:rPr>
            </w:pPr>
            <w:r>
              <w:rPr>
                <w:rFonts w:hint="eastAsia" w:ascii="仿宋" w:hAnsi="仿宋" w:cs="仿宋"/>
                <w:color w:val="000000"/>
                <w:kern w:val="0"/>
                <w:sz w:val="18"/>
                <w:szCs w:val="18"/>
                <w:lang w:val="en-US" w:eastAsia="zh-CN" w:bidi="ar"/>
              </w:rPr>
              <w:t>使用权类型</w:t>
            </w:r>
          </w:p>
        </w:tc>
        <w:tc>
          <w:tcPr>
            <w:tcW w:w="389" w:type="pct"/>
            <w:vAlign w:val="center"/>
          </w:tcPr>
          <w:p w14:paraId="11F31551">
            <w:pPr>
              <w:pStyle w:val="2"/>
              <w:numPr>
                <w:ilvl w:val="0"/>
                <w:numId w:val="0"/>
              </w:numPr>
              <w:jc w:val="center"/>
              <w:rPr>
                <w:rFonts w:hint="default" w:eastAsia="仿宋"/>
                <w:sz w:val="21"/>
                <w:szCs w:val="21"/>
                <w:vertAlign w:val="baseline"/>
                <w:lang w:val="en-US" w:eastAsia="zh-CN"/>
              </w:rPr>
            </w:pPr>
            <w:r>
              <w:rPr>
                <w:rFonts w:hint="eastAsia" w:ascii="仿宋" w:hAnsi="仿宋" w:cs="仿宋"/>
                <w:color w:val="000000"/>
                <w:kern w:val="0"/>
                <w:sz w:val="18"/>
                <w:szCs w:val="18"/>
                <w:lang w:val="en-US" w:eastAsia="zh-CN" w:bidi="ar"/>
              </w:rPr>
              <w:t>用途</w:t>
            </w:r>
          </w:p>
        </w:tc>
        <w:tc>
          <w:tcPr>
            <w:tcW w:w="591" w:type="pct"/>
            <w:vAlign w:val="center"/>
          </w:tcPr>
          <w:p w14:paraId="5FC439A6">
            <w:pPr>
              <w:pStyle w:val="2"/>
              <w:numPr>
                <w:ilvl w:val="0"/>
                <w:numId w:val="0"/>
              </w:numPr>
              <w:jc w:val="center"/>
              <w:rPr>
                <w:rFonts w:hint="default" w:eastAsia="仿宋"/>
                <w:sz w:val="21"/>
                <w:szCs w:val="21"/>
                <w:vertAlign w:val="baseline"/>
                <w:lang w:val="en-US" w:eastAsia="zh-CN"/>
              </w:rPr>
            </w:pPr>
            <w:r>
              <w:rPr>
                <w:rFonts w:hint="eastAsia" w:ascii="仿宋" w:hAnsi="仿宋" w:cs="仿宋"/>
                <w:color w:val="000000"/>
                <w:kern w:val="0"/>
                <w:sz w:val="18"/>
                <w:szCs w:val="18"/>
                <w:lang w:val="en-US" w:eastAsia="zh-CN" w:bidi="ar"/>
              </w:rPr>
              <w:t>使用面积（㎡）</w:t>
            </w:r>
          </w:p>
        </w:tc>
      </w:tr>
      <w:tr w14:paraId="0D85C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349" w:type="pct"/>
            <w:vAlign w:val="center"/>
          </w:tcPr>
          <w:p w14:paraId="0CD8518C">
            <w:pPr>
              <w:pStyle w:val="2"/>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1</w:t>
            </w:r>
          </w:p>
        </w:tc>
        <w:tc>
          <w:tcPr>
            <w:tcW w:w="1064" w:type="pct"/>
            <w:shd w:val="clear" w:color="auto" w:fill="auto"/>
            <w:vAlign w:val="center"/>
          </w:tcPr>
          <w:p w14:paraId="212E99CC">
            <w:pPr>
              <w:pStyle w:val="2"/>
              <w:numPr>
                <w:ilvl w:val="0"/>
                <w:numId w:val="0"/>
              </w:numPr>
              <w:ind w:left="0" w:leftChars="0" w:firstLine="0" w:firstLineChars="0"/>
              <w:jc w:val="center"/>
              <w:rPr>
                <w:rFonts w:hint="default" w:ascii="宋体" w:hAnsi="宋体" w:eastAsia="仿宋" w:cs="Times New Roman"/>
                <w:kern w:val="2"/>
                <w:sz w:val="21"/>
                <w:szCs w:val="21"/>
                <w:vertAlign w:val="baseline"/>
                <w:lang w:val="en-US" w:eastAsia="zh-CN" w:bidi="ar-SA"/>
              </w:rPr>
            </w:pPr>
            <w:r>
              <w:rPr>
                <w:rFonts w:hint="eastAsia" w:cs="Times New Roman"/>
                <w:kern w:val="2"/>
                <w:sz w:val="21"/>
                <w:szCs w:val="21"/>
                <w:vertAlign w:val="baseline"/>
                <w:lang w:val="en-US" w:eastAsia="zh-CN" w:bidi="ar-SA"/>
              </w:rPr>
              <w:t>含国用（2012）第02149号）</w:t>
            </w:r>
          </w:p>
        </w:tc>
        <w:tc>
          <w:tcPr>
            <w:tcW w:w="1139" w:type="pct"/>
            <w:shd w:val="clear" w:color="auto" w:fill="auto"/>
            <w:vAlign w:val="center"/>
          </w:tcPr>
          <w:p w14:paraId="38A20F10">
            <w:pPr>
              <w:pStyle w:val="2"/>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含山县铜闸镇工业园</w:t>
            </w:r>
          </w:p>
        </w:tc>
        <w:tc>
          <w:tcPr>
            <w:tcW w:w="1057" w:type="pct"/>
            <w:shd w:val="clear" w:color="auto" w:fill="auto"/>
            <w:vAlign w:val="center"/>
          </w:tcPr>
          <w:p w14:paraId="22640CCC">
            <w:pPr>
              <w:pStyle w:val="2"/>
              <w:numPr>
                <w:ilvl w:val="0"/>
                <w:numId w:val="0"/>
              </w:numPr>
              <w:jc w:val="center"/>
              <w:rPr>
                <w:rFonts w:hint="eastAsia"/>
                <w:sz w:val="21"/>
                <w:szCs w:val="21"/>
                <w:vertAlign w:val="baseline"/>
                <w:lang w:val="en-US" w:eastAsia="zh-CN"/>
              </w:rPr>
            </w:pPr>
            <w:r>
              <w:rPr>
                <w:rFonts w:hint="eastAsia"/>
                <w:sz w:val="21"/>
                <w:szCs w:val="21"/>
                <w:vertAlign w:val="baseline"/>
                <w:lang w:val="en-US" w:eastAsia="zh-CN"/>
              </w:rPr>
              <w:t>2061年8月30日止</w:t>
            </w:r>
          </w:p>
        </w:tc>
        <w:tc>
          <w:tcPr>
            <w:tcW w:w="408" w:type="pct"/>
            <w:shd w:val="clear" w:color="auto" w:fill="auto"/>
            <w:vAlign w:val="center"/>
          </w:tcPr>
          <w:p w14:paraId="031095EA">
            <w:pPr>
              <w:pStyle w:val="2"/>
              <w:numPr>
                <w:ilvl w:val="0"/>
                <w:numId w:val="0"/>
              </w:numPr>
              <w:jc w:val="center"/>
              <w:rPr>
                <w:rFonts w:hint="eastAsia"/>
                <w:sz w:val="21"/>
                <w:szCs w:val="21"/>
                <w:vertAlign w:val="baseline"/>
                <w:lang w:val="en-US" w:eastAsia="zh-CN"/>
              </w:rPr>
            </w:pPr>
            <w:r>
              <w:rPr>
                <w:rFonts w:hint="eastAsia"/>
                <w:sz w:val="21"/>
                <w:szCs w:val="21"/>
                <w:vertAlign w:val="baseline"/>
                <w:lang w:val="en-US" w:eastAsia="zh-CN"/>
              </w:rPr>
              <w:t>出让</w:t>
            </w:r>
          </w:p>
        </w:tc>
        <w:tc>
          <w:tcPr>
            <w:tcW w:w="389" w:type="pct"/>
            <w:vAlign w:val="center"/>
          </w:tcPr>
          <w:p w14:paraId="107E2303">
            <w:pPr>
              <w:pStyle w:val="2"/>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工业</w:t>
            </w:r>
          </w:p>
        </w:tc>
        <w:tc>
          <w:tcPr>
            <w:tcW w:w="591" w:type="pct"/>
            <w:vAlign w:val="center"/>
          </w:tcPr>
          <w:p w14:paraId="4F106E2F">
            <w:pPr>
              <w:pStyle w:val="2"/>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11863.00</w:t>
            </w:r>
          </w:p>
        </w:tc>
      </w:tr>
    </w:tbl>
    <w:p w14:paraId="3F799F61">
      <w:pPr>
        <w:keepNext w:val="0"/>
        <w:keepLines w:val="0"/>
        <w:pageBreakBefore w:val="0"/>
        <w:widowControl/>
        <w:numPr>
          <w:ilvl w:val="0"/>
          <w:numId w:val="0"/>
        </w:numPr>
        <w:kinsoku/>
        <w:wordWrap w:val="0"/>
        <w:overflowPunct/>
        <w:topLinePunct w:val="0"/>
        <w:autoSpaceDN/>
        <w:bidi w:val="0"/>
        <w:adjustRightInd w:val="0"/>
        <w:snapToGrid w:val="0"/>
        <w:spacing w:beforeAutospacing="0" w:afterAutospacing="0" w:line="560" w:lineRule="atLeast"/>
        <w:ind w:firstLine="560" w:firstLineChars="200"/>
        <w:jc w:val="both"/>
        <w:textAlignment w:val="auto"/>
        <w:rPr>
          <w:rFonts w:hint="eastAsia" w:ascii="仿宋" w:hAnsi="仿宋" w:eastAsia="仿宋" w:cs="仿宋"/>
          <w:b w:val="0"/>
          <w:bCs w:val="0"/>
          <w:color w:val="000000" w:themeColor="text1"/>
          <w:sz w:val="28"/>
          <w:szCs w:val="28"/>
          <w:lang w:eastAsia="zh-CN"/>
          <w14:textFill>
            <w14:solidFill>
              <w14:schemeClr w14:val="tx1"/>
            </w14:solidFill>
          </w14:textFill>
        </w:rPr>
      </w:pPr>
      <w:r>
        <w:rPr>
          <w:rFonts w:hint="eastAsia" w:ascii="仿宋" w:hAnsi="仿宋" w:eastAsia="仿宋" w:cs="仿宋"/>
          <w:b w:val="0"/>
          <w:bCs w:val="0"/>
          <w:color w:val="000000" w:themeColor="text1"/>
          <w:kern w:val="2"/>
          <w:sz w:val="28"/>
          <w:szCs w:val="28"/>
          <w:lang w:val="en-US" w:eastAsia="zh-CN" w:bidi="ar-SA"/>
          <w14:textFill>
            <w14:solidFill>
              <w14:schemeClr w14:val="tx1"/>
            </w14:solidFill>
          </w14:textFill>
        </w:rPr>
        <w:t>2、</w:t>
      </w:r>
      <w:r>
        <w:rPr>
          <w:rFonts w:hint="eastAsia" w:ascii="仿宋" w:hAnsi="仿宋" w:eastAsia="仿宋" w:cs="仿宋"/>
          <w:b w:val="0"/>
          <w:bCs w:val="0"/>
          <w:color w:val="000000" w:themeColor="text1"/>
          <w:sz w:val="28"/>
          <w:szCs w:val="28"/>
          <w:lang w:val="en-US" w:eastAsia="zh-CN"/>
          <w14:textFill>
            <w14:solidFill>
              <w14:schemeClr w14:val="tx1"/>
            </w14:solidFill>
          </w14:textFill>
        </w:rPr>
        <w:t>建筑物</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0"/>
        <w:gridCol w:w="3436"/>
        <w:gridCol w:w="1300"/>
        <w:gridCol w:w="1316"/>
        <w:gridCol w:w="1116"/>
        <w:gridCol w:w="1427"/>
      </w:tblGrid>
      <w:tr w14:paraId="71AF3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321" w:type="pct"/>
            <w:vAlign w:val="center"/>
          </w:tcPr>
          <w:p w14:paraId="20655A95">
            <w:pPr>
              <w:pStyle w:val="2"/>
              <w:numPr>
                <w:ilvl w:val="0"/>
                <w:numId w:val="0"/>
              </w:numPr>
              <w:jc w:val="center"/>
              <w:rPr>
                <w:rFonts w:hint="eastAsia" w:eastAsia="仿宋"/>
                <w:sz w:val="21"/>
                <w:szCs w:val="21"/>
                <w:vertAlign w:val="baseline"/>
                <w:lang w:val="en-US" w:eastAsia="zh-CN"/>
              </w:rPr>
            </w:pPr>
            <w:r>
              <w:rPr>
                <w:rFonts w:hint="eastAsia"/>
                <w:sz w:val="21"/>
                <w:szCs w:val="21"/>
                <w:vertAlign w:val="baseline"/>
                <w:lang w:val="en-US" w:eastAsia="zh-CN"/>
              </w:rPr>
              <w:t>序号</w:t>
            </w:r>
          </w:p>
        </w:tc>
        <w:tc>
          <w:tcPr>
            <w:tcW w:w="1869" w:type="pct"/>
            <w:vAlign w:val="center"/>
          </w:tcPr>
          <w:p w14:paraId="4260107F">
            <w:pPr>
              <w:pStyle w:val="2"/>
              <w:numPr>
                <w:ilvl w:val="0"/>
                <w:numId w:val="0"/>
              </w:numPr>
              <w:jc w:val="center"/>
              <w:rPr>
                <w:rFonts w:hint="default" w:eastAsia="仿宋"/>
                <w:sz w:val="21"/>
                <w:szCs w:val="21"/>
                <w:vertAlign w:val="baseline"/>
                <w:lang w:val="en-US" w:eastAsia="zh-CN"/>
              </w:rPr>
            </w:pPr>
            <w:r>
              <w:rPr>
                <w:rFonts w:hint="eastAsia"/>
                <w:sz w:val="21"/>
                <w:szCs w:val="21"/>
                <w:vertAlign w:val="baseline"/>
                <w:lang w:val="en-US" w:eastAsia="zh-CN"/>
              </w:rPr>
              <w:t>房地产权证号</w:t>
            </w:r>
          </w:p>
        </w:tc>
        <w:tc>
          <w:tcPr>
            <w:tcW w:w="707" w:type="pct"/>
            <w:vAlign w:val="center"/>
          </w:tcPr>
          <w:p w14:paraId="3B3E5853">
            <w:pPr>
              <w:pStyle w:val="2"/>
              <w:numPr>
                <w:ilvl w:val="0"/>
                <w:numId w:val="0"/>
              </w:numPr>
              <w:jc w:val="center"/>
              <w:rPr>
                <w:rFonts w:hint="default" w:eastAsia="仿宋"/>
                <w:sz w:val="21"/>
                <w:szCs w:val="21"/>
                <w:vertAlign w:val="baseline"/>
                <w:lang w:val="en-US" w:eastAsia="zh-CN"/>
              </w:rPr>
            </w:pPr>
            <w:r>
              <w:rPr>
                <w:rFonts w:hint="eastAsia"/>
                <w:sz w:val="21"/>
                <w:szCs w:val="21"/>
                <w:vertAlign w:val="baseline"/>
                <w:lang w:val="en-US" w:eastAsia="zh-CN"/>
              </w:rPr>
              <w:t>房屋用途</w:t>
            </w:r>
          </w:p>
        </w:tc>
        <w:tc>
          <w:tcPr>
            <w:tcW w:w="716" w:type="pct"/>
            <w:vAlign w:val="center"/>
          </w:tcPr>
          <w:p w14:paraId="26A7271E">
            <w:pPr>
              <w:pStyle w:val="2"/>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结构</w:t>
            </w:r>
          </w:p>
        </w:tc>
        <w:tc>
          <w:tcPr>
            <w:tcW w:w="607" w:type="pct"/>
            <w:vAlign w:val="center"/>
          </w:tcPr>
          <w:p w14:paraId="707723A9">
            <w:pPr>
              <w:pStyle w:val="2"/>
              <w:numPr>
                <w:ilvl w:val="0"/>
                <w:numId w:val="0"/>
              </w:numPr>
              <w:jc w:val="center"/>
              <w:rPr>
                <w:rFonts w:hint="default" w:eastAsia="仿宋"/>
                <w:sz w:val="21"/>
                <w:szCs w:val="21"/>
                <w:vertAlign w:val="baseline"/>
                <w:lang w:val="en-US" w:eastAsia="zh-CN"/>
              </w:rPr>
            </w:pPr>
            <w:r>
              <w:rPr>
                <w:rFonts w:hint="eastAsia"/>
                <w:sz w:val="21"/>
                <w:szCs w:val="21"/>
                <w:vertAlign w:val="baseline"/>
                <w:lang w:val="en-US" w:eastAsia="zh-CN"/>
              </w:rPr>
              <w:t>层数/层次</w:t>
            </w:r>
          </w:p>
        </w:tc>
        <w:tc>
          <w:tcPr>
            <w:tcW w:w="776" w:type="pct"/>
            <w:vAlign w:val="center"/>
          </w:tcPr>
          <w:p w14:paraId="76BE52CE">
            <w:pPr>
              <w:pStyle w:val="2"/>
              <w:numPr>
                <w:ilvl w:val="0"/>
                <w:numId w:val="0"/>
              </w:numPr>
              <w:jc w:val="center"/>
              <w:rPr>
                <w:rFonts w:hint="eastAsia" w:eastAsia="仿宋"/>
                <w:sz w:val="21"/>
                <w:szCs w:val="21"/>
                <w:vertAlign w:val="baseline"/>
                <w:lang w:val="en-US" w:eastAsia="zh-CN"/>
              </w:rPr>
            </w:pPr>
            <w:r>
              <w:rPr>
                <w:rFonts w:hint="eastAsia"/>
                <w:sz w:val="21"/>
                <w:szCs w:val="21"/>
                <w:vertAlign w:val="baseline"/>
                <w:lang w:val="en-US" w:eastAsia="zh-CN"/>
              </w:rPr>
              <w:t>建筑面积（㎡）</w:t>
            </w:r>
          </w:p>
        </w:tc>
      </w:tr>
      <w:tr w14:paraId="534EE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321" w:type="pct"/>
            <w:vAlign w:val="top"/>
          </w:tcPr>
          <w:p w14:paraId="6FFAC23A">
            <w:pPr>
              <w:pStyle w:val="2"/>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1</w:t>
            </w:r>
          </w:p>
        </w:tc>
        <w:tc>
          <w:tcPr>
            <w:tcW w:w="1869" w:type="pct"/>
            <w:shd w:val="clear" w:color="auto" w:fill="auto"/>
            <w:vAlign w:val="top"/>
          </w:tcPr>
          <w:p w14:paraId="03F68A42">
            <w:pPr>
              <w:pStyle w:val="2"/>
              <w:numPr>
                <w:ilvl w:val="0"/>
                <w:numId w:val="0"/>
              </w:numPr>
              <w:ind w:left="0" w:leftChars="0" w:firstLine="0" w:firstLineChars="0"/>
              <w:jc w:val="center"/>
              <w:rPr>
                <w:rFonts w:hint="default" w:ascii="宋体" w:hAnsi="宋体" w:eastAsia="仿宋" w:cs="Times New Roman"/>
                <w:kern w:val="2"/>
                <w:sz w:val="21"/>
                <w:szCs w:val="21"/>
                <w:vertAlign w:val="baseline"/>
                <w:lang w:val="en-US" w:eastAsia="zh-CN" w:bidi="ar-SA"/>
              </w:rPr>
            </w:pPr>
            <w:r>
              <w:rPr>
                <w:rFonts w:hint="eastAsia"/>
                <w:sz w:val="21"/>
                <w:szCs w:val="21"/>
                <w:vertAlign w:val="baseline"/>
                <w:lang w:val="en-US" w:eastAsia="zh-CN"/>
              </w:rPr>
              <w:t>含山县房地产证铜闸字第14004706号</w:t>
            </w:r>
          </w:p>
        </w:tc>
        <w:tc>
          <w:tcPr>
            <w:tcW w:w="707" w:type="pct"/>
            <w:shd w:val="clear" w:color="auto" w:fill="auto"/>
            <w:vAlign w:val="top"/>
          </w:tcPr>
          <w:p w14:paraId="1009BC95">
            <w:pPr>
              <w:pStyle w:val="2"/>
              <w:numPr>
                <w:ilvl w:val="0"/>
                <w:numId w:val="0"/>
              </w:numPr>
              <w:ind w:left="0" w:leftChars="0" w:firstLine="0" w:firstLineChars="0"/>
              <w:jc w:val="center"/>
              <w:rPr>
                <w:rFonts w:hint="eastAsia" w:ascii="宋体" w:hAnsi="宋体" w:eastAsia="仿宋" w:cs="Times New Roman"/>
                <w:kern w:val="2"/>
                <w:sz w:val="21"/>
                <w:szCs w:val="21"/>
                <w:vertAlign w:val="baseline"/>
                <w:lang w:val="en-US" w:eastAsia="zh-CN" w:bidi="ar-SA"/>
              </w:rPr>
            </w:pPr>
            <w:r>
              <w:rPr>
                <w:rFonts w:hint="eastAsia" w:ascii="仿宋" w:hAnsi="仿宋" w:cs="仿宋"/>
                <w:spacing w:val="6"/>
                <w:sz w:val="21"/>
                <w:szCs w:val="21"/>
                <w:lang w:val="en-US" w:eastAsia="zh-CN"/>
              </w:rPr>
              <w:t>工业、办公</w:t>
            </w:r>
          </w:p>
        </w:tc>
        <w:tc>
          <w:tcPr>
            <w:tcW w:w="716" w:type="pct"/>
            <w:shd w:val="clear" w:color="auto" w:fill="auto"/>
            <w:vAlign w:val="top"/>
          </w:tcPr>
          <w:p w14:paraId="28CB0BDB">
            <w:pPr>
              <w:pStyle w:val="2"/>
              <w:numPr>
                <w:ilvl w:val="0"/>
                <w:numId w:val="0"/>
              </w:numPr>
              <w:ind w:left="0" w:leftChars="0" w:firstLine="0" w:firstLineChars="0"/>
              <w:jc w:val="center"/>
              <w:rPr>
                <w:rFonts w:hint="default" w:ascii="宋体" w:hAnsi="宋体" w:eastAsia="仿宋" w:cs="Times New Roman"/>
                <w:kern w:val="2"/>
                <w:sz w:val="21"/>
                <w:szCs w:val="21"/>
                <w:vertAlign w:val="baseline"/>
                <w:lang w:val="en-US" w:eastAsia="zh-CN" w:bidi="ar-SA"/>
              </w:rPr>
            </w:pPr>
            <w:r>
              <w:rPr>
                <w:rFonts w:hint="eastAsia"/>
                <w:sz w:val="21"/>
                <w:szCs w:val="21"/>
                <w:vertAlign w:val="baseline"/>
                <w:lang w:val="en-US" w:eastAsia="zh-CN"/>
              </w:rPr>
              <w:t>钢构、混合</w:t>
            </w:r>
          </w:p>
        </w:tc>
        <w:tc>
          <w:tcPr>
            <w:tcW w:w="607" w:type="pct"/>
            <w:shd w:val="clear" w:color="auto" w:fill="auto"/>
            <w:vAlign w:val="top"/>
          </w:tcPr>
          <w:p w14:paraId="33210E92">
            <w:pPr>
              <w:pStyle w:val="2"/>
              <w:numPr>
                <w:ilvl w:val="0"/>
                <w:numId w:val="0"/>
              </w:numPr>
              <w:ind w:left="0" w:leftChars="0" w:firstLine="0" w:firstLineChars="0"/>
              <w:jc w:val="center"/>
              <w:rPr>
                <w:rFonts w:hint="default" w:ascii="宋体" w:hAnsi="宋体" w:eastAsia="仿宋" w:cs="Times New Roman"/>
                <w:kern w:val="2"/>
                <w:sz w:val="21"/>
                <w:szCs w:val="21"/>
                <w:vertAlign w:val="baseline"/>
                <w:lang w:val="en-US" w:eastAsia="zh-CN" w:bidi="ar-SA"/>
              </w:rPr>
            </w:pPr>
            <w:r>
              <w:rPr>
                <w:rFonts w:hint="eastAsia"/>
                <w:sz w:val="21"/>
                <w:szCs w:val="21"/>
                <w:vertAlign w:val="baseline"/>
                <w:lang w:val="en-US" w:eastAsia="zh-CN"/>
              </w:rPr>
              <w:t>1-2/2</w:t>
            </w:r>
          </w:p>
        </w:tc>
        <w:tc>
          <w:tcPr>
            <w:tcW w:w="776" w:type="pct"/>
            <w:vAlign w:val="top"/>
          </w:tcPr>
          <w:p w14:paraId="3EFD2457">
            <w:pPr>
              <w:pStyle w:val="2"/>
              <w:numPr>
                <w:ilvl w:val="0"/>
                <w:numId w:val="0"/>
              </w:numPr>
              <w:jc w:val="center"/>
              <w:rPr>
                <w:rFonts w:hint="default"/>
                <w:sz w:val="21"/>
                <w:szCs w:val="21"/>
                <w:vertAlign w:val="baseline"/>
                <w:lang w:val="en-US" w:eastAsia="zh-CN"/>
              </w:rPr>
            </w:pPr>
            <w:r>
              <w:rPr>
                <w:rFonts w:hint="eastAsia"/>
                <w:sz w:val="21"/>
                <w:szCs w:val="21"/>
                <w:vertAlign w:val="baseline"/>
                <w:lang w:val="en-US" w:eastAsia="zh-CN"/>
              </w:rPr>
              <w:t>5476.89</w:t>
            </w:r>
          </w:p>
        </w:tc>
      </w:tr>
      <w:tr w14:paraId="4C19B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321" w:type="pct"/>
            <w:vAlign w:val="top"/>
          </w:tcPr>
          <w:p w14:paraId="23134B94">
            <w:pPr>
              <w:pStyle w:val="2"/>
              <w:numPr>
                <w:ilvl w:val="0"/>
                <w:numId w:val="0"/>
              </w:numPr>
              <w:jc w:val="center"/>
              <w:rPr>
                <w:rFonts w:hint="eastAsia" w:eastAsia="仿宋"/>
                <w:sz w:val="21"/>
                <w:szCs w:val="21"/>
                <w:vertAlign w:val="baseline"/>
                <w:lang w:val="en-US" w:eastAsia="zh-CN"/>
              </w:rPr>
            </w:pPr>
            <w:r>
              <w:rPr>
                <w:rFonts w:hint="eastAsia"/>
                <w:sz w:val="21"/>
                <w:szCs w:val="21"/>
                <w:vertAlign w:val="baseline"/>
                <w:lang w:val="en-US" w:eastAsia="zh-CN"/>
              </w:rPr>
              <w:t>2</w:t>
            </w:r>
          </w:p>
        </w:tc>
        <w:tc>
          <w:tcPr>
            <w:tcW w:w="1869" w:type="pct"/>
            <w:shd w:val="clear" w:color="auto" w:fill="auto"/>
            <w:vAlign w:val="top"/>
          </w:tcPr>
          <w:p w14:paraId="34513108">
            <w:pPr>
              <w:pStyle w:val="2"/>
              <w:numPr>
                <w:ilvl w:val="0"/>
                <w:numId w:val="0"/>
              </w:numPr>
              <w:ind w:left="0" w:leftChars="0" w:firstLine="0" w:firstLineChars="0"/>
              <w:jc w:val="center"/>
              <w:rPr>
                <w:rFonts w:hint="eastAsia" w:ascii="宋体" w:hAnsi="宋体" w:eastAsia="仿宋" w:cs="Times New Roman"/>
                <w:kern w:val="2"/>
                <w:sz w:val="21"/>
                <w:szCs w:val="21"/>
                <w:vertAlign w:val="baseline"/>
                <w:lang w:val="en-US" w:eastAsia="zh-CN" w:bidi="ar-SA"/>
              </w:rPr>
            </w:pPr>
            <w:r>
              <w:rPr>
                <w:rFonts w:hint="eastAsia"/>
                <w:sz w:val="21"/>
                <w:szCs w:val="21"/>
                <w:vertAlign w:val="baseline"/>
                <w:lang w:val="en-US" w:eastAsia="zh-CN"/>
              </w:rPr>
              <w:t>含山县房地产证铜闸字第16000357号</w:t>
            </w:r>
          </w:p>
        </w:tc>
        <w:tc>
          <w:tcPr>
            <w:tcW w:w="707" w:type="pct"/>
            <w:shd w:val="clear" w:color="auto" w:fill="auto"/>
            <w:vAlign w:val="top"/>
          </w:tcPr>
          <w:p w14:paraId="19478357">
            <w:pPr>
              <w:pStyle w:val="2"/>
              <w:numPr>
                <w:ilvl w:val="0"/>
                <w:numId w:val="0"/>
              </w:numPr>
              <w:ind w:left="0" w:leftChars="0" w:firstLine="0" w:firstLineChars="0"/>
              <w:jc w:val="center"/>
              <w:rPr>
                <w:rFonts w:ascii="宋体" w:hAnsi="宋体" w:eastAsia="仿宋" w:cs="Times New Roman"/>
                <w:kern w:val="2"/>
                <w:sz w:val="21"/>
                <w:szCs w:val="21"/>
                <w:vertAlign w:val="baseline"/>
                <w:lang w:val="en-US" w:eastAsia="zh-CN" w:bidi="ar-SA"/>
              </w:rPr>
            </w:pPr>
            <w:r>
              <w:rPr>
                <w:rFonts w:hint="eastAsia" w:ascii="仿宋" w:hAnsi="仿宋" w:cs="仿宋"/>
                <w:spacing w:val="6"/>
                <w:sz w:val="21"/>
                <w:szCs w:val="21"/>
                <w:lang w:val="en-US" w:eastAsia="zh-CN"/>
              </w:rPr>
              <w:t>综合</w:t>
            </w:r>
          </w:p>
        </w:tc>
        <w:tc>
          <w:tcPr>
            <w:tcW w:w="716" w:type="pct"/>
            <w:vAlign w:val="top"/>
          </w:tcPr>
          <w:p w14:paraId="75D235E2">
            <w:pPr>
              <w:pStyle w:val="2"/>
              <w:numPr>
                <w:ilvl w:val="0"/>
                <w:numId w:val="0"/>
              </w:numPr>
              <w:jc w:val="center"/>
              <w:rPr>
                <w:rFonts w:hint="default" w:eastAsia="仿宋"/>
                <w:sz w:val="21"/>
                <w:szCs w:val="21"/>
                <w:vertAlign w:val="baseline"/>
                <w:lang w:val="en-US" w:eastAsia="zh-CN"/>
              </w:rPr>
            </w:pPr>
            <w:r>
              <w:rPr>
                <w:rFonts w:hint="eastAsia"/>
                <w:sz w:val="21"/>
                <w:szCs w:val="21"/>
                <w:vertAlign w:val="baseline"/>
                <w:lang w:val="en-US" w:eastAsia="zh-CN"/>
              </w:rPr>
              <w:t>钢结构</w:t>
            </w:r>
          </w:p>
        </w:tc>
        <w:tc>
          <w:tcPr>
            <w:tcW w:w="607" w:type="pct"/>
            <w:vAlign w:val="top"/>
          </w:tcPr>
          <w:p w14:paraId="5B79D99D">
            <w:pPr>
              <w:pStyle w:val="2"/>
              <w:numPr>
                <w:ilvl w:val="0"/>
                <w:numId w:val="0"/>
              </w:numPr>
              <w:jc w:val="center"/>
              <w:rPr>
                <w:rFonts w:hint="default" w:eastAsia="仿宋"/>
                <w:sz w:val="21"/>
                <w:szCs w:val="21"/>
                <w:vertAlign w:val="baseline"/>
                <w:lang w:val="en-US" w:eastAsia="zh-CN"/>
              </w:rPr>
            </w:pPr>
            <w:r>
              <w:rPr>
                <w:rFonts w:hint="eastAsia"/>
                <w:sz w:val="21"/>
                <w:szCs w:val="21"/>
                <w:vertAlign w:val="baseline"/>
                <w:lang w:val="en-US" w:eastAsia="zh-CN"/>
              </w:rPr>
              <w:t>1-4/4</w:t>
            </w:r>
          </w:p>
        </w:tc>
        <w:tc>
          <w:tcPr>
            <w:tcW w:w="776" w:type="pct"/>
            <w:vAlign w:val="top"/>
          </w:tcPr>
          <w:p w14:paraId="36795D50">
            <w:pPr>
              <w:pStyle w:val="2"/>
              <w:numPr>
                <w:ilvl w:val="0"/>
                <w:numId w:val="0"/>
              </w:numPr>
              <w:jc w:val="center"/>
              <w:rPr>
                <w:rFonts w:hint="default" w:eastAsia="仿宋"/>
                <w:sz w:val="21"/>
                <w:szCs w:val="21"/>
                <w:vertAlign w:val="baseline"/>
                <w:lang w:val="en-US" w:eastAsia="zh-CN"/>
              </w:rPr>
            </w:pPr>
            <w:r>
              <w:rPr>
                <w:rFonts w:hint="eastAsia"/>
                <w:sz w:val="21"/>
                <w:szCs w:val="21"/>
                <w:vertAlign w:val="baseline"/>
                <w:lang w:val="en-US" w:eastAsia="zh-CN"/>
              </w:rPr>
              <w:t>2368.00</w:t>
            </w:r>
          </w:p>
        </w:tc>
      </w:tr>
    </w:tbl>
    <w:p w14:paraId="670E0C84">
      <w:pPr>
        <w:keepNext w:val="0"/>
        <w:keepLines w:val="0"/>
        <w:widowControl/>
        <w:suppressLineNumbers w:val="0"/>
        <w:jc w:val="left"/>
        <w:rPr>
          <w:rFonts w:hint="default"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 xml:space="preserve">    拍卖标的物概要清单</w:t>
      </w:r>
    </w:p>
    <w:tbl>
      <w:tblPr>
        <w:tblStyle w:val="4"/>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7"/>
        <w:gridCol w:w="3251"/>
        <w:gridCol w:w="5137"/>
      </w:tblGrid>
      <w:tr w14:paraId="5A4A5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jc w:val="center"/>
        </w:trPr>
        <w:tc>
          <w:tcPr>
            <w:tcW w:w="434" w:type="pct"/>
            <w:tcBorders>
              <w:top w:val="single" w:color="474747" w:sz="8" w:space="0"/>
              <w:left w:val="single" w:color="474747" w:sz="8" w:space="0"/>
              <w:bottom w:val="single" w:color="888E93" w:sz="8" w:space="0"/>
              <w:right w:val="single" w:color="888E93" w:sz="8" w:space="0"/>
            </w:tcBorders>
            <w:shd w:val="clear" w:color="auto" w:fill="FFFFFF"/>
            <w:vAlign w:val="top"/>
          </w:tcPr>
          <w:p w14:paraId="68555A71">
            <w:pPr>
              <w:keepNext w:val="0"/>
              <w:keepLines w:val="0"/>
              <w:widowControl/>
              <w:suppressLineNumbers w:val="0"/>
              <w:jc w:val="center"/>
              <w:textAlignment w:val="center"/>
              <w:rPr>
                <w:rFonts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序号</w:t>
            </w:r>
          </w:p>
        </w:tc>
        <w:tc>
          <w:tcPr>
            <w:tcW w:w="1769" w:type="pct"/>
            <w:tcBorders>
              <w:top w:val="single" w:color="474747" w:sz="8" w:space="0"/>
              <w:left w:val="single" w:color="888E93" w:sz="8" w:space="0"/>
              <w:bottom w:val="single" w:color="888E93" w:sz="8" w:space="0"/>
              <w:right w:val="single" w:color="888E93" w:sz="8" w:space="0"/>
            </w:tcBorders>
            <w:shd w:val="clear" w:color="auto" w:fill="FFFFFF"/>
            <w:vAlign w:val="top"/>
          </w:tcPr>
          <w:p w14:paraId="45311F7E">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项目</w:t>
            </w:r>
          </w:p>
        </w:tc>
        <w:tc>
          <w:tcPr>
            <w:tcW w:w="2795" w:type="pct"/>
            <w:tcBorders>
              <w:top w:val="single" w:color="474747" w:sz="8" w:space="0"/>
              <w:left w:val="single" w:color="888E93" w:sz="8" w:space="0"/>
              <w:bottom w:val="single" w:color="888E93" w:sz="8" w:space="0"/>
              <w:right w:val="single" w:color="474747" w:sz="8" w:space="0"/>
            </w:tcBorders>
            <w:shd w:val="clear" w:color="auto" w:fill="FFFFFF"/>
            <w:vAlign w:val="top"/>
          </w:tcPr>
          <w:p w14:paraId="731BAA1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备注</w:t>
            </w:r>
          </w:p>
        </w:tc>
      </w:tr>
      <w:tr w14:paraId="1E655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434" w:type="pct"/>
            <w:tcBorders>
              <w:top w:val="single" w:color="888E93" w:sz="8" w:space="0"/>
              <w:left w:val="single" w:color="474747" w:sz="8" w:space="0"/>
              <w:bottom w:val="single" w:color="888E93" w:sz="8" w:space="0"/>
              <w:right w:val="single" w:color="888E93" w:sz="8" w:space="0"/>
            </w:tcBorders>
            <w:shd w:val="clear" w:color="auto" w:fill="FFFFFF"/>
            <w:vAlign w:val="top"/>
          </w:tcPr>
          <w:p w14:paraId="5FF9F3E5">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1</w:t>
            </w:r>
          </w:p>
        </w:tc>
        <w:tc>
          <w:tcPr>
            <w:tcW w:w="1769" w:type="pct"/>
            <w:tcBorders>
              <w:top w:val="single" w:color="888E93" w:sz="8" w:space="0"/>
              <w:left w:val="single" w:color="888E93" w:sz="8" w:space="0"/>
              <w:bottom w:val="single" w:color="888E93" w:sz="8" w:space="0"/>
              <w:right w:val="single" w:color="888E93" w:sz="8" w:space="0"/>
            </w:tcBorders>
            <w:shd w:val="clear" w:color="auto" w:fill="FFFFFF"/>
            <w:vAlign w:val="top"/>
          </w:tcPr>
          <w:p w14:paraId="0D5BA37D">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工业房产</w:t>
            </w:r>
          </w:p>
        </w:tc>
        <w:tc>
          <w:tcPr>
            <w:tcW w:w="2795" w:type="pct"/>
            <w:tcBorders>
              <w:top w:val="single" w:color="888E93" w:sz="8" w:space="0"/>
              <w:left w:val="single" w:color="888E93" w:sz="8" w:space="0"/>
              <w:bottom w:val="single" w:color="888E93" w:sz="8" w:space="0"/>
              <w:right w:val="single" w:color="474747" w:sz="8" w:space="0"/>
            </w:tcBorders>
            <w:shd w:val="clear" w:color="auto" w:fill="FFFFFF"/>
            <w:vAlign w:val="top"/>
          </w:tcPr>
          <w:p w14:paraId="42EA948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含装饰装修</w:t>
            </w:r>
          </w:p>
        </w:tc>
      </w:tr>
      <w:tr w14:paraId="6C790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434" w:type="pct"/>
            <w:tcBorders>
              <w:top w:val="single" w:color="888E93" w:sz="8" w:space="0"/>
              <w:left w:val="single" w:color="474747" w:sz="8" w:space="0"/>
              <w:bottom w:val="single" w:color="888E93" w:sz="8" w:space="0"/>
              <w:right w:val="single" w:color="888E93" w:sz="8" w:space="0"/>
            </w:tcBorders>
            <w:shd w:val="clear" w:color="auto" w:fill="FFFFFF"/>
            <w:vAlign w:val="top"/>
          </w:tcPr>
          <w:p w14:paraId="6ADB263B">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2</w:t>
            </w:r>
          </w:p>
        </w:tc>
        <w:tc>
          <w:tcPr>
            <w:tcW w:w="1769" w:type="pct"/>
            <w:tcBorders>
              <w:top w:val="single" w:color="888E93" w:sz="8" w:space="0"/>
              <w:left w:val="single" w:color="888E93" w:sz="8" w:space="0"/>
              <w:bottom w:val="single" w:color="888E93" w:sz="8" w:space="0"/>
              <w:right w:val="single" w:color="888E93" w:sz="8" w:space="0"/>
            </w:tcBorders>
            <w:shd w:val="clear" w:color="auto" w:fill="FFFFFF"/>
            <w:vAlign w:val="top"/>
          </w:tcPr>
          <w:p w14:paraId="3BAF4630">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红线内构筑物、附属物</w:t>
            </w:r>
          </w:p>
        </w:tc>
        <w:tc>
          <w:tcPr>
            <w:tcW w:w="2795" w:type="pct"/>
            <w:tcBorders>
              <w:top w:val="single" w:color="888E93" w:sz="8" w:space="0"/>
              <w:left w:val="single" w:color="888E93" w:sz="8" w:space="0"/>
              <w:bottom w:val="single" w:color="888E93" w:sz="8" w:space="0"/>
              <w:right w:val="single" w:color="474747" w:sz="8" w:space="0"/>
            </w:tcBorders>
            <w:shd w:val="clear" w:color="auto" w:fill="FFFFFF"/>
            <w:vAlign w:val="top"/>
          </w:tcPr>
          <w:p w14:paraId="52CF4358">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围墙、道路、地坪等附属物</w:t>
            </w:r>
          </w:p>
        </w:tc>
      </w:tr>
      <w:tr w14:paraId="6609F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434" w:type="pct"/>
            <w:tcBorders>
              <w:top w:val="single" w:color="888E93" w:sz="8" w:space="0"/>
              <w:left w:val="single" w:color="474747" w:sz="8" w:space="0"/>
              <w:bottom w:val="single" w:color="888E93" w:sz="8" w:space="0"/>
              <w:right w:val="single" w:color="888E93" w:sz="8" w:space="0"/>
            </w:tcBorders>
            <w:shd w:val="clear" w:color="auto" w:fill="FFFFFF"/>
            <w:vAlign w:val="top"/>
          </w:tcPr>
          <w:p w14:paraId="6C5FF1DA">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3</w:t>
            </w:r>
          </w:p>
        </w:tc>
        <w:tc>
          <w:tcPr>
            <w:tcW w:w="1769" w:type="pct"/>
            <w:tcBorders>
              <w:top w:val="single" w:color="888E93" w:sz="8" w:space="0"/>
              <w:left w:val="single" w:color="888E93" w:sz="8" w:space="0"/>
              <w:bottom w:val="single" w:color="888E93" w:sz="8" w:space="0"/>
              <w:right w:val="single" w:color="888E93" w:sz="8" w:space="0"/>
            </w:tcBorders>
            <w:shd w:val="clear" w:color="auto" w:fill="FFFFFF"/>
            <w:vAlign w:val="top"/>
          </w:tcPr>
          <w:p w14:paraId="18C15B2C">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红线外构筑物、附属物</w:t>
            </w:r>
          </w:p>
        </w:tc>
        <w:tc>
          <w:tcPr>
            <w:tcW w:w="2795" w:type="pct"/>
            <w:tcBorders>
              <w:top w:val="single" w:color="888E93" w:sz="8" w:space="0"/>
              <w:left w:val="single" w:color="888E93" w:sz="8" w:space="0"/>
              <w:bottom w:val="single" w:color="888E93" w:sz="8" w:space="0"/>
              <w:right w:val="single" w:color="474747" w:sz="8" w:space="0"/>
            </w:tcBorders>
            <w:shd w:val="clear" w:color="auto" w:fill="FFFFFF"/>
            <w:vAlign w:val="top"/>
          </w:tcPr>
          <w:p w14:paraId="6406541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地坪、花池、简易棚</w:t>
            </w:r>
          </w:p>
        </w:tc>
      </w:tr>
      <w:tr w14:paraId="23F9C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434" w:type="pct"/>
            <w:tcBorders>
              <w:top w:val="single" w:color="888E93" w:sz="8" w:space="0"/>
              <w:left w:val="single" w:color="474747" w:sz="8" w:space="0"/>
              <w:bottom w:val="single" w:color="888E93" w:sz="8" w:space="0"/>
              <w:right w:val="single" w:color="888E93" w:sz="8" w:space="0"/>
            </w:tcBorders>
            <w:shd w:val="clear" w:color="auto" w:fill="FFFFFF"/>
            <w:vAlign w:val="top"/>
          </w:tcPr>
          <w:p w14:paraId="671A8D18">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4</w:t>
            </w:r>
          </w:p>
        </w:tc>
        <w:tc>
          <w:tcPr>
            <w:tcW w:w="1769" w:type="pct"/>
            <w:tcBorders>
              <w:top w:val="single" w:color="888E93" w:sz="8" w:space="0"/>
              <w:left w:val="single" w:color="888E93" w:sz="8" w:space="0"/>
              <w:bottom w:val="single" w:color="888E93" w:sz="8" w:space="0"/>
              <w:right w:val="single" w:color="888E93" w:sz="8" w:space="0"/>
            </w:tcBorders>
            <w:shd w:val="clear" w:color="auto" w:fill="FFFFFF"/>
            <w:vAlign w:val="top"/>
          </w:tcPr>
          <w:p w14:paraId="428EBD92">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工业土地使用权</w:t>
            </w:r>
          </w:p>
        </w:tc>
        <w:tc>
          <w:tcPr>
            <w:tcW w:w="2795" w:type="pct"/>
            <w:tcBorders>
              <w:top w:val="single" w:color="888E93" w:sz="8" w:space="0"/>
              <w:left w:val="single" w:color="888E93" w:sz="8" w:space="0"/>
              <w:bottom w:val="single" w:color="888E93" w:sz="8" w:space="0"/>
              <w:right w:val="single" w:color="474747" w:sz="8" w:space="0"/>
            </w:tcBorders>
            <w:shd w:val="clear" w:color="auto" w:fill="FFFFFF"/>
            <w:vAlign w:val="top"/>
          </w:tcPr>
          <w:p w14:paraId="478FE3B6">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红线内工业土地</w:t>
            </w:r>
          </w:p>
        </w:tc>
      </w:tr>
      <w:tr w14:paraId="35DA0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jc w:val="center"/>
        </w:trPr>
        <w:tc>
          <w:tcPr>
            <w:tcW w:w="434" w:type="pct"/>
            <w:vMerge w:val="restart"/>
            <w:tcBorders>
              <w:top w:val="single" w:color="888E93" w:sz="8" w:space="0"/>
              <w:left w:val="single" w:color="474747" w:sz="8" w:space="0"/>
              <w:bottom w:val="single" w:color="888E93" w:sz="8" w:space="0"/>
              <w:right w:val="single" w:color="888E93" w:sz="8" w:space="0"/>
            </w:tcBorders>
            <w:shd w:val="clear" w:color="auto" w:fill="FFFFFF"/>
            <w:vAlign w:val="top"/>
          </w:tcPr>
          <w:p w14:paraId="07EE6CD7">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5</w:t>
            </w:r>
          </w:p>
        </w:tc>
        <w:tc>
          <w:tcPr>
            <w:tcW w:w="1769" w:type="pct"/>
            <w:vMerge w:val="restart"/>
            <w:tcBorders>
              <w:top w:val="single" w:color="888E93" w:sz="8" w:space="0"/>
              <w:left w:val="single" w:color="888E93" w:sz="8" w:space="0"/>
              <w:bottom w:val="single" w:color="888E93" w:sz="8" w:space="0"/>
              <w:right w:val="single" w:color="888E93" w:sz="8" w:space="0"/>
            </w:tcBorders>
            <w:shd w:val="clear" w:color="auto" w:fill="FFFFFF"/>
            <w:vAlign w:val="top"/>
          </w:tcPr>
          <w:p w14:paraId="61E51AF9">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机器设备</w:t>
            </w:r>
          </w:p>
        </w:tc>
        <w:tc>
          <w:tcPr>
            <w:tcW w:w="2795" w:type="pct"/>
            <w:tcBorders>
              <w:top w:val="single" w:color="888E93" w:sz="8" w:space="0"/>
              <w:left w:val="single" w:color="888E93" w:sz="8" w:space="0"/>
              <w:bottom w:val="nil"/>
              <w:right w:val="single" w:color="474747" w:sz="8" w:space="0"/>
            </w:tcBorders>
            <w:shd w:val="clear" w:color="auto" w:fill="FFFFFF"/>
            <w:vAlign w:val="top"/>
          </w:tcPr>
          <w:p w14:paraId="75255E53">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行车、配电房内外电缆、配电柜、变</w:t>
            </w:r>
          </w:p>
        </w:tc>
      </w:tr>
      <w:tr w14:paraId="48AEC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jc w:val="center"/>
        </w:trPr>
        <w:tc>
          <w:tcPr>
            <w:tcW w:w="434" w:type="pct"/>
            <w:vMerge w:val="continue"/>
            <w:tcBorders>
              <w:top w:val="single" w:color="888E93" w:sz="8" w:space="0"/>
              <w:left w:val="single" w:color="474747" w:sz="8" w:space="0"/>
              <w:bottom w:val="single" w:color="888E93" w:sz="8" w:space="0"/>
              <w:right w:val="single" w:color="888E93" w:sz="8" w:space="0"/>
            </w:tcBorders>
            <w:shd w:val="clear" w:color="auto" w:fill="FFFFFF"/>
            <w:vAlign w:val="top"/>
          </w:tcPr>
          <w:p w14:paraId="517F30EF">
            <w:pPr>
              <w:jc w:val="center"/>
              <w:rPr>
                <w:rFonts w:hint="eastAsia" w:ascii="仿宋" w:hAnsi="仿宋" w:eastAsia="仿宋" w:cs="仿宋"/>
                <w:i w:val="0"/>
                <w:iCs w:val="0"/>
                <w:color w:val="000000"/>
                <w:sz w:val="19"/>
                <w:szCs w:val="19"/>
                <w:u w:val="none"/>
              </w:rPr>
            </w:pPr>
          </w:p>
        </w:tc>
        <w:tc>
          <w:tcPr>
            <w:tcW w:w="1769" w:type="pct"/>
            <w:vMerge w:val="continue"/>
            <w:tcBorders>
              <w:top w:val="single" w:color="888E93" w:sz="8" w:space="0"/>
              <w:left w:val="single" w:color="888E93" w:sz="8" w:space="0"/>
              <w:bottom w:val="single" w:color="888E93" w:sz="8" w:space="0"/>
              <w:right w:val="single" w:color="888E93" w:sz="8" w:space="0"/>
            </w:tcBorders>
            <w:shd w:val="clear" w:color="auto" w:fill="FFFFFF"/>
            <w:vAlign w:val="top"/>
          </w:tcPr>
          <w:p w14:paraId="635A1424">
            <w:pPr>
              <w:jc w:val="center"/>
              <w:rPr>
                <w:rFonts w:hint="eastAsia" w:ascii="仿宋" w:hAnsi="仿宋" w:eastAsia="仿宋" w:cs="仿宋"/>
                <w:i w:val="0"/>
                <w:iCs w:val="0"/>
                <w:color w:val="000000"/>
                <w:sz w:val="19"/>
                <w:szCs w:val="19"/>
                <w:u w:val="none"/>
              </w:rPr>
            </w:pPr>
          </w:p>
        </w:tc>
        <w:tc>
          <w:tcPr>
            <w:tcW w:w="2795" w:type="pct"/>
            <w:tcBorders>
              <w:top w:val="nil"/>
              <w:left w:val="single" w:color="888E93" w:sz="8" w:space="0"/>
              <w:bottom w:val="single" w:color="888E93" w:sz="8" w:space="0"/>
              <w:right w:val="single" w:color="474747" w:sz="8" w:space="0"/>
            </w:tcBorders>
            <w:shd w:val="clear" w:color="auto" w:fill="FFFFFF"/>
            <w:vAlign w:val="top"/>
          </w:tcPr>
          <w:p w14:paraId="15411A4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压器等，综合楼风管机等</w:t>
            </w:r>
          </w:p>
        </w:tc>
      </w:tr>
      <w:tr w14:paraId="3234A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434" w:type="pct"/>
            <w:tcBorders>
              <w:top w:val="single" w:color="888E93" w:sz="8" w:space="0"/>
              <w:left w:val="single" w:color="474747" w:sz="8" w:space="0"/>
              <w:bottom w:val="single" w:color="888E93" w:sz="8" w:space="0"/>
              <w:right w:val="single" w:color="888E93" w:sz="8" w:space="0"/>
            </w:tcBorders>
            <w:shd w:val="clear" w:color="auto" w:fill="FFFFFF"/>
            <w:vAlign w:val="top"/>
          </w:tcPr>
          <w:p w14:paraId="4321E06D">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6</w:t>
            </w:r>
          </w:p>
        </w:tc>
        <w:tc>
          <w:tcPr>
            <w:tcW w:w="1769" w:type="pct"/>
            <w:tcBorders>
              <w:top w:val="single" w:color="888E93" w:sz="8" w:space="0"/>
              <w:left w:val="single" w:color="888E93" w:sz="8" w:space="0"/>
              <w:bottom w:val="single" w:color="888E93" w:sz="8" w:space="0"/>
              <w:right w:val="single" w:color="888E93" w:sz="8" w:space="0"/>
            </w:tcBorders>
            <w:shd w:val="clear" w:color="auto" w:fill="FFFFFF"/>
            <w:vAlign w:val="top"/>
          </w:tcPr>
          <w:p w14:paraId="2AB18C84">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办公用品</w:t>
            </w:r>
          </w:p>
        </w:tc>
        <w:tc>
          <w:tcPr>
            <w:tcW w:w="2795" w:type="pct"/>
            <w:tcBorders>
              <w:top w:val="single" w:color="888E93" w:sz="8" w:space="0"/>
              <w:left w:val="single" w:color="888E93" w:sz="8" w:space="0"/>
              <w:bottom w:val="single" w:color="888E93" w:sz="8" w:space="0"/>
              <w:right w:val="single" w:color="474747" w:sz="8" w:space="0"/>
            </w:tcBorders>
            <w:shd w:val="clear" w:color="auto" w:fill="FFFFFF"/>
            <w:vAlign w:val="top"/>
          </w:tcPr>
          <w:p w14:paraId="44B8492C">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办公楼董事长室</w:t>
            </w:r>
          </w:p>
        </w:tc>
      </w:tr>
      <w:tr w14:paraId="30EC0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jc w:val="center"/>
        </w:trPr>
        <w:tc>
          <w:tcPr>
            <w:tcW w:w="434" w:type="pct"/>
            <w:tcBorders>
              <w:top w:val="single" w:color="888E93" w:sz="8" w:space="0"/>
              <w:left w:val="single" w:color="474747" w:sz="8" w:space="0"/>
              <w:bottom w:val="single" w:color="888E93" w:sz="8" w:space="0"/>
              <w:right w:val="single" w:color="888E93" w:sz="8" w:space="0"/>
            </w:tcBorders>
            <w:shd w:val="clear" w:color="auto" w:fill="FFFFFF"/>
            <w:vAlign w:val="top"/>
          </w:tcPr>
          <w:p w14:paraId="48EFDFB1">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7</w:t>
            </w:r>
          </w:p>
        </w:tc>
        <w:tc>
          <w:tcPr>
            <w:tcW w:w="1769" w:type="pct"/>
            <w:tcBorders>
              <w:top w:val="single" w:color="888E93" w:sz="8" w:space="0"/>
              <w:left w:val="single" w:color="888E93" w:sz="8" w:space="0"/>
              <w:bottom w:val="single" w:color="888E93" w:sz="8" w:space="0"/>
              <w:right w:val="single" w:color="888E93" w:sz="8" w:space="0"/>
            </w:tcBorders>
            <w:shd w:val="clear" w:color="auto" w:fill="FFFFFF"/>
            <w:vAlign w:val="top"/>
          </w:tcPr>
          <w:p w14:paraId="343902AF">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物品</w:t>
            </w:r>
          </w:p>
        </w:tc>
        <w:tc>
          <w:tcPr>
            <w:tcW w:w="2795" w:type="pct"/>
            <w:tcBorders>
              <w:top w:val="single" w:color="888E93" w:sz="8" w:space="0"/>
              <w:left w:val="single" w:color="888E93" w:sz="8" w:space="0"/>
              <w:bottom w:val="single" w:color="888E93" w:sz="8" w:space="0"/>
              <w:right w:val="single" w:color="474747" w:sz="8" w:space="0"/>
            </w:tcBorders>
            <w:shd w:val="clear" w:color="auto" w:fill="FFFFFF"/>
            <w:vAlign w:val="top"/>
          </w:tcPr>
          <w:p w14:paraId="09FF52D9">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综合楼1-4层物品</w:t>
            </w:r>
          </w:p>
        </w:tc>
      </w:tr>
      <w:tr w14:paraId="6FC96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434" w:type="pct"/>
            <w:tcBorders>
              <w:top w:val="single" w:color="888E93" w:sz="8" w:space="0"/>
              <w:left w:val="single" w:color="474747" w:sz="8" w:space="0"/>
              <w:bottom w:val="single" w:color="888E93" w:sz="8" w:space="0"/>
              <w:right w:val="single" w:color="888E93" w:sz="8" w:space="0"/>
            </w:tcBorders>
            <w:shd w:val="clear" w:color="auto" w:fill="FFFFFF"/>
            <w:vAlign w:val="top"/>
          </w:tcPr>
          <w:p w14:paraId="7BB2DF4E">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8</w:t>
            </w:r>
          </w:p>
        </w:tc>
        <w:tc>
          <w:tcPr>
            <w:tcW w:w="1769" w:type="pct"/>
            <w:tcBorders>
              <w:top w:val="single" w:color="888E93" w:sz="8" w:space="0"/>
              <w:left w:val="single" w:color="888E93" w:sz="8" w:space="0"/>
              <w:bottom w:val="single" w:color="888E93" w:sz="8" w:space="0"/>
              <w:right w:val="single" w:color="888E93" w:sz="8" w:space="0"/>
            </w:tcBorders>
            <w:shd w:val="clear" w:color="auto" w:fill="FFFFFF"/>
            <w:vAlign w:val="top"/>
          </w:tcPr>
          <w:p w14:paraId="67D8C734">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红线内绿化苗木</w:t>
            </w:r>
          </w:p>
        </w:tc>
        <w:tc>
          <w:tcPr>
            <w:tcW w:w="2795" w:type="pct"/>
            <w:tcBorders>
              <w:top w:val="single" w:color="888E93" w:sz="8" w:space="0"/>
              <w:left w:val="single" w:color="888E93" w:sz="8" w:space="0"/>
              <w:bottom w:val="single" w:color="888E93" w:sz="8" w:space="0"/>
              <w:right w:val="single" w:color="474747" w:sz="8" w:space="0"/>
            </w:tcBorders>
            <w:shd w:val="clear" w:color="auto" w:fill="FFFFFF"/>
            <w:vAlign w:val="top"/>
          </w:tcPr>
          <w:p w14:paraId="21FC0F85">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厂区围墙内</w:t>
            </w:r>
          </w:p>
        </w:tc>
      </w:tr>
      <w:tr w14:paraId="2E660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jc w:val="center"/>
        </w:trPr>
        <w:tc>
          <w:tcPr>
            <w:tcW w:w="434" w:type="pct"/>
            <w:tcBorders>
              <w:top w:val="single" w:color="888E93" w:sz="8" w:space="0"/>
              <w:left w:val="single" w:color="474747" w:sz="8" w:space="0"/>
              <w:bottom w:val="single" w:color="474747" w:sz="8" w:space="0"/>
              <w:right w:val="single" w:color="888E93" w:sz="8" w:space="0"/>
            </w:tcBorders>
            <w:shd w:val="clear" w:color="auto" w:fill="FFFFFF"/>
            <w:vAlign w:val="top"/>
          </w:tcPr>
          <w:p w14:paraId="1601CC2E">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9</w:t>
            </w:r>
          </w:p>
        </w:tc>
        <w:tc>
          <w:tcPr>
            <w:tcW w:w="1769" w:type="pct"/>
            <w:tcBorders>
              <w:top w:val="single" w:color="888E93" w:sz="8" w:space="0"/>
              <w:left w:val="single" w:color="888E93" w:sz="8" w:space="0"/>
              <w:bottom w:val="single" w:color="474747" w:sz="8" w:space="0"/>
              <w:right w:val="single" w:color="888E93" w:sz="8" w:space="0"/>
            </w:tcBorders>
            <w:shd w:val="clear" w:color="auto" w:fill="FFFFFF"/>
            <w:vAlign w:val="top"/>
          </w:tcPr>
          <w:p w14:paraId="204C4B90">
            <w:pPr>
              <w:keepNext w:val="0"/>
              <w:keepLines w:val="0"/>
              <w:widowControl/>
              <w:suppressLineNumbers w:val="0"/>
              <w:jc w:val="center"/>
              <w:textAlignment w:val="center"/>
              <w:rPr>
                <w:rFonts w:hint="eastAsia" w:ascii="仿宋" w:hAnsi="仿宋" w:eastAsia="仿宋" w:cs="仿宋"/>
                <w:i w:val="0"/>
                <w:iCs w:val="0"/>
                <w:color w:val="000000"/>
                <w:sz w:val="19"/>
                <w:szCs w:val="19"/>
                <w:u w:val="none"/>
              </w:rPr>
            </w:pPr>
            <w:r>
              <w:rPr>
                <w:rFonts w:hint="eastAsia" w:ascii="仿宋" w:hAnsi="仿宋" w:eastAsia="仿宋" w:cs="仿宋"/>
                <w:i w:val="0"/>
                <w:iCs w:val="0"/>
                <w:color w:val="000000"/>
                <w:kern w:val="0"/>
                <w:sz w:val="19"/>
                <w:szCs w:val="19"/>
                <w:u w:val="none"/>
                <w:lang w:val="en-US" w:eastAsia="zh-CN" w:bidi="ar"/>
              </w:rPr>
              <w:t>红线外绿化苗木</w:t>
            </w:r>
          </w:p>
        </w:tc>
        <w:tc>
          <w:tcPr>
            <w:tcW w:w="2795" w:type="pct"/>
            <w:tcBorders>
              <w:top w:val="single" w:color="888E93" w:sz="8" w:space="0"/>
              <w:left w:val="single" w:color="888E93" w:sz="8" w:space="0"/>
              <w:bottom w:val="single" w:color="474747" w:sz="8" w:space="0"/>
              <w:right w:val="single" w:color="474747" w:sz="8" w:space="0"/>
            </w:tcBorders>
            <w:shd w:val="clear" w:color="auto" w:fill="FFFFFF"/>
            <w:vAlign w:val="top"/>
          </w:tcPr>
          <w:p w14:paraId="65D53EC1">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厂区北侧围墙外</w:t>
            </w:r>
          </w:p>
        </w:tc>
      </w:tr>
    </w:tbl>
    <w:p w14:paraId="4CCB5B09">
      <w:pPr>
        <w:keepNext w:val="0"/>
        <w:keepLines w:val="0"/>
        <w:widowControl/>
        <w:suppressLineNumbers w:val="0"/>
        <w:ind w:firstLine="562" w:firstLineChars="200"/>
        <w:jc w:val="left"/>
        <w:rPr>
          <w:rFonts w:hint="eastAsia" w:ascii="仿宋" w:hAnsi="仿宋" w:eastAsia="仿宋" w:cs="仿宋"/>
          <w:b/>
          <w:bCs/>
          <w:color w:val="auto"/>
          <w:sz w:val="28"/>
          <w:szCs w:val="28"/>
          <w:highlight w:val="none"/>
          <w:lang w:eastAsia="zh-CN"/>
        </w:rPr>
      </w:pPr>
      <w:r>
        <w:rPr>
          <w:rFonts w:hint="eastAsia" w:ascii="仿宋" w:hAnsi="仿宋" w:eastAsia="仿宋" w:cs="仿宋"/>
          <w:b/>
          <w:bCs/>
          <w:sz w:val="28"/>
          <w:szCs w:val="28"/>
          <w:highlight w:val="none"/>
          <w:lang w:val="en-US" w:eastAsia="zh-CN"/>
        </w:rPr>
        <w:t>评估清算价：</w:t>
      </w:r>
      <w:r>
        <w:rPr>
          <w:rFonts w:hint="eastAsia" w:ascii="仿宋" w:hAnsi="仿宋" w:eastAsia="仿宋" w:cs="仿宋"/>
          <w:b/>
          <w:bCs/>
          <w:color w:val="auto"/>
          <w:kern w:val="0"/>
          <w:sz w:val="28"/>
          <w:szCs w:val="28"/>
          <w:lang w:val="en-US" w:eastAsia="zh-CN" w:bidi="ar"/>
        </w:rPr>
        <w:t>10,413,582.00</w:t>
      </w:r>
      <w:r>
        <w:rPr>
          <w:rFonts w:hint="eastAsia" w:ascii="仿宋" w:hAnsi="仿宋" w:eastAsia="仿宋" w:cs="仿宋"/>
          <w:b/>
          <w:bCs/>
          <w:color w:val="auto"/>
          <w:sz w:val="28"/>
          <w:szCs w:val="28"/>
          <w:highlight w:val="none"/>
          <w:lang w:val="en-US" w:eastAsia="zh-CN"/>
        </w:rPr>
        <w:t>元</w:t>
      </w:r>
      <w:r>
        <w:rPr>
          <w:rFonts w:hint="eastAsia" w:ascii="仿宋" w:hAnsi="仿宋" w:eastAsia="仿宋" w:cs="仿宋"/>
          <w:b/>
          <w:bCs/>
          <w:color w:val="auto"/>
          <w:sz w:val="28"/>
          <w:szCs w:val="28"/>
          <w:highlight w:val="none"/>
        </w:rPr>
        <w:t xml:space="preserve"> </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rPr>
        <w:t>起拍价：</w:t>
      </w:r>
      <w:r>
        <w:rPr>
          <w:rFonts w:hint="eastAsia" w:ascii="仿宋" w:hAnsi="仿宋" w:eastAsia="仿宋" w:cs="仿宋"/>
          <w:b/>
          <w:bCs/>
          <w:color w:val="auto"/>
          <w:kern w:val="0"/>
          <w:sz w:val="28"/>
          <w:szCs w:val="28"/>
          <w:lang w:val="en-US" w:eastAsia="zh-CN" w:bidi="ar"/>
        </w:rPr>
        <w:t>9372224.00</w:t>
      </w:r>
      <w:r>
        <w:rPr>
          <w:rFonts w:hint="eastAsia" w:ascii="仿宋" w:hAnsi="仿宋" w:eastAsia="仿宋" w:cs="仿宋"/>
          <w:b/>
          <w:bCs/>
          <w:color w:val="auto"/>
          <w:sz w:val="28"/>
          <w:szCs w:val="28"/>
          <w:highlight w:val="none"/>
        </w:rPr>
        <w:t>元，保证金：</w:t>
      </w:r>
      <w:r>
        <w:rPr>
          <w:rFonts w:hint="eastAsia" w:ascii="仿宋" w:hAnsi="仿宋" w:eastAsia="仿宋" w:cs="仿宋"/>
          <w:b/>
          <w:bCs/>
          <w:color w:val="auto"/>
          <w:sz w:val="28"/>
          <w:szCs w:val="28"/>
          <w:highlight w:val="none"/>
          <w:lang w:val="en-US" w:eastAsia="zh-CN"/>
        </w:rPr>
        <w:t>900000</w:t>
      </w:r>
      <w:r>
        <w:rPr>
          <w:rFonts w:hint="eastAsia" w:ascii="仿宋" w:hAnsi="仿宋" w:eastAsia="仿宋" w:cs="仿宋"/>
          <w:b/>
          <w:bCs/>
          <w:color w:val="auto"/>
          <w:sz w:val="28"/>
          <w:szCs w:val="28"/>
          <w:highlight w:val="none"/>
        </w:rPr>
        <w:t>元，增价幅度：</w:t>
      </w:r>
      <w:r>
        <w:rPr>
          <w:rFonts w:hint="eastAsia" w:ascii="仿宋" w:hAnsi="仿宋" w:eastAsia="仿宋" w:cs="仿宋"/>
          <w:b/>
          <w:bCs/>
          <w:color w:val="auto"/>
          <w:sz w:val="28"/>
          <w:szCs w:val="28"/>
          <w:highlight w:val="none"/>
          <w:lang w:val="en-US" w:eastAsia="zh-CN"/>
        </w:rPr>
        <w:t>50000</w:t>
      </w:r>
      <w:r>
        <w:rPr>
          <w:rFonts w:hint="eastAsia" w:ascii="仿宋" w:hAnsi="仿宋" w:eastAsia="仿宋" w:cs="仿宋"/>
          <w:b/>
          <w:bCs/>
          <w:color w:val="auto"/>
          <w:sz w:val="28"/>
          <w:szCs w:val="28"/>
          <w:highlight w:val="none"/>
        </w:rPr>
        <w:t>元及其整数倍</w:t>
      </w:r>
      <w:r>
        <w:rPr>
          <w:rFonts w:hint="eastAsia" w:ascii="仿宋" w:hAnsi="仿宋" w:eastAsia="仿宋" w:cs="仿宋"/>
          <w:b/>
          <w:bCs/>
          <w:color w:val="auto"/>
          <w:sz w:val="28"/>
          <w:szCs w:val="28"/>
          <w:highlight w:val="none"/>
          <w:lang w:eastAsia="zh-CN"/>
        </w:rPr>
        <w:t>。</w:t>
      </w:r>
    </w:p>
    <w:p w14:paraId="1113C745">
      <w:pPr>
        <w:numPr>
          <w:ilvl w:val="0"/>
          <w:numId w:val="0"/>
        </w:numPr>
        <w:spacing w:line="480" w:lineRule="exact"/>
        <w:ind w:firstLine="640" w:firstLineChars="200"/>
        <w:jc w:val="left"/>
        <w:rPr>
          <w:rFonts w:hint="eastAsia" w:ascii="仿宋" w:hAnsi="仿宋" w:eastAsia="仿宋" w:cs="仿宋"/>
          <w:color w:val="FF0000"/>
          <w:sz w:val="32"/>
          <w:szCs w:val="32"/>
        </w:rPr>
      </w:pPr>
      <w:r>
        <w:rPr>
          <w:rFonts w:hint="eastAsia" w:ascii="仿宋" w:hAnsi="仿宋" w:eastAsia="仿宋" w:cs="仿宋"/>
          <w:color w:val="FF0000"/>
          <w:sz w:val="32"/>
          <w:szCs w:val="32"/>
        </w:rPr>
        <w:t>特别提醒：</w:t>
      </w:r>
    </w:p>
    <w:p w14:paraId="76FCD0B9">
      <w:pPr>
        <w:numPr>
          <w:ilvl w:val="0"/>
          <w:numId w:val="0"/>
        </w:numPr>
        <w:spacing w:line="480" w:lineRule="exact"/>
        <w:ind w:firstLine="640" w:firstLineChars="200"/>
        <w:jc w:val="left"/>
        <w:rPr>
          <w:rFonts w:hint="default" w:ascii="仿宋" w:hAnsi="仿宋" w:eastAsia="仿宋" w:cs="仿宋"/>
          <w:color w:val="FF0000"/>
          <w:sz w:val="32"/>
          <w:szCs w:val="32"/>
        </w:rPr>
      </w:pPr>
      <w:r>
        <w:rPr>
          <w:rFonts w:hint="eastAsia" w:ascii="仿宋" w:hAnsi="仿宋" w:eastAsia="仿宋" w:cs="仿宋"/>
          <w:color w:val="FF0000"/>
          <w:sz w:val="32"/>
          <w:szCs w:val="32"/>
        </w:rPr>
        <w:t>1、土地性质为国有建设用地，土地用途为工业用地；建筑物、</w:t>
      </w:r>
      <w:r>
        <w:rPr>
          <w:rFonts w:hint="eastAsia" w:ascii="仿宋" w:hAnsi="仿宋" w:eastAsia="仿宋" w:cs="仿宋"/>
          <w:color w:val="FF0000"/>
          <w:sz w:val="32"/>
          <w:szCs w:val="32"/>
          <w:lang w:val="en-US" w:eastAsia="zh-CN"/>
        </w:rPr>
        <w:t>办公用品</w:t>
      </w:r>
      <w:r>
        <w:rPr>
          <w:rFonts w:hint="eastAsia" w:ascii="仿宋" w:hAnsi="仿宋" w:eastAsia="仿宋" w:cs="仿宋"/>
          <w:color w:val="FF0000"/>
          <w:sz w:val="32"/>
          <w:szCs w:val="32"/>
        </w:rPr>
        <w:t>、附属物及厂房内的机器设备等均以现状拍卖处置、交付；竞买人要符合土地利用总体规划和城乡规划的要求，管理人及辅助机构对后续土地证办理及规划调整不作任何承诺和保证，也不负有协助买受人办理上述不动产登记的义务。</w:t>
      </w:r>
    </w:p>
    <w:p w14:paraId="24ABC0C1">
      <w:pPr>
        <w:numPr>
          <w:ilvl w:val="0"/>
          <w:numId w:val="0"/>
        </w:numPr>
        <w:spacing w:line="480" w:lineRule="exact"/>
        <w:ind w:firstLine="640" w:firstLineChars="200"/>
        <w:jc w:val="left"/>
        <w:rPr>
          <w:rFonts w:hint="default" w:ascii="仿宋" w:hAnsi="仿宋" w:eastAsia="仿宋" w:cs="仿宋"/>
          <w:color w:val="FF0000"/>
          <w:sz w:val="32"/>
          <w:szCs w:val="32"/>
        </w:rPr>
      </w:pPr>
      <w:r>
        <w:rPr>
          <w:rFonts w:hint="eastAsia" w:ascii="仿宋" w:hAnsi="仿宋" w:eastAsia="仿宋" w:cs="仿宋"/>
          <w:color w:val="FF0000"/>
          <w:sz w:val="32"/>
          <w:szCs w:val="32"/>
          <w:lang w:val="en-US" w:eastAsia="zh-CN"/>
        </w:rPr>
        <w:t>2</w:t>
      </w:r>
      <w:r>
        <w:rPr>
          <w:rFonts w:hint="eastAsia" w:ascii="仿宋" w:hAnsi="仿宋" w:eastAsia="仿宋" w:cs="仿宋"/>
          <w:color w:val="FF0000"/>
          <w:sz w:val="32"/>
          <w:szCs w:val="32"/>
        </w:rPr>
        <w:t>、本次拍卖公告所作的情况说明，仅为竞买人参与竞买提供参考，不能作为竞买人判断、权衡价值的最终依据，竞买人应当根据自身需求自行调查、了解、核实。未尽事宜，管理人及辅助机构不承担任何责任。</w:t>
      </w:r>
    </w:p>
    <w:p w14:paraId="14489E22">
      <w:pPr>
        <w:spacing w:line="480" w:lineRule="exact"/>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rPr>
        <w:t>二、咨询、展示看样的时间与方式：</w:t>
      </w:r>
    </w:p>
    <w:p w14:paraId="011AAF52">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自本公告发布之日起至拍卖开始前接受咨询，联系方式请见文末</w:t>
      </w:r>
      <w:r>
        <w:rPr>
          <w:rFonts w:hint="default" w:ascii="仿宋" w:hAnsi="仿宋" w:eastAsia="仿宋" w:cs="仿宋"/>
          <w:sz w:val="32"/>
          <w:szCs w:val="32"/>
        </w:rPr>
        <w:t>管理人及</w:t>
      </w:r>
      <w:r>
        <w:rPr>
          <w:rFonts w:hint="eastAsia" w:ascii="仿宋" w:hAnsi="仿宋" w:eastAsia="仿宋" w:cs="仿宋"/>
          <w:sz w:val="32"/>
          <w:szCs w:val="32"/>
        </w:rPr>
        <w:t>辅助机构电话。</w:t>
      </w:r>
    </w:p>
    <w:p w14:paraId="4E6DE60D">
      <w:pPr>
        <w:numPr>
          <w:ilvl w:val="0"/>
          <w:numId w:val="0"/>
        </w:numPr>
        <w:spacing w:line="480" w:lineRule="exact"/>
        <w:ind w:firstLine="643" w:firstLineChars="200"/>
        <w:jc w:val="left"/>
        <w:rPr>
          <w:rFonts w:hint="eastAsia" w:ascii="仿宋" w:hAnsi="仿宋" w:eastAsia="仿宋" w:cs="仿宋"/>
          <w:sz w:val="32"/>
          <w:szCs w:val="32"/>
        </w:rPr>
      </w:pPr>
      <w:r>
        <w:rPr>
          <w:rFonts w:hint="eastAsia" w:ascii="仿宋" w:hAnsi="仿宋" w:eastAsia="仿宋" w:cs="仿宋"/>
          <w:b/>
          <w:bCs/>
          <w:kern w:val="2"/>
          <w:sz w:val="32"/>
          <w:szCs w:val="32"/>
          <w:lang w:val="en-US" w:eastAsia="zh-CN" w:bidi="ar-SA"/>
        </w:rPr>
        <w:t>三、</w:t>
      </w:r>
      <w:r>
        <w:rPr>
          <w:rFonts w:hint="eastAsia" w:ascii="仿宋" w:hAnsi="仿宋" w:eastAsia="仿宋" w:cs="仿宋"/>
          <w:b/>
          <w:bCs/>
          <w:sz w:val="32"/>
          <w:szCs w:val="32"/>
        </w:rPr>
        <w:t>标的已知优先购买权人：</w:t>
      </w:r>
    </w:p>
    <w:p w14:paraId="160AD76B">
      <w:pPr>
        <w:spacing w:line="48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highlight w:val="none"/>
        </w:rPr>
        <w:t>拍卖标的</w:t>
      </w:r>
      <w:r>
        <w:rPr>
          <w:rFonts w:hint="default" w:ascii="仿宋" w:hAnsi="仿宋" w:eastAsia="仿宋" w:cs="仿宋"/>
          <w:color w:val="auto"/>
          <w:sz w:val="32"/>
          <w:szCs w:val="32"/>
          <w:highlight w:val="none"/>
        </w:rPr>
        <w:t>物内</w:t>
      </w:r>
      <w:r>
        <w:rPr>
          <w:rFonts w:hint="eastAsia" w:ascii="仿宋" w:hAnsi="仿宋" w:eastAsia="仿宋" w:cs="仿宋"/>
          <w:color w:val="auto"/>
          <w:sz w:val="32"/>
          <w:szCs w:val="32"/>
          <w:highlight w:val="none"/>
        </w:rPr>
        <w:t>有租赁</w:t>
      </w:r>
      <w:r>
        <w:rPr>
          <w:rFonts w:hint="default" w:ascii="仿宋" w:hAnsi="仿宋" w:eastAsia="仿宋" w:cs="仿宋"/>
          <w:color w:val="auto"/>
          <w:sz w:val="32"/>
          <w:szCs w:val="32"/>
          <w:highlight w:val="none"/>
        </w:rPr>
        <w:t>，</w:t>
      </w:r>
      <w:r>
        <w:rPr>
          <w:rFonts w:hint="default" w:ascii="仿宋" w:hAnsi="仿宋" w:eastAsia="仿宋" w:cs="仿宋"/>
          <w:color w:val="auto"/>
          <w:sz w:val="32"/>
          <w:szCs w:val="32"/>
        </w:rPr>
        <w:t>依照</w:t>
      </w:r>
      <w:r>
        <w:rPr>
          <w:rFonts w:hint="eastAsia" w:ascii="仿宋" w:hAnsi="仿宋" w:eastAsia="仿宋" w:cs="仿宋"/>
          <w:color w:val="auto"/>
          <w:sz w:val="32"/>
          <w:szCs w:val="32"/>
        </w:rPr>
        <w:t>相关法律、法规等规定：现承租户在同等条件下，具有优先购买权。</w:t>
      </w:r>
    </w:p>
    <w:p w14:paraId="5DA8982F">
      <w:pPr>
        <w:numPr>
          <w:ilvl w:val="0"/>
          <w:numId w:val="0"/>
        </w:num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优先购买权人参加竞买的，应于拍卖日的三个工作日前向管理人提交有效证明材料，经管理人确认后才能以优先购买权人身份参与竞买；逾期未提交的，视为放弃对本标的物享有的优先购买权。</w:t>
      </w:r>
    </w:p>
    <w:p w14:paraId="269CA79E">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对上述标的权属有异议者，请最迟于拍卖开始前5日与管理人联系。</w:t>
      </w:r>
    </w:p>
    <w:p w14:paraId="6FBD7662">
      <w:pPr>
        <w:spacing w:line="480" w:lineRule="exact"/>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、竞买人条件：</w:t>
      </w:r>
    </w:p>
    <w:p w14:paraId="6E2A5655">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（一）需符合当地</w:t>
      </w:r>
      <w:r>
        <w:rPr>
          <w:rFonts w:hint="eastAsia" w:ascii="仿宋" w:hAnsi="仿宋" w:eastAsia="仿宋" w:cs="仿宋"/>
          <w:sz w:val="32"/>
          <w:szCs w:val="32"/>
          <w:lang w:val="en-US" w:eastAsia="zh-CN"/>
        </w:rPr>
        <w:t>政府</w:t>
      </w:r>
      <w:r>
        <w:rPr>
          <w:rFonts w:hint="eastAsia" w:ascii="仿宋" w:hAnsi="仿宋" w:eastAsia="仿宋" w:cs="仿宋"/>
          <w:sz w:val="32"/>
          <w:szCs w:val="32"/>
        </w:rPr>
        <w:t>管委会入园条件企业方可参加竞买，具体请咨询当地管委会；</w:t>
      </w:r>
    </w:p>
    <w:p w14:paraId="72AC8104">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竞价前，竞买人须在淘宝注册账号并通过实名认证（已注册淘宝账号需通过实名认证）。参与竞买人未开设淘宝账户，可委托代理人（具备完全民事行为能力的自然人）进行，但须在拍卖开始前向管理人办理委托手续；竞买成功后，竞买人（法定代表人、其他组织的负责人）须与委托代理人一同到管理人处办理交接手续。如委托手续不全，竞买活动认定为委托代理人的个人行为。委托手续应于拍卖开始前向管理人提交委托书原件、公司营业执照原件与复印件、受托人的身份证原件与复印件等合法有效的证明，资格经管理人确认后方能进行委托。</w:t>
      </w:r>
    </w:p>
    <w:p w14:paraId="06958A69">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（三）法律、行政法规和司法解释对本标的物买受人资格或者条件有特殊规定的，买受人应当具备规定的资格或条件。</w:t>
      </w:r>
    </w:p>
    <w:p w14:paraId="252C794F">
      <w:pPr>
        <w:spacing w:line="480" w:lineRule="exact"/>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（四）因不符合条件参加竞买的，由竞买人自行承担相应的法律责任并没收保证金。</w:t>
      </w:r>
    </w:p>
    <w:p w14:paraId="5837912C">
      <w:pPr>
        <w:spacing w:line="480" w:lineRule="exact"/>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、拍卖方式：</w:t>
      </w:r>
    </w:p>
    <w:p w14:paraId="71D4CD28">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（一）拍卖从起拍价开始以递增出价方式竞价，增价幅度由管理人确定，竞买人以低于起拍价出价的无效。</w:t>
      </w:r>
    </w:p>
    <w:p w14:paraId="4C0E5CF4">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（二）本次拍卖活动设置延时出价功能，在拍卖活动结束前，每最后5分钟如果有竞买人出价，就自动延迟5分钟。</w:t>
      </w:r>
    </w:p>
    <w:p w14:paraId="24001CF3">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（三）本次拍卖保留价为起拍价。</w:t>
      </w:r>
    </w:p>
    <w:p w14:paraId="31530740">
      <w:pPr>
        <w:spacing w:line="480" w:lineRule="exact"/>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val="en-US" w:eastAsia="zh-CN"/>
        </w:rPr>
        <w:t>六</w:t>
      </w:r>
      <w:r>
        <w:rPr>
          <w:rFonts w:hint="eastAsia" w:ascii="仿宋" w:hAnsi="仿宋" w:eastAsia="仿宋" w:cs="仿宋"/>
          <w:b/>
          <w:bCs/>
          <w:sz w:val="32"/>
          <w:szCs w:val="32"/>
        </w:rPr>
        <w:t>、税费及其他费用承担：</w:t>
      </w:r>
    </w:p>
    <w:p w14:paraId="0A57F3FC">
      <w:pPr>
        <w:spacing w:line="480" w:lineRule="exact"/>
        <w:ind w:firstLine="640" w:firstLineChars="200"/>
        <w:jc w:val="left"/>
        <w:rPr>
          <w:rFonts w:hint="eastAsia" w:ascii="仿宋" w:hAnsi="仿宋" w:eastAsia="仿宋" w:cs="仿宋"/>
          <w:color w:val="auto"/>
          <w:sz w:val="32"/>
          <w:szCs w:val="32"/>
          <w:lang w:eastAsia="zh-CN"/>
        </w:rPr>
      </w:pPr>
      <w:r>
        <w:rPr>
          <w:rFonts w:hint="eastAsia" w:ascii="仿宋" w:hAnsi="仿宋" w:eastAsia="仿宋" w:cs="仿宋"/>
          <w:sz w:val="32"/>
          <w:szCs w:val="32"/>
        </w:rPr>
        <w:t>（一）本次拍卖标的物转让登记手续由买受人自行办理，管理人予以配合。办理过程中所涉及的买卖双方所需承担的税、费和所需补交的相关税、费（包括但不限于增值税、土地增值税、契税、过户手续费、印花税、权证费、水利基金费、以及房产及土地交易中规定缴纳的各种费用）</w:t>
      </w:r>
      <w:r>
        <w:rPr>
          <w:rFonts w:hint="eastAsia" w:ascii="仿宋" w:hAnsi="仿宋" w:eastAsia="仿宋" w:cs="仿宋"/>
          <w:color w:val="FF0000"/>
          <w:sz w:val="32"/>
          <w:szCs w:val="32"/>
        </w:rPr>
        <w:t>均由买受人承担</w:t>
      </w:r>
      <w:r>
        <w:rPr>
          <w:rFonts w:hint="eastAsia" w:ascii="仿宋" w:hAnsi="仿宋" w:eastAsia="仿宋" w:cs="仿宋"/>
          <w:color w:val="auto"/>
          <w:sz w:val="32"/>
          <w:szCs w:val="32"/>
        </w:rPr>
        <w:t>。买受人在竞买前应向所涉税务局部门确认成交后应缴纳的税费标准</w:t>
      </w:r>
      <w:r>
        <w:rPr>
          <w:rFonts w:hint="eastAsia" w:ascii="仿宋" w:hAnsi="仿宋" w:eastAsia="仿宋" w:cs="仿宋"/>
          <w:color w:val="auto"/>
          <w:sz w:val="32"/>
          <w:szCs w:val="32"/>
          <w:lang w:eastAsia="zh-CN"/>
        </w:rPr>
        <w:t>，管理人对税费问题不做任何承诺或保证</w:t>
      </w:r>
      <w:r>
        <w:rPr>
          <w:rFonts w:hint="eastAsia" w:ascii="仿宋" w:hAnsi="仿宋" w:eastAsia="仿宋" w:cs="仿宋"/>
          <w:color w:val="auto"/>
          <w:sz w:val="32"/>
          <w:szCs w:val="32"/>
        </w:rPr>
        <w:t>。物业费、水、电等欠费以及水、电、煤气、有线电视等户名变更手续，由买受人自行办理，相关费用均由买受人承担(如有)。拍卖成交价不含本条所涉及</w:t>
      </w:r>
      <w:r>
        <w:rPr>
          <w:rFonts w:hint="eastAsia" w:ascii="仿宋" w:hAnsi="仿宋" w:eastAsia="仿宋" w:cs="仿宋"/>
          <w:color w:val="auto"/>
          <w:sz w:val="32"/>
          <w:szCs w:val="32"/>
          <w:lang w:val="en-US" w:eastAsia="zh-CN"/>
        </w:rPr>
        <w:t>税、</w:t>
      </w:r>
      <w:r>
        <w:rPr>
          <w:rFonts w:hint="eastAsia" w:ascii="仿宋" w:hAnsi="仿宋" w:eastAsia="仿宋" w:cs="仿宋"/>
          <w:color w:val="auto"/>
          <w:sz w:val="32"/>
          <w:szCs w:val="32"/>
        </w:rPr>
        <w:t>费</w:t>
      </w:r>
      <w:r>
        <w:rPr>
          <w:rFonts w:hint="eastAsia" w:ascii="仿宋" w:hAnsi="仿宋" w:eastAsia="仿宋" w:cs="仿宋"/>
          <w:color w:val="auto"/>
          <w:sz w:val="32"/>
          <w:szCs w:val="32"/>
          <w:lang w:val="en-US" w:eastAsia="zh-CN"/>
        </w:rPr>
        <w:t>等全部费用</w:t>
      </w:r>
      <w:r>
        <w:rPr>
          <w:rFonts w:hint="eastAsia" w:ascii="仿宋" w:hAnsi="仿宋" w:eastAsia="仿宋" w:cs="仿宋"/>
          <w:color w:val="auto"/>
          <w:sz w:val="32"/>
          <w:szCs w:val="32"/>
          <w:lang w:eastAsia="zh-CN"/>
        </w:rPr>
        <w:t>，</w:t>
      </w:r>
      <w:r>
        <w:rPr>
          <w:rFonts w:hint="eastAsia" w:ascii="仿宋" w:hAnsi="仿宋" w:eastAsia="仿宋" w:cs="仿宋"/>
          <w:color w:val="FF0000"/>
          <w:sz w:val="32"/>
          <w:szCs w:val="32"/>
        </w:rPr>
        <w:t>本次成交价为管理人净得价</w:t>
      </w:r>
      <w:r>
        <w:rPr>
          <w:rFonts w:hint="eastAsia" w:ascii="仿宋" w:hAnsi="仿宋" w:eastAsia="仿宋" w:cs="仿宋"/>
          <w:color w:val="auto"/>
          <w:sz w:val="32"/>
          <w:szCs w:val="32"/>
        </w:rPr>
        <w:t>。</w:t>
      </w:r>
    </w:p>
    <w:p w14:paraId="3481C0C1">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软件服务费：拍卖标的通过阿里拍卖系统网络竞价流程成交，竞买人即应按照规则向淘宝支付软件服务费：系统成交价总额的0.5%，单个标的软件服务费金额上限为50万（人民币：伍拾万元整）。其中：系统成交价=起拍价+溢价。软件服务费缴费方式：线上支付，标的物竞拍成功后，平台系统会生成一笔待支付的软件服务费，买受人通过线上完成相应费用的支付后，保证金将转为货款转至处置主体的支付宝账户（若买受人未足额支付软件服务费的，平台将冻结竞拍保证金直至买受人线上完成软件服务费订单的支付）。买受人缴纳软件服务费后，如需索取发票的，买受人可在系统中查看已完成支付的软件服务费记录并点击申请开票。拍卖成交价不含本条所涉及费用。</w:t>
      </w:r>
    </w:p>
    <w:p w14:paraId="0D783B96">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（三）综合服务费：本次拍卖综合服务费全部由买受人承担，费用收取标准为成交价</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0.5</w:t>
      </w:r>
      <w:r>
        <w:rPr>
          <w:rFonts w:hint="eastAsia" w:ascii="仿宋" w:hAnsi="仿宋" w:eastAsia="仿宋" w:cs="仿宋"/>
          <w:color w:val="auto"/>
          <w:sz w:val="32"/>
          <w:szCs w:val="32"/>
        </w:rPr>
        <w:t>%，应于拍卖成交后三个工作日内向辅助机构缴纳，逾期未支付的，辅</w:t>
      </w:r>
      <w:r>
        <w:rPr>
          <w:rFonts w:hint="eastAsia" w:ascii="仿宋" w:hAnsi="仿宋" w:eastAsia="仿宋" w:cs="仿宋"/>
          <w:sz w:val="32"/>
          <w:szCs w:val="32"/>
        </w:rPr>
        <w:t>助机构有权利追缴。拍卖成交价不含本条所涉及费用。</w:t>
      </w:r>
    </w:p>
    <w:p w14:paraId="53BCFA47">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如不能在约定时间内签署《拍卖成交确认书》并足额交纳拍卖成交款项、软件服务费、综合服务费，视同买受人违约。</w:t>
      </w:r>
    </w:p>
    <w:p w14:paraId="1AE3673E">
      <w:pPr>
        <w:spacing w:line="480" w:lineRule="exact"/>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、保证金和余款支付：</w:t>
      </w:r>
    </w:p>
    <w:p w14:paraId="2390C597">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（一）拍卖竞价前将通过破产强清平台系统在竞买人支付宝账户内锁定相应资金作为应缴的保证金，拍卖结束后未能竞得者锁定的保证金自动解锁，锁定期间不计利息。</w:t>
      </w:r>
    </w:p>
    <w:p w14:paraId="33CA3D3A">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（二）拍卖成交后，买受人交纳的保证金可以充抵价款，本标的物买受人原锁定的保证金将在买受人支付软件服务费以后的24小时以内自动转入本管理人指定账户。</w:t>
      </w:r>
    </w:p>
    <w:p w14:paraId="5F292F8D">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拍卖余款请在拍卖成交后30日内支付到管理人指定账户（</w:t>
      </w:r>
      <w:r>
        <w:rPr>
          <w:rFonts w:hint="eastAsia" w:ascii="仿宋" w:hAnsi="仿宋" w:eastAsia="仿宋" w:cs="仿宋"/>
          <w:sz w:val="32"/>
          <w:szCs w:val="32"/>
          <w:lang w:eastAsia="zh-CN"/>
        </w:rPr>
        <w:t>安徽凯瑞轻钢彩板有限公司</w:t>
      </w:r>
      <w:r>
        <w:rPr>
          <w:rFonts w:hint="eastAsia" w:ascii="仿宋" w:hAnsi="仿宋" w:eastAsia="仿宋" w:cs="仿宋"/>
          <w:sz w:val="32"/>
          <w:szCs w:val="32"/>
        </w:rPr>
        <w:t>管理人，开户银行：</w:t>
      </w:r>
      <w:r>
        <w:rPr>
          <w:rFonts w:hint="eastAsia" w:ascii="仿宋" w:hAnsi="仿宋" w:eastAsia="仿宋" w:cs="仿宋"/>
          <w:sz w:val="32"/>
          <w:szCs w:val="32"/>
          <w:lang w:val="en-US" w:eastAsia="zh-CN"/>
        </w:rPr>
        <w:t>徽商银行股份有限公司含山支行</w:t>
      </w:r>
      <w:r>
        <w:rPr>
          <w:rFonts w:hint="eastAsia" w:ascii="仿宋" w:hAnsi="仿宋" w:eastAsia="仿宋" w:cs="仿宋"/>
          <w:sz w:val="32"/>
          <w:szCs w:val="32"/>
        </w:rPr>
        <w:t>，账号：</w:t>
      </w:r>
      <w:r>
        <w:rPr>
          <w:rFonts w:hint="eastAsia" w:ascii="仿宋" w:hAnsi="仿宋" w:eastAsia="仿宋" w:cs="仿宋"/>
          <w:sz w:val="32"/>
          <w:szCs w:val="32"/>
          <w:lang w:val="en-US" w:eastAsia="zh-CN"/>
        </w:rPr>
        <w:t>262351377611000002</w:t>
      </w:r>
      <w:r>
        <w:rPr>
          <w:rFonts w:hint="eastAsia" w:ascii="仿宋" w:hAnsi="仿宋" w:eastAsia="仿宋" w:cs="仿宋"/>
          <w:sz w:val="32"/>
          <w:szCs w:val="32"/>
        </w:rPr>
        <w:t>）并备注买受人名称及标的名称。</w:t>
      </w:r>
    </w:p>
    <w:p w14:paraId="65373CEB">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https://www.taobao.com/market/paimai/sf-helpcenter.php?path=sf-hc-right-content5#q1</w:t>
      </w:r>
    </w:p>
    <w:p w14:paraId="2FB6B758">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竞买人未按期支付拍卖款，或未支付软件服务费等原因导致管理人未能按期收到竞买人交付的保证金的，均视为悔拍。拍卖成交后竞买人悔拍的，交纳的保证金不予退还，依次用于支付拍卖产生的费用损失、弥补重新拍卖价款低于原拍卖价款的差价、计入债务人财产。悔拍后原竞买人不得参加竞买。保证金数额不足以弥补拍卖费用损失以及重新拍卖价款低于原拍卖价款的差价的，管理人可向悔拍人追索。</w:t>
      </w:r>
    </w:p>
    <w:p w14:paraId="35F0BB07">
      <w:pPr>
        <w:spacing w:line="480" w:lineRule="exact"/>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val="en-US" w:eastAsia="zh-CN"/>
        </w:rPr>
        <w:t>八</w:t>
      </w:r>
      <w:r>
        <w:rPr>
          <w:rFonts w:hint="eastAsia" w:ascii="仿宋" w:hAnsi="仿宋" w:eastAsia="仿宋" w:cs="仿宋"/>
          <w:b/>
          <w:bCs/>
          <w:sz w:val="32"/>
          <w:szCs w:val="32"/>
        </w:rPr>
        <w:t>、拍品交付：</w:t>
      </w:r>
    </w:p>
    <w:p w14:paraId="3BFA3A88">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买受人应于付清全部拍卖成交款后三日内凭付款凭证及相关身份材料到管理人处签署拍卖成交材料。</w:t>
      </w:r>
    </w:p>
    <w:p w14:paraId="409A8E44">
      <w:pPr>
        <w:spacing w:line="480" w:lineRule="exact"/>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、特别提醒：</w:t>
      </w:r>
    </w:p>
    <w:p w14:paraId="74767805">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（一）标的物特殊情况说明：</w:t>
      </w:r>
    </w:p>
    <w:p w14:paraId="5E0CEE05">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color w:val="auto"/>
          <w:sz w:val="32"/>
          <w:szCs w:val="32"/>
          <w:highlight w:val="none"/>
        </w:rPr>
        <w:t>本次拍卖标的有租赁，腾空时间不作保证</w:t>
      </w:r>
      <w:r>
        <w:rPr>
          <w:rFonts w:hint="eastAsia" w:ascii="仿宋" w:hAnsi="仿宋" w:eastAsia="仿宋" w:cs="仿宋"/>
          <w:color w:val="auto"/>
          <w:sz w:val="32"/>
          <w:szCs w:val="32"/>
        </w:rPr>
        <w:t>。</w:t>
      </w:r>
      <w:r>
        <w:rPr>
          <w:rFonts w:hint="eastAsia" w:ascii="仿宋" w:hAnsi="仿宋" w:eastAsia="仿宋" w:cs="仿宋"/>
          <w:sz w:val="32"/>
          <w:szCs w:val="32"/>
        </w:rPr>
        <w:t>标的以实物现状进行拍卖移交，拍卖标的物已知及可能存在的瑕疵由竞买人自行了解，拍卖人对拍卖标的物所作的说明和提供的资料等，仅供竞买人参考，不构成对标的物的任何担保。所以请竞买人在拍卖前必须仔细审查拍卖标的物，调查是否存在瑕疵，认真研究查看所竞买标的物的实际情况，并请亲临展示现场，实地看样，未看样及看样的竞买人视为对本标的实物现状的确认，慎重决定竞买行为，竞买人一旦作出竞买决定，即表明已完全了解，并接受标的物的现状和一切已知及未知的瑕疵。拍卖成交后因买受人自身问题导致资产无法过户的，竞买保证金及拍卖价款不予退还。</w:t>
      </w:r>
    </w:p>
    <w:p w14:paraId="6F26F07B">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2）财产“按现状”处置。转让标的物的数量、外在质量、外观、结构、固定装修、内在质量、面积、权属状态及法律瑕疵状态以交付时的“现状”为准，管理人及辅助机构不承担转让标的物的任何瑕疵担保责任。评估报告、明细表仅作为参考数量，不作为交付依据。</w:t>
      </w:r>
    </w:p>
    <w:p w14:paraId="0BC02BF0">
      <w:pPr>
        <w:spacing w:line="480" w:lineRule="exact"/>
        <w:ind w:firstLine="640" w:firstLineChars="200"/>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）拍卖成交后，如</w:t>
      </w:r>
      <w:r>
        <w:rPr>
          <w:rFonts w:hint="default" w:ascii="仿宋" w:hAnsi="仿宋" w:eastAsia="仿宋" w:cs="仿宋"/>
          <w:color w:val="auto"/>
          <w:sz w:val="32"/>
          <w:szCs w:val="32"/>
          <w:lang w:eastAsia="zh-CN"/>
        </w:rPr>
        <w:t>拍卖标的</w:t>
      </w:r>
      <w:r>
        <w:rPr>
          <w:rFonts w:hint="eastAsia" w:ascii="仿宋" w:hAnsi="仿宋" w:eastAsia="仿宋" w:cs="仿宋"/>
          <w:color w:val="auto"/>
          <w:sz w:val="32"/>
          <w:szCs w:val="32"/>
          <w:lang w:eastAsia="zh-CN"/>
        </w:rPr>
        <w:t>涉及违法、违章部分，由买受人自行接受行政主管部门依照有关行政法规的处理。因买受人怠于处理造成无法过户的，责任自负。如行政机构要求买受人依法拆除违法、违章</w:t>
      </w:r>
      <w:r>
        <w:rPr>
          <w:rFonts w:hint="eastAsia" w:ascii="仿宋" w:hAnsi="仿宋" w:eastAsia="仿宋" w:cs="仿宋"/>
          <w:color w:val="auto"/>
          <w:sz w:val="32"/>
          <w:szCs w:val="32"/>
          <w:lang w:val="en-US" w:eastAsia="zh-CN"/>
        </w:rPr>
        <w:t>建筑物、构筑物、附属物等</w:t>
      </w:r>
      <w:r>
        <w:rPr>
          <w:rFonts w:hint="eastAsia" w:ascii="仿宋" w:hAnsi="仿宋" w:eastAsia="仿宋" w:cs="仿宋"/>
          <w:color w:val="auto"/>
          <w:sz w:val="32"/>
          <w:szCs w:val="32"/>
          <w:lang w:eastAsia="zh-CN"/>
        </w:rPr>
        <w:t>，所涉的拍卖款，管理人不予退还。</w:t>
      </w:r>
    </w:p>
    <w:p w14:paraId="55E8CF3D">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对拍卖标的能否办理过户手续及办理过户手续的时间请竞买人在竞买前自行到相关职能部门咨询确认，标的物现状及存在瑕疵等原因不能或者延迟办理过户手续及办理二次过户造成的费用增加的后果自负，管理人及辅助机构不作过户的任何承诺，不承担过户涉及的一切费用。</w:t>
      </w:r>
    </w:p>
    <w:p w14:paraId="4B464B0A">
      <w:pPr>
        <w:shd w:val="clear" w:color="auto" w:fill="FFFFFF"/>
        <w:spacing w:line="500" w:lineRule="exact"/>
        <w:ind w:firstLine="640" w:firstLineChars="200"/>
        <w:rPr>
          <w:rFonts w:hint="eastAsia" w:ascii="仿宋" w:hAnsi="仿宋" w:eastAsia="仿宋" w:cs="仿宋"/>
          <w:color w:val="FF0000"/>
          <w:sz w:val="32"/>
          <w:szCs w:val="32"/>
        </w:rPr>
      </w:pPr>
      <w:r>
        <w:rPr>
          <w:rFonts w:hint="eastAsia" w:ascii="仿宋" w:hAnsi="仿宋" w:eastAsia="仿宋" w:cs="仿宋"/>
          <w:color w:val="auto"/>
          <w:sz w:val="32"/>
          <w:szCs w:val="32"/>
        </w:rPr>
        <w:t>法院解除查封手续需要一定的时间，拍卖标的物相关权证原件无法取得或存在担保物权的，办理标的物权属变更登记时需办理登记注销手续或注销他项权证，办理权属变更登记的时间会延迟。</w:t>
      </w:r>
    </w:p>
    <w:p w14:paraId="08CAA6DE">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（二）竞买人竞价前应向相关政府部门，对标的物的权属、能否过户、过户要求和流程、税费缴付的标准及起止时间，以及其他须注意的事项进行咨询，因政策原因或其他原因导致不能过户的风险由竞买人承担。</w:t>
      </w:r>
    </w:p>
    <w:p w14:paraId="69566D46">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本次网络拍卖所涉标的物，全部依其现状进行处置。现状是指转让标的物的数量、外在质量、外观、结构、固定装修、内在质量、面积、权属状态及法律瑕疵状态以交付时的等现实状况，至竞价时点竞买人没有异议，则表示竞买人认可看样时点与竞价时点标的现状一致。请欲报名参与拍卖的竞买人充分考虑标的显性和隐性的瑕疵风险以及市场价格的波动，谨慎选择，慎重决定。管理人、辅助机构、淘宝网络拍卖平台不承担标的物的瑕疵保证。有意者请亲自实地看样，未看样的竞买人视为对本标的实物现状的确认，责任自负。</w:t>
      </w:r>
    </w:p>
    <w:p w14:paraId="2DDA00EC">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（四）本次网络拍卖所涉标的物详见评估报告，买受人需承担标的物存在的其他权利瑕疵风险。</w:t>
      </w:r>
    </w:p>
    <w:p w14:paraId="7C1EDBBF">
      <w:pPr>
        <w:spacing w:line="480" w:lineRule="exact"/>
        <w:ind w:firstLine="640" w:firstLineChars="200"/>
        <w:jc w:val="left"/>
        <w:rPr>
          <w:rFonts w:hint="eastAsia" w:ascii="仿宋" w:hAnsi="仿宋" w:eastAsia="仿宋" w:cs="仿宋"/>
          <w:color w:val="FF0000"/>
          <w:sz w:val="32"/>
          <w:szCs w:val="32"/>
        </w:rPr>
      </w:pPr>
      <w:r>
        <w:rPr>
          <w:rFonts w:hint="eastAsia" w:ascii="仿宋" w:hAnsi="仿宋" w:eastAsia="仿宋" w:cs="仿宋"/>
          <w:sz w:val="32"/>
          <w:szCs w:val="32"/>
        </w:rPr>
        <w:t>（五）管理人、辅助机构对此次拍卖标的物所作的说明和提供的图片、文字资料等，仅供竞买人参考，不构成对标的物的任何担保，不作为对竞买人参与此次竞价的建议，仅提供竞买人参考。</w:t>
      </w:r>
      <w:r>
        <w:rPr>
          <w:rFonts w:hint="eastAsia" w:ascii="仿宋" w:hAnsi="仿宋" w:eastAsia="仿宋" w:cs="仿宋"/>
          <w:color w:val="FF0000"/>
          <w:sz w:val="32"/>
          <w:szCs w:val="32"/>
        </w:rPr>
        <w:t>（特别提醒：有意者请亲自实地看样，未看样的竞买人视为对本标的物现状的确认，竞买人一旦作出竞买决定，即表明已完全了解，并接受标的物的现状和一切已知及未知的瑕疵，责任自负。）</w:t>
      </w:r>
    </w:p>
    <w:p w14:paraId="197A263C">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六）参照法释〔2016〕18号《最高人民法院关于人民法院网络司法拍卖若干问题的规定》，竞买人成功竞得拍卖标的物后，破产强清平台生成相应《拍卖成交确认书》，确认书中载明实际买受人姓名、网拍竞买号信息，但不进行公示。</w:t>
      </w:r>
    </w:p>
    <w:p w14:paraId="39B7E46E">
      <w:pPr>
        <w:spacing w:line="480" w:lineRule="exact"/>
        <w:ind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十</w:t>
      </w:r>
      <w:r>
        <w:rPr>
          <w:rFonts w:hint="eastAsia" w:ascii="仿宋" w:hAnsi="仿宋" w:eastAsia="仿宋" w:cs="仿宋"/>
          <w:sz w:val="32"/>
          <w:szCs w:val="32"/>
        </w:rPr>
        <w:t>、本次网上公开竞价《拍卖公告》、《竞买须知》、《标的物介绍》等标的物相关文件已在淘宝网络拍卖平台公开展示，请仔细阅读。辅助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776C6CFF">
      <w:pPr>
        <w:spacing w:line="480" w:lineRule="exact"/>
        <w:ind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十</w:t>
      </w:r>
      <w:r>
        <w:rPr>
          <w:rFonts w:hint="eastAsia" w:ascii="仿宋" w:hAnsi="仿宋" w:eastAsia="仿宋" w:cs="仿宋"/>
          <w:b/>
          <w:bCs/>
          <w:sz w:val="32"/>
          <w:szCs w:val="32"/>
          <w:lang w:val="en-US" w:eastAsia="zh-CN"/>
        </w:rPr>
        <w:t>一</w:t>
      </w:r>
      <w:r>
        <w:rPr>
          <w:rFonts w:hint="eastAsia" w:ascii="仿宋" w:hAnsi="仿宋" w:eastAsia="仿宋" w:cs="仿宋"/>
          <w:sz w:val="32"/>
          <w:szCs w:val="32"/>
        </w:rPr>
        <w:t>、竞买人在拍卖前请务必仔细阅读相应标的拍卖公告、竞买须知、标的详情。本公告其他未尽事宜，请向管理人或辅助机构咨询。</w:t>
      </w:r>
    </w:p>
    <w:p w14:paraId="554A57BD">
      <w:pPr>
        <w:spacing w:line="480" w:lineRule="exact"/>
        <w:jc w:val="left"/>
        <w:rPr>
          <w:rFonts w:hint="eastAsia" w:ascii="仿宋" w:hAnsi="仿宋" w:eastAsia="仿宋" w:cs="仿宋"/>
          <w:sz w:val="32"/>
          <w:szCs w:val="32"/>
        </w:rPr>
      </w:pPr>
      <w:r>
        <w:rPr>
          <w:rFonts w:hint="eastAsia" w:ascii="仿宋" w:hAnsi="仿宋" w:eastAsia="仿宋" w:cs="仿宋"/>
          <w:sz w:val="32"/>
          <w:szCs w:val="32"/>
        </w:rPr>
        <w:t>淘宝技术咨询：400-822-2870</w:t>
      </w:r>
    </w:p>
    <w:p w14:paraId="4A8B0B25">
      <w:pPr>
        <w:pStyle w:val="2"/>
        <w:ind w:left="0" w:leftChars="0" w:firstLine="0" w:firstLineChars="0"/>
        <w:rPr>
          <w:rFonts w:hint="default" w:ascii="仿宋" w:hAnsi="仿宋" w:cs="仿宋"/>
          <w:sz w:val="32"/>
          <w:szCs w:val="32"/>
          <w:lang w:eastAsia="zh-CN"/>
        </w:rPr>
      </w:pPr>
      <w:r>
        <w:rPr>
          <w:rFonts w:hint="eastAsia" w:ascii="仿宋" w:hAnsi="仿宋" w:cs="仿宋"/>
          <w:sz w:val="32"/>
          <w:szCs w:val="32"/>
          <w:lang w:val="en-US" w:eastAsia="zh-CN"/>
        </w:rPr>
        <w:t>管理人电话：张律师</w:t>
      </w:r>
      <w:r>
        <w:rPr>
          <w:rFonts w:hint="default" w:ascii="仿宋" w:hAnsi="仿宋" w:cs="仿宋"/>
          <w:sz w:val="32"/>
          <w:szCs w:val="32"/>
          <w:lang w:eastAsia="zh-CN"/>
        </w:rPr>
        <w:t>/13605559572</w:t>
      </w:r>
    </w:p>
    <w:p w14:paraId="1DF46851">
      <w:pPr>
        <w:spacing w:line="480" w:lineRule="exact"/>
        <w:jc w:val="left"/>
        <w:rPr>
          <w:rFonts w:hint="eastAsia" w:ascii="仿宋" w:hAnsi="仿宋" w:eastAsia="仿宋" w:cs="仿宋"/>
          <w:sz w:val="32"/>
          <w:szCs w:val="32"/>
        </w:rPr>
      </w:pPr>
      <w:r>
        <w:rPr>
          <w:rFonts w:hint="eastAsia" w:ascii="仿宋" w:hAnsi="仿宋" w:eastAsia="仿宋" w:cs="仿宋"/>
          <w:sz w:val="32"/>
          <w:szCs w:val="32"/>
        </w:rPr>
        <w:t>辅助机构名称：安徽恒邦拍卖有限公司</w:t>
      </w:r>
    </w:p>
    <w:p w14:paraId="1DF14B55">
      <w:pPr>
        <w:spacing w:line="480" w:lineRule="exact"/>
        <w:jc w:val="left"/>
        <w:rPr>
          <w:rFonts w:hint="eastAsia" w:ascii="仿宋" w:hAnsi="仿宋" w:eastAsia="仿宋" w:cs="仿宋"/>
          <w:sz w:val="32"/>
          <w:szCs w:val="32"/>
        </w:rPr>
      </w:pPr>
      <w:r>
        <w:rPr>
          <w:rFonts w:hint="eastAsia" w:ascii="仿宋" w:hAnsi="仿宋" w:eastAsia="仿宋" w:cs="仿宋"/>
          <w:sz w:val="32"/>
          <w:szCs w:val="32"/>
        </w:rPr>
        <w:t>辅助机构电话：陈经理/18855765441</w:t>
      </w:r>
      <w:r>
        <w:rPr>
          <w:rFonts w:ascii="仿宋" w:hAnsi="仿宋" w:eastAsia="仿宋" w:cs="仿宋"/>
          <w:sz w:val="32"/>
          <w:szCs w:val="32"/>
        </w:rPr>
        <w:t xml:space="preserve"> </w:t>
      </w:r>
      <w:r>
        <w:rPr>
          <w:rFonts w:hint="eastAsia" w:ascii="仿宋" w:hAnsi="仿宋" w:eastAsia="仿宋" w:cs="仿宋"/>
          <w:sz w:val="32"/>
          <w:szCs w:val="32"/>
        </w:rPr>
        <w:t>、陈女士/18655518950</w:t>
      </w:r>
    </w:p>
    <w:p w14:paraId="6F67C1C9">
      <w:pPr>
        <w:spacing w:line="480" w:lineRule="exact"/>
        <w:ind w:firstLine="200"/>
        <w:jc w:val="left"/>
        <w:rPr>
          <w:rFonts w:hint="eastAsia" w:ascii="仿宋" w:hAnsi="仿宋" w:eastAsia="仿宋" w:cs="仿宋"/>
          <w:sz w:val="32"/>
          <w:szCs w:val="32"/>
        </w:rPr>
      </w:pPr>
    </w:p>
    <w:p w14:paraId="5FCC6C11">
      <w:pPr>
        <w:spacing w:line="480" w:lineRule="exact"/>
        <w:ind w:firstLine="200"/>
        <w:jc w:val="left"/>
        <w:rPr>
          <w:rFonts w:hint="eastAsia" w:ascii="仿宋" w:hAnsi="仿宋" w:eastAsia="仿宋" w:cs="仿宋"/>
          <w:sz w:val="32"/>
          <w:szCs w:val="32"/>
        </w:rPr>
      </w:pPr>
    </w:p>
    <w:p w14:paraId="3F1CAA40">
      <w:pPr>
        <w:spacing w:line="480" w:lineRule="exact"/>
        <w:ind w:firstLine="200"/>
        <w:jc w:val="right"/>
        <w:rPr>
          <w:rFonts w:hint="eastAsia" w:ascii="仿宋" w:hAnsi="仿宋" w:eastAsia="仿宋" w:cs="仿宋"/>
          <w:sz w:val="32"/>
          <w:szCs w:val="32"/>
        </w:rPr>
      </w:pPr>
      <w:r>
        <w:rPr>
          <w:rFonts w:hint="eastAsia" w:ascii="仿宋" w:hAnsi="仿宋" w:eastAsia="仿宋" w:cs="仿宋"/>
          <w:sz w:val="32"/>
          <w:szCs w:val="32"/>
          <w:lang w:eastAsia="zh-CN"/>
        </w:rPr>
        <w:t>安徽凯瑞轻钢彩板有限公司</w:t>
      </w:r>
      <w:r>
        <w:rPr>
          <w:rFonts w:hint="eastAsia" w:ascii="仿宋" w:hAnsi="仿宋" w:eastAsia="仿宋" w:cs="仿宋"/>
          <w:sz w:val="32"/>
          <w:szCs w:val="32"/>
        </w:rPr>
        <w:t>管理人</w:t>
      </w:r>
    </w:p>
    <w:p w14:paraId="3F849CA1">
      <w:pPr>
        <w:spacing w:line="480" w:lineRule="exact"/>
        <w:ind w:right="640" w:firstLine="200"/>
        <w:jc w:val="right"/>
        <w:rPr>
          <w:rFonts w:hint="eastAsia" w:ascii="仿宋" w:hAnsi="仿宋" w:eastAsia="仿宋" w:cs="仿宋"/>
          <w:sz w:val="32"/>
          <w:szCs w:val="32"/>
          <w:lang w:eastAsia="zh-CN"/>
        </w:rPr>
      </w:pPr>
      <w:r>
        <w:rPr>
          <w:rFonts w:hint="eastAsia" w:ascii="仿宋" w:hAnsi="仿宋" w:eastAsia="仿宋" w:cs="仿宋"/>
          <w:sz w:val="32"/>
          <w:szCs w:val="32"/>
        </w:rPr>
        <w:t>二〇二四年</w:t>
      </w:r>
      <w:r>
        <w:rPr>
          <w:rFonts w:hint="eastAsia" w:ascii="仿宋" w:hAnsi="仿宋" w:eastAsia="仿宋" w:cs="仿宋"/>
          <w:sz w:val="32"/>
          <w:szCs w:val="32"/>
          <w:lang w:val="en-US" w:eastAsia="zh-CN"/>
        </w:rPr>
        <w:t>十二</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二十八</w:t>
      </w:r>
      <w:r>
        <w:rPr>
          <w:rFonts w:hint="eastAsia" w:ascii="仿宋" w:hAnsi="仿宋" w:eastAsia="仿宋" w:cs="仿宋"/>
          <w:sz w:val="32"/>
          <w:szCs w:val="32"/>
          <w:lang w:eastAsia="zh-CN"/>
        </w:rPr>
        <w:t>日</w:t>
      </w:r>
    </w:p>
    <w:p w14:paraId="73D84FC3">
      <w:pPr>
        <w:spacing w:line="480" w:lineRule="exact"/>
        <w:ind w:firstLine="200"/>
        <w:jc w:val="right"/>
        <w:rPr>
          <w:rFonts w:hint="eastAsia" w:ascii="仿宋" w:hAnsi="仿宋" w:eastAsia="仿宋" w:cs="仿宋"/>
          <w:sz w:val="32"/>
          <w:szCs w:val="32"/>
        </w:rPr>
      </w:pPr>
    </w:p>
    <w:p w14:paraId="3B19CF43">
      <w:pPr>
        <w:spacing w:line="480" w:lineRule="exact"/>
        <w:ind w:firstLine="200"/>
        <w:jc w:val="right"/>
        <w:rPr>
          <w:rFonts w:hint="eastAsia" w:ascii="仿宋" w:hAnsi="仿宋" w:eastAsia="仿宋" w:cs="仿宋"/>
          <w:sz w:val="32"/>
          <w:szCs w:val="32"/>
        </w:rPr>
      </w:pPr>
    </w:p>
    <w:p w14:paraId="0079506B">
      <w:pPr>
        <w:spacing w:line="480" w:lineRule="exact"/>
        <w:ind w:firstLine="200"/>
        <w:jc w:val="right"/>
        <w:rPr>
          <w:rFonts w:hint="eastAsia" w:ascii="仿宋" w:hAnsi="仿宋" w:eastAsia="仿宋" w:cs="仿宋"/>
          <w:sz w:val="32"/>
          <w:szCs w:val="32"/>
        </w:rPr>
      </w:pPr>
    </w:p>
    <w:p w14:paraId="6CACBD86">
      <w:pPr>
        <w:spacing w:line="480" w:lineRule="exact"/>
        <w:ind w:firstLine="200"/>
        <w:jc w:val="right"/>
        <w:rPr>
          <w:rFonts w:hint="eastAsia" w:ascii="仿宋" w:hAnsi="仿宋" w:eastAsia="仿宋" w:cs="仿宋"/>
          <w:sz w:val="32"/>
          <w:szCs w:val="32"/>
        </w:rPr>
      </w:pPr>
    </w:p>
    <w:p w14:paraId="5B6CD7D4">
      <w:pPr>
        <w:spacing w:line="480" w:lineRule="exact"/>
        <w:ind w:firstLine="200"/>
        <w:jc w:val="right"/>
        <w:rPr>
          <w:rFonts w:hint="eastAsia" w:ascii="仿宋" w:hAnsi="仿宋" w:eastAsia="仿宋" w:cs="仿宋"/>
          <w:sz w:val="32"/>
          <w:szCs w:val="32"/>
        </w:rPr>
      </w:pPr>
    </w:p>
    <w:p w14:paraId="34AC2370">
      <w:pPr>
        <w:spacing w:line="480" w:lineRule="exact"/>
        <w:ind w:firstLine="200"/>
        <w:jc w:val="right"/>
        <w:rPr>
          <w:rFonts w:hint="eastAsia" w:ascii="仿宋" w:hAnsi="仿宋" w:eastAsia="仿宋" w:cs="仿宋"/>
          <w:sz w:val="32"/>
          <w:szCs w:val="32"/>
        </w:rPr>
      </w:pPr>
    </w:p>
    <w:p w14:paraId="0E8DE8E6">
      <w:pPr>
        <w:spacing w:line="480" w:lineRule="exact"/>
        <w:ind w:firstLine="880" w:firstLineChars="200"/>
        <w:jc w:val="center"/>
        <w:rPr>
          <w:rFonts w:hint="eastAsia" w:ascii="仿宋" w:hAnsi="仿宋" w:eastAsia="仿宋" w:cs="黑体"/>
          <w:sz w:val="44"/>
          <w:szCs w:val="44"/>
        </w:rPr>
      </w:pPr>
    </w:p>
    <w:p w14:paraId="130B9484">
      <w:pPr>
        <w:spacing w:line="480" w:lineRule="exact"/>
        <w:ind w:firstLine="880" w:firstLineChars="200"/>
        <w:jc w:val="center"/>
        <w:rPr>
          <w:rFonts w:hint="eastAsia" w:ascii="仿宋" w:hAnsi="仿宋" w:eastAsia="仿宋" w:cs="黑体"/>
          <w:sz w:val="44"/>
          <w:szCs w:val="44"/>
        </w:rPr>
      </w:pPr>
    </w:p>
    <w:p w14:paraId="1A1AE779">
      <w:pPr>
        <w:spacing w:line="480" w:lineRule="exact"/>
        <w:ind w:firstLine="880" w:firstLineChars="200"/>
        <w:jc w:val="center"/>
        <w:rPr>
          <w:rFonts w:hint="eastAsia" w:ascii="仿宋" w:hAnsi="仿宋" w:eastAsia="仿宋" w:cs="黑体"/>
          <w:sz w:val="44"/>
          <w:szCs w:val="44"/>
        </w:rPr>
      </w:pPr>
    </w:p>
    <w:p w14:paraId="2EB6D2D0">
      <w:pPr>
        <w:spacing w:line="480" w:lineRule="exact"/>
        <w:ind w:firstLine="880" w:firstLineChars="200"/>
        <w:jc w:val="center"/>
        <w:rPr>
          <w:rFonts w:hint="eastAsia" w:ascii="仿宋" w:hAnsi="仿宋" w:eastAsia="仿宋" w:cs="黑体"/>
          <w:sz w:val="44"/>
          <w:szCs w:val="44"/>
        </w:rPr>
      </w:pPr>
    </w:p>
    <w:p w14:paraId="6D9D6010">
      <w:pPr>
        <w:pStyle w:val="2"/>
        <w:rPr>
          <w:rFonts w:hint="eastAsia"/>
        </w:rPr>
      </w:pPr>
    </w:p>
    <w:p w14:paraId="18A81040">
      <w:pPr>
        <w:spacing w:line="480" w:lineRule="exact"/>
        <w:ind w:firstLine="880" w:firstLineChars="200"/>
        <w:jc w:val="center"/>
        <w:rPr>
          <w:rFonts w:hint="eastAsia" w:ascii="仿宋" w:hAnsi="仿宋" w:eastAsia="仿宋" w:cs="黑体"/>
          <w:sz w:val="44"/>
          <w:szCs w:val="44"/>
        </w:rPr>
      </w:pPr>
    </w:p>
    <w:p w14:paraId="102E33A2">
      <w:pPr>
        <w:spacing w:line="480" w:lineRule="exact"/>
        <w:jc w:val="center"/>
        <w:rPr>
          <w:rFonts w:hint="eastAsia" w:ascii="仿宋" w:hAnsi="仿宋" w:eastAsia="仿宋"/>
          <w:sz w:val="44"/>
          <w:szCs w:val="44"/>
        </w:rPr>
      </w:pPr>
      <w:r>
        <w:rPr>
          <w:rFonts w:hint="eastAsia" w:ascii="仿宋" w:hAnsi="仿宋" w:eastAsia="仿宋" w:cs="黑体"/>
          <w:sz w:val="44"/>
          <w:szCs w:val="44"/>
        </w:rPr>
        <w:t>竞买须知</w:t>
      </w:r>
    </w:p>
    <w:p w14:paraId="0C8B2C7F">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一、本《竞买须知》根据《中华人民共和国民事诉讼法》等相关法律规定所制订，竞买人应认真仔细阅读，了解本须知的全部内容。</w:t>
      </w:r>
    </w:p>
    <w:p w14:paraId="5DF4CAB8">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二、本次拍卖活动遵循“公开、公平、公正、诚实守信”的原则，拍卖活动具备法律效力。参加本次拍卖活动的竞买人必须遵守本须知的各项条款，并对自己的行为承担法律责任。</w:t>
      </w:r>
    </w:p>
    <w:p w14:paraId="64032026">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管理人及辅助机构对房地产的实际面积以权证登记数字为准，管理人及辅助机构对房屋外观、质量问题、结构调整、固定装修损坏、房地产面积差异等不作担保，由买受人自行承担相关责任，由此产生的问题亦不影响拍卖成交结果及成交价格。</w:t>
      </w:r>
    </w:p>
    <w:p w14:paraId="71551747">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本次拍卖是经法定公告期和展示期后才举行的，就拍卖标的物已知及可能存在的瑕疵已在本次拍卖资料中作了详尽的说明。管理人及辅助机构对拍卖标的物所作的说明和提供的视频资料、图片等，仅供竞买人参考，不构成对标的物的任何担保。所以请竞买人在拍卖前必须仔细审查拍卖标的物，调查是否存在瑕疵，认真研究查看所竞买标的物的实际情况，并请亲临现场，实地看样，未看样的竞买人视为对本标的实物现状的确认，慎重决定竞买行为，竞买人一旦作出竞买决定，即表明已完全了解，并接受标的物的现状和一切已知及未知的瑕疵。</w:t>
      </w:r>
    </w:p>
    <w:p w14:paraId="14EF3345">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竞拍前竞买人应通过支付宝账户缴纳足额的拍卖保证金。竞买人在对拍卖标的物第一次确认出价竞拍前，按淘宝平台系统提示报名缴纳保证金，系统会自动锁定该笔款项。拍卖成交的，买受人锁定的保证金将在买受人支付软件服务费后24小时以内自动转入本管理人指定账户，其他竞买人的保证金在拍卖结束以后24小时以内自动解锁。保证金锁定期间不计利息。</w:t>
      </w:r>
    </w:p>
    <w:p w14:paraId="06D693E3">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六、保证金支付帮助：</w:t>
      </w:r>
      <w:r>
        <w:fldChar w:fldCharType="begin"/>
      </w:r>
      <w:r>
        <w:instrText xml:space="preserve"> HYPERLINK "https://www.taobao.com/market/paimai/sf-helpcenter.php?path=sf-hc-right-content5" \l "q1" </w:instrText>
      </w:r>
      <w:r>
        <w:fldChar w:fldCharType="separate"/>
      </w:r>
      <w:r>
        <w:rPr>
          <w:rStyle w:val="7"/>
          <w:rFonts w:hint="eastAsia" w:ascii="仿宋" w:hAnsi="仿宋" w:eastAsia="仿宋" w:cs="仿宋"/>
          <w:sz w:val="32"/>
          <w:szCs w:val="32"/>
        </w:rPr>
        <w:t>https://www.taobao.com/market/paimai/sf-helpcenter.php?path=sf-hc-right-content5#q1</w:t>
      </w:r>
      <w:r>
        <w:rPr>
          <w:rStyle w:val="7"/>
          <w:rFonts w:hint="eastAsia" w:ascii="仿宋" w:hAnsi="仿宋" w:eastAsia="仿宋" w:cs="仿宋"/>
          <w:sz w:val="32"/>
          <w:szCs w:val="32"/>
        </w:rPr>
        <w:fldChar w:fldCharType="end"/>
      </w:r>
    </w:p>
    <w:p w14:paraId="2B95768D">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七、本次拍卖活动计价货币为人民币，拍卖时的起拍价、成交价均不含买受人在拍卖标的物交割、过户时所发生的费用和税费。</w:t>
      </w:r>
    </w:p>
    <w:p w14:paraId="61FCBE84">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八、参加竞买的人应当遵守竞买须知的规定，不得阻挠其他竞买人竞拍，不得操纵、垄断竞拍价格，严禁竞买人恶意串标，上述行为一经发现，将取消其竞买资格，并追究相关的法律责任。</w:t>
      </w:r>
    </w:p>
    <w:p w14:paraId="18B64812">
      <w:pPr>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sz w:val="32"/>
          <w:szCs w:val="32"/>
        </w:rPr>
        <w:t>九、</w:t>
      </w:r>
      <w:r>
        <w:rPr>
          <w:rFonts w:hint="eastAsia" w:ascii="仿宋" w:hAnsi="仿宋" w:eastAsia="仿宋" w:cs="仿宋"/>
          <w:kern w:val="0"/>
          <w:sz w:val="32"/>
          <w:szCs w:val="32"/>
        </w:rPr>
        <w:t>根据法律规定，</w:t>
      </w:r>
      <w:r>
        <w:rPr>
          <w:rFonts w:hint="eastAsia" w:ascii="仿宋" w:hAnsi="仿宋" w:eastAsia="仿宋" w:cs="仿宋"/>
          <w:bCs/>
          <w:kern w:val="0"/>
          <w:sz w:val="32"/>
          <w:szCs w:val="32"/>
        </w:rPr>
        <w:t>受理法院与管理人</w:t>
      </w:r>
      <w:r>
        <w:rPr>
          <w:rFonts w:hint="eastAsia" w:ascii="仿宋" w:hAnsi="仿宋" w:eastAsia="仿宋" w:cs="仿宋"/>
          <w:kern w:val="0"/>
          <w:sz w:val="32"/>
          <w:szCs w:val="32"/>
        </w:rPr>
        <w:t>有权在竞价开始前、竞价过程中，中止竞价或撤回竞价。因网络或其他不可抗力导致竞价无法正常进行的，管理人待以上因素消除后视情决定重新竞价，并不承担因此造成的损失。</w:t>
      </w:r>
    </w:p>
    <w:p w14:paraId="538ADF6E">
      <w:pPr>
        <w:widowControl/>
        <w:shd w:val="clear" w:color="auto" w:fill="FFFFFF"/>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十、为便于买受人及时收到相关的法律文书及通知，竞买人在竞价前如实向淘宝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1A6A1650">
      <w:pPr>
        <w:widowControl/>
        <w:shd w:val="clear" w:color="auto" w:fill="FFFFFF"/>
        <w:spacing w:line="48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 xml:space="preserve"> </w:t>
      </w:r>
      <w:r>
        <w:rPr>
          <w:rFonts w:hint="eastAsia" w:ascii="仿宋" w:hAnsi="仿宋" w:eastAsia="仿宋" w:cs="仿宋"/>
          <w:sz w:val="32"/>
          <w:szCs w:val="32"/>
        </w:rPr>
        <w:t>十一、</w:t>
      </w:r>
      <w:r>
        <w:rPr>
          <w:rFonts w:hint="eastAsia" w:ascii="仿宋" w:hAnsi="仿宋" w:eastAsia="仿宋" w:cs="仿宋"/>
          <w:kern w:val="0"/>
          <w:sz w:val="32"/>
          <w:szCs w:val="32"/>
        </w:rPr>
        <w:t>竞买人在竞价前请务必仔细阅读公告、须知、标的详情。本规则其他未尽事宜，请予咨询。</w:t>
      </w:r>
    </w:p>
    <w:p w14:paraId="66B7EEFB">
      <w:pPr>
        <w:spacing w:line="48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凡发现拍卖中有违规行为，可如实举报。</w:t>
      </w:r>
    </w:p>
    <w:p w14:paraId="34FE576F">
      <w:pPr>
        <w:spacing w:line="480" w:lineRule="exact"/>
        <w:jc w:val="left"/>
        <w:rPr>
          <w:rFonts w:hint="eastAsia" w:ascii="仿宋" w:hAnsi="仿宋" w:eastAsia="仿宋" w:cs="仿宋"/>
          <w:sz w:val="32"/>
          <w:szCs w:val="32"/>
        </w:rPr>
      </w:pPr>
      <w:r>
        <w:rPr>
          <w:rFonts w:hint="eastAsia" w:ascii="仿宋" w:hAnsi="仿宋" w:eastAsia="仿宋" w:cs="仿宋"/>
          <w:sz w:val="32"/>
          <w:szCs w:val="32"/>
        </w:rPr>
        <w:t>淘宝技术咨询：400-822-2870</w:t>
      </w:r>
    </w:p>
    <w:p w14:paraId="4A90A13A">
      <w:pPr>
        <w:pStyle w:val="2"/>
        <w:ind w:left="0" w:leftChars="0" w:firstLine="0" w:firstLineChars="0"/>
        <w:rPr>
          <w:rFonts w:hint="default" w:ascii="仿宋" w:hAnsi="仿宋" w:cs="仿宋"/>
          <w:sz w:val="32"/>
          <w:szCs w:val="32"/>
          <w:lang w:eastAsia="zh-CN"/>
        </w:rPr>
      </w:pPr>
      <w:r>
        <w:rPr>
          <w:rFonts w:hint="eastAsia" w:ascii="仿宋" w:hAnsi="仿宋" w:cs="仿宋"/>
          <w:sz w:val="32"/>
          <w:szCs w:val="32"/>
          <w:lang w:val="en-US" w:eastAsia="zh-CN"/>
        </w:rPr>
        <w:t>管理人电话：张律师</w:t>
      </w:r>
      <w:r>
        <w:rPr>
          <w:rFonts w:hint="default" w:ascii="仿宋" w:hAnsi="仿宋" w:cs="仿宋"/>
          <w:sz w:val="32"/>
          <w:szCs w:val="32"/>
          <w:lang w:eastAsia="zh-CN"/>
        </w:rPr>
        <w:t>/13605559572</w:t>
      </w:r>
    </w:p>
    <w:p w14:paraId="6469CF54">
      <w:pPr>
        <w:spacing w:line="480" w:lineRule="exact"/>
        <w:jc w:val="left"/>
        <w:rPr>
          <w:rFonts w:hint="eastAsia" w:ascii="仿宋" w:hAnsi="仿宋" w:eastAsia="仿宋" w:cs="仿宋"/>
          <w:sz w:val="32"/>
          <w:szCs w:val="32"/>
        </w:rPr>
      </w:pPr>
      <w:r>
        <w:rPr>
          <w:rFonts w:hint="eastAsia" w:ascii="仿宋" w:hAnsi="仿宋" w:eastAsia="仿宋" w:cs="仿宋"/>
          <w:sz w:val="32"/>
          <w:szCs w:val="32"/>
        </w:rPr>
        <w:t>辅助机构名称：安徽恒邦拍卖有限公司</w:t>
      </w:r>
    </w:p>
    <w:p w14:paraId="0DBB68FC">
      <w:pPr>
        <w:spacing w:line="480" w:lineRule="exact"/>
        <w:jc w:val="left"/>
        <w:rPr>
          <w:rFonts w:hint="eastAsia" w:ascii="仿宋" w:hAnsi="仿宋" w:eastAsia="仿宋" w:cs="仿宋"/>
          <w:sz w:val="32"/>
          <w:szCs w:val="32"/>
        </w:rPr>
      </w:pPr>
      <w:r>
        <w:rPr>
          <w:rFonts w:hint="eastAsia" w:ascii="仿宋" w:hAnsi="仿宋" w:eastAsia="仿宋" w:cs="仿宋"/>
          <w:sz w:val="32"/>
          <w:szCs w:val="32"/>
        </w:rPr>
        <w:t>辅助机构电话：陈经理/18855765441</w:t>
      </w:r>
      <w:r>
        <w:rPr>
          <w:rFonts w:ascii="仿宋" w:hAnsi="仿宋" w:eastAsia="仿宋" w:cs="仿宋"/>
          <w:sz w:val="32"/>
          <w:szCs w:val="32"/>
        </w:rPr>
        <w:t xml:space="preserve"> </w:t>
      </w:r>
      <w:r>
        <w:rPr>
          <w:rFonts w:hint="eastAsia" w:ascii="仿宋" w:hAnsi="仿宋" w:eastAsia="仿宋" w:cs="仿宋"/>
          <w:sz w:val="32"/>
          <w:szCs w:val="32"/>
        </w:rPr>
        <w:t>、陈女士/18655518950</w:t>
      </w:r>
    </w:p>
    <w:p w14:paraId="3E42A847">
      <w:pPr>
        <w:spacing w:line="480" w:lineRule="exact"/>
        <w:ind w:firstLine="200"/>
        <w:jc w:val="left"/>
        <w:rPr>
          <w:rFonts w:hint="eastAsia" w:ascii="仿宋" w:hAnsi="仿宋" w:eastAsia="仿宋" w:cs="仿宋"/>
          <w:sz w:val="32"/>
          <w:szCs w:val="32"/>
        </w:rPr>
      </w:pPr>
    </w:p>
    <w:p w14:paraId="0B332E0A">
      <w:pPr>
        <w:spacing w:line="480" w:lineRule="exact"/>
        <w:ind w:firstLine="200"/>
        <w:jc w:val="right"/>
        <w:rPr>
          <w:rFonts w:hint="eastAsia" w:ascii="仿宋" w:hAnsi="仿宋" w:eastAsia="仿宋" w:cs="仿宋"/>
          <w:sz w:val="32"/>
          <w:szCs w:val="32"/>
        </w:rPr>
      </w:pPr>
      <w:r>
        <w:rPr>
          <w:rFonts w:hint="eastAsia" w:ascii="仿宋" w:hAnsi="仿宋" w:eastAsia="仿宋" w:cs="仿宋"/>
          <w:sz w:val="32"/>
          <w:szCs w:val="32"/>
          <w:lang w:eastAsia="zh-CN"/>
        </w:rPr>
        <w:t>安徽凯瑞轻钢彩板有限公司</w:t>
      </w:r>
      <w:r>
        <w:rPr>
          <w:rFonts w:hint="eastAsia" w:ascii="仿宋" w:hAnsi="仿宋" w:eastAsia="仿宋" w:cs="仿宋"/>
          <w:sz w:val="32"/>
          <w:szCs w:val="32"/>
        </w:rPr>
        <w:t>管理人</w:t>
      </w:r>
    </w:p>
    <w:p w14:paraId="5122EE3A">
      <w:pPr>
        <w:spacing w:line="480" w:lineRule="exact"/>
        <w:ind w:right="640" w:firstLine="200"/>
        <w:jc w:val="right"/>
        <w:rPr>
          <w:rFonts w:hint="eastAsia" w:ascii="仿宋" w:hAnsi="仿宋" w:eastAsia="仿宋" w:cs="仿宋"/>
          <w:sz w:val="32"/>
          <w:szCs w:val="32"/>
        </w:rPr>
      </w:pPr>
      <w:r>
        <w:rPr>
          <w:rFonts w:hint="eastAsia" w:ascii="仿宋" w:hAnsi="仿宋" w:eastAsia="仿宋" w:cs="仿宋"/>
          <w:sz w:val="32"/>
          <w:szCs w:val="32"/>
        </w:rPr>
        <w:t>二〇二四年</w:t>
      </w:r>
      <w:r>
        <w:rPr>
          <w:rFonts w:hint="eastAsia" w:ascii="仿宋" w:hAnsi="仿宋" w:eastAsia="仿宋" w:cs="仿宋"/>
          <w:sz w:val="32"/>
          <w:szCs w:val="32"/>
          <w:lang w:val="en-US" w:eastAsia="zh-CN"/>
        </w:rPr>
        <w:t>十二</w:t>
      </w:r>
      <w:r>
        <w:rPr>
          <w:rFonts w:hint="eastAsia" w:ascii="仿宋" w:hAnsi="仿宋" w:eastAsia="仿宋" w:cs="仿宋"/>
          <w:sz w:val="32"/>
          <w:szCs w:val="32"/>
        </w:rPr>
        <w:t>月</w:t>
      </w:r>
      <w:r>
        <w:rPr>
          <w:rFonts w:hint="eastAsia" w:ascii="仿宋" w:hAnsi="仿宋" w:eastAsia="仿宋" w:cs="仿宋"/>
          <w:sz w:val="32"/>
          <w:szCs w:val="32"/>
          <w:lang w:val="en-US" w:eastAsia="zh-CN"/>
        </w:rPr>
        <w:t>二十八</w:t>
      </w:r>
      <w:r>
        <w:rPr>
          <w:rFonts w:hint="eastAsia" w:ascii="仿宋" w:hAnsi="仿宋" w:eastAsia="仿宋" w:cs="仿宋"/>
          <w:sz w:val="32"/>
          <w:szCs w:val="32"/>
        </w:rPr>
        <w:t>日</w:t>
      </w:r>
    </w:p>
    <w:p w14:paraId="4122CF58"/>
    <w:sectPr>
      <w:pgSz w:w="11906" w:h="16838"/>
      <w:pgMar w:top="1440" w:right="1133"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zYWU2OGFlODQxMjBlZjkzYzNjMWM1OWJlYTI4MDUifQ=="/>
  </w:docVars>
  <w:rsids>
    <w:rsidRoot w:val="379B2AC7"/>
    <w:rsid w:val="09972933"/>
    <w:rsid w:val="0EEF2A26"/>
    <w:rsid w:val="13450742"/>
    <w:rsid w:val="1D022362"/>
    <w:rsid w:val="324A4137"/>
    <w:rsid w:val="379B2AC7"/>
    <w:rsid w:val="379D2F5B"/>
    <w:rsid w:val="3CB7061B"/>
    <w:rsid w:val="42254279"/>
    <w:rsid w:val="434F5DD7"/>
    <w:rsid w:val="43ED0DC6"/>
    <w:rsid w:val="442341F2"/>
    <w:rsid w:val="44A616A1"/>
    <w:rsid w:val="47750084"/>
    <w:rsid w:val="4D5123C6"/>
    <w:rsid w:val="58E660B8"/>
    <w:rsid w:val="5FD0361E"/>
    <w:rsid w:val="6AFE7291"/>
    <w:rsid w:val="6CAD0F6F"/>
    <w:rsid w:val="75B4542D"/>
    <w:rsid w:val="7F527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360" w:lineRule="auto"/>
      <w:ind w:firstLine="420" w:firstLineChars="200"/>
    </w:pPr>
    <w:rPr>
      <w:rFonts w:ascii="宋体" w:hAnsi="宋体" w:eastAsia="仿宋" w:cs="Times New Roman"/>
      <w:kern w:val="2"/>
      <w:sz w:val="32"/>
    </w:rPr>
  </w:style>
  <w:style w:type="paragraph" w:styleId="3">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unhideWhenUsed/>
    <w:qFormat/>
    <w:uiPriority w:val="99"/>
    <w:rPr>
      <w:color w:val="0563C1"/>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5683</Words>
  <Characters>6090</Characters>
  <Lines>0</Lines>
  <Paragraphs>0</Paragraphs>
  <TotalTime>68</TotalTime>
  <ScaleCrop>false</ScaleCrop>
  <LinksUpToDate>false</LinksUpToDate>
  <CharactersWithSpaces>6098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2024-12-05T01:54:00Z</dcterms:created>
  <dc:creator>牧辉</dc:creator>
  <cp:lastModifiedBy>瑶瑶</cp:lastModifiedBy>
  <dcterms:modified xsi:type="dcterms:W3CDTF">2024-12-27T08:00:17Z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FF7B09A408864C6E95347B1F40347ECB</vt:lpwstr>
  </property>
  <property fmtid="{D5CDD505-2E9C-101B-9397-08002B2CF9AE}" pid="4" name="KSOTemplateDocerSaveRecord">
    <vt:lpwstr>eyJoZGlkIjoiMjM1YTgyYzMxZTBkYWJhN2NiNThhZGM0NDNmOTE4ODMiLCJ1c2VySWQiOiI2MzMzMDgxMjEifQ==</vt:lpwstr>
  </property>
</Properties>
</file>