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A518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default" w:ascii="Arial" w:hAnsi="Arial" w:cs="Arial"/>
          <w:color w:val="333333"/>
          <w:sz w:val="18"/>
          <w:szCs w:val="18"/>
        </w:rPr>
      </w:pPr>
      <w:r>
        <w:rPr>
          <w:rFonts w:hint="eastAsia" w:ascii="仿宋" w:hAnsi="仿宋" w:eastAsia="仿宋" w:cs="仿宋"/>
          <w:b/>
          <w:bCs/>
          <w:kern w:val="2"/>
          <w:sz w:val="36"/>
          <w:szCs w:val="36"/>
          <w:lang w:val="en-US" w:eastAsia="zh-CN" w:bidi="ar-SA"/>
        </w:rPr>
        <w:t>补正说明</w:t>
      </w:r>
    </w:p>
    <w:p w14:paraId="1F021D20">
      <w:pPr>
        <w:ind w:firstLine="560" w:firstLineChars="200"/>
        <w:jc w:val="left"/>
        <w:rPr>
          <w:rFonts w:hint="default" w:ascii="仿宋" w:hAnsi="仿宋" w:eastAsia="仿宋" w:cs="仿宋"/>
          <w:b w:val="0"/>
          <w:bCs w:val="0"/>
          <w:kern w:val="2"/>
          <w:sz w:val="28"/>
          <w:szCs w:val="28"/>
          <w:lang w:val="en-US" w:eastAsia="zh-CN" w:bidi="ar-SA"/>
        </w:rPr>
      </w:pPr>
      <w:r>
        <w:rPr>
          <w:rFonts w:hint="default" w:ascii="仿宋" w:hAnsi="仿宋" w:eastAsia="仿宋" w:cs="仿宋"/>
          <w:b w:val="0"/>
          <w:bCs w:val="0"/>
          <w:kern w:val="2"/>
          <w:sz w:val="28"/>
          <w:szCs w:val="28"/>
          <w:lang w:val="en-US" w:eastAsia="zh-CN" w:bidi="ar-SA"/>
        </w:rPr>
        <w:t>管理人拟订的《</w:t>
      </w:r>
      <w:r>
        <w:rPr>
          <w:rFonts w:hint="eastAsia" w:ascii="仿宋" w:hAnsi="仿宋" w:eastAsia="仿宋" w:cs="仿宋"/>
          <w:b w:val="0"/>
          <w:bCs w:val="0"/>
          <w:kern w:val="2"/>
          <w:sz w:val="28"/>
          <w:szCs w:val="28"/>
          <w:lang w:val="en-US" w:eastAsia="zh-CN" w:bidi="ar-SA"/>
        </w:rPr>
        <w:t>贵州金口福餐饮服务有限公司破产财产分配方案</w:t>
      </w:r>
      <w:r>
        <w:rPr>
          <w:rFonts w:hint="default" w:ascii="仿宋" w:hAnsi="仿宋" w:eastAsia="仿宋" w:cs="仿宋"/>
          <w:b w:val="0"/>
          <w:bCs w:val="0"/>
          <w:kern w:val="2"/>
          <w:sz w:val="28"/>
          <w:szCs w:val="28"/>
          <w:lang w:val="en-US" w:eastAsia="zh-CN" w:bidi="ar-SA"/>
        </w:rPr>
        <w:t>》已由第</w:t>
      </w:r>
      <w:r>
        <w:rPr>
          <w:rFonts w:hint="eastAsia" w:ascii="仿宋" w:hAnsi="仿宋" w:eastAsia="仿宋" w:cs="仿宋"/>
          <w:b w:val="0"/>
          <w:bCs w:val="0"/>
          <w:kern w:val="2"/>
          <w:sz w:val="28"/>
          <w:szCs w:val="28"/>
          <w:lang w:val="en-US" w:eastAsia="zh-CN" w:bidi="ar-SA"/>
        </w:rPr>
        <w:t>一</w:t>
      </w:r>
      <w:r>
        <w:rPr>
          <w:rFonts w:hint="default" w:ascii="仿宋" w:hAnsi="仿宋" w:eastAsia="仿宋" w:cs="仿宋"/>
          <w:b w:val="0"/>
          <w:bCs w:val="0"/>
          <w:kern w:val="2"/>
          <w:sz w:val="28"/>
          <w:szCs w:val="28"/>
          <w:lang w:val="en-US" w:eastAsia="zh-CN" w:bidi="ar-SA"/>
        </w:rPr>
        <w:t>次债权人会议表决通过。</w:t>
      </w:r>
      <w:r>
        <w:rPr>
          <w:rFonts w:hint="eastAsia" w:ascii="仿宋" w:hAnsi="仿宋" w:eastAsia="仿宋" w:cs="仿宋"/>
          <w:b w:val="0"/>
          <w:bCs w:val="0"/>
          <w:kern w:val="2"/>
          <w:sz w:val="28"/>
          <w:szCs w:val="28"/>
          <w:lang w:val="en-US" w:eastAsia="zh-CN" w:bidi="ar-SA"/>
        </w:rPr>
        <w:t>现管理人对方案中的“优先债权”</w:t>
      </w:r>
      <w:r>
        <w:rPr>
          <w:rFonts w:hint="default" w:ascii="仿宋" w:hAnsi="仿宋" w:eastAsia="仿宋" w:cs="仿宋"/>
          <w:b w:val="0"/>
          <w:bCs w:val="0"/>
          <w:kern w:val="2"/>
          <w:sz w:val="28"/>
          <w:szCs w:val="28"/>
          <w:lang w:val="en-US" w:eastAsia="zh-CN" w:bidi="ar-SA"/>
        </w:rPr>
        <w:t>。</w:t>
      </w:r>
      <w:r>
        <w:rPr>
          <w:rFonts w:hint="eastAsia" w:ascii="仿宋" w:hAnsi="仿宋" w:eastAsia="仿宋" w:cs="仿宋"/>
          <w:b w:val="0"/>
          <w:bCs w:val="0"/>
          <w:kern w:val="2"/>
          <w:sz w:val="28"/>
          <w:szCs w:val="28"/>
          <w:lang w:val="en-US" w:eastAsia="zh-CN" w:bidi="ar-SA"/>
        </w:rPr>
        <w:t>补正为“税款债权”。</w:t>
      </w:r>
    </w:p>
    <w:p w14:paraId="53BA95D4">
      <w:pPr>
        <w:ind w:firstLine="560" w:firstLineChars="200"/>
        <w:jc w:val="left"/>
        <w:rPr>
          <w:rFonts w:hint="default" w:ascii="仿宋" w:hAnsi="仿宋" w:eastAsia="仿宋" w:cs="仿宋"/>
          <w:b w:val="0"/>
          <w:bCs w:val="0"/>
          <w:kern w:val="2"/>
          <w:sz w:val="28"/>
          <w:szCs w:val="28"/>
          <w:lang w:val="en-US" w:eastAsia="zh-CN" w:bidi="ar-SA"/>
        </w:rPr>
      </w:pPr>
      <w:r>
        <w:rPr>
          <w:rFonts w:hint="default" w:ascii="仿宋" w:hAnsi="仿宋" w:eastAsia="仿宋" w:cs="仿宋"/>
          <w:b w:val="0"/>
          <w:bCs w:val="0"/>
          <w:kern w:val="2"/>
          <w:sz w:val="28"/>
          <w:szCs w:val="28"/>
          <w:lang w:val="en-US" w:eastAsia="zh-CN" w:bidi="ar-SA"/>
        </w:rPr>
        <w:t>特此</w:t>
      </w:r>
      <w:r>
        <w:rPr>
          <w:rFonts w:hint="eastAsia" w:ascii="仿宋" w:hAnsi="仿宋" w:eastAsia="仿宋" w:cs="仿宋"/>
          <w:b w:val="0"/>
          <w:bCs w:val="0"/>
          <w:kern w:val="2"/>
          <w:sz w:val="28"/>
          <w:szCs w:val="28"/>
          <w:lang w:val="en-US" w:eastAsia="zh-CN" w:bidi="ar-SA"/>
        </w:rPr>
        <w:t>说明</w:t>
      </w:r>
      <w:r>
        <w:rPr>
          <w:rFonts w:hint="default" w:ascii="仿宋" w:hAnsi="仿宋" w:eastAsia="仿宋" w:cs="仿宋"/>
          <w:b w:val="0"/>
          <w:bCs w:val="0"/>
          <w:kern w:val="2"/>
          <w:sz w:val="28"/>
          <w:szCs w:val="28"/>
          <w:lang w:val="en-US" w:eastAsia="zh-CN" w:bidi="ar-SA"/>
        </w:rPr>
        <w:t>。</w:t>
      </w:r>
    </w:p>
    <w:p w14:paraId="11B5DDF9">
      <w:pPr>
        <w:ind w:firstLine="560" w:firstLineChars="200"/>
        <w:jc w:val="left"/>
        <w:rPr>
          <w:rFonts w:hint="default" w:ascii="仿宋" w:hAnsi="仿宋" w:eastAsia="仿宋" w:cs="仿宋"/>
          <w:b w:val="0"/>
          <w:bCs w:val="0"/>
          <w:kern w:val="2"/>
          <w:sz w:val="28"/>
          <w:szCs w:val="28"/>
          <w:lang w:val="en-US" w:eastAsia="zh-CN" w:bidi="ar-SA"/>
        </w:rPr>
      </w:pPr>
    </w:p>
    <w:p w14:paraId="15D72F9A">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jc w:val="righ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xml:space="preserve">贵州金口福餐饮服务有限公司管理人  </w:t>
      </w:r>
    </w:p>
    <w:p w14:paraId="24917F30">
      <w:pPr>
        <w:ind w:firstLine="560" w:firstLineChars="200"/>
        <w:jc w:val="righ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2024年12月24日</w:t>
      </w:r>
    </w:p>
    <w:p w14:paraId="75327FAB">
      <w:pPr>
        <w:ind w:firstLine="560" w:firstLineChars="200"/>
        <w:jc w:val="left"/>
        <w:rPr>
          <w:rFonts w:hint="default" w:ascii="仿宋" w:hAnsi="仿宋" w:eastAsia="仿宋" w:cs="仿宋"/>
          <w:b w:val="0"/>
          <w:bCs w:val="0"/>
          <w:kern w:val="2"/>
          <w:sz w:val="28"/>
          <w:szCs w:val="28"/>
          <w:lang w:val="en-US" w:eastAsia="zh-CN" w:bidi="ar-SA"/>
        </w:rPr>
      </w:pPr>
    </w:p>
    <w:p w14:paraId="10ACF278">
      <w:pPr>
        <w:ind w:firstLine="560" w:firstLineChars="200"/>
        <w:jc w:val="left"/>
        <w:rPr>
          <w:rFonts w:hint="default" w:ascii="仿宋" w:hAnsi="仿宋" w:eastAsia="仿宋" w:cs="仿宋"/>
          <w:b w:val="0"/>
          <w:bCs w:val="0"/>
          <w:kern w:val="2"/>
          <w:sz w:val="28"/>
          <w:szCs w:val="28"/>
          <w:lang w:val="en-US" w:eastAsia="zh-CN" w:bidi="ar-SA"/>
        </w:rPr>
      </w:pPr>
      <w:r>
        <w:rPr>
          <w:rFonts w:hint="default" w:ascii="仿宋" w:hAnsi="仿宋" w:eastAsia="仿宋" w:cs="仿宋"/>
          <w:b w:val="0"/>
          <w:bCs w:val="0"/>
          <w:kern w:val="2"/>
          <w:sz w:val="28"/>
          <w:szCs w:val="28"/>
          <w:lang w:val="en-US" w:eastAsia="zh-CN" w:bidi="ar-SA"/>
        </w:rPr>
        <w:t>附：</w:t>
      </w:r>
      <w:r>
        <w:rPr>
          <w:rFonts w:hint="eastAsia" w:ascii="仿宋" w:hAnsi="仿宋" w:eastAsia="仿宋" w:cs="仿宋"/>
          <w:b w:val="0"/>
          <w:bCs w:val="0"/>
          <w:kern w:val="2"/>
          <w:sz w:val="28"/>
          <w:szCs w:val="28"/>
          <w:lang w:val="en-US" w:eastAsia="zh-CN" w:bidi="ar-SA"/>
        </w:rPr>
        <w:t>补正后的《贵州金口福餐饮服务有限公司破产财产分配方案》</w:t>
      </w:r>
    </w:p>
    <w:p w14:paraId="51D08F19"/>
    <w:p w14:paraId="430CC493">
      <w:pPr>
        <w:pStyle w:val="2"/>
      </w:pPr>
    </w:p>
    <w:p w14:paraId="5A61F750"/>
    <w:p w14:paraId="507BAA1F">
      <w:pPr>
        <w:pStyle w:val="2"/>
      </w:pPr>
      <w:bookmarkStart w:id="0" w:name="_GoBack"/>
      <w:bookmarkEnd w:id="0"/>
    </w:p>
    <w:p w14:paraId="42409AE6"/>
    <w:p w14:paraId="24610ED1">
      <w:pPr>
        <w:rPr>
          <w:rFonts w:hint="eastAsia" w:eastAsia="宋体"/>
          <w:lang w:eastAsia="zh-CN"/>
        </w:rPr>
      </w:pPr>
    </w:p>
    <w:p w14:paraId="54E50B64">
      <w:pPr>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br w:type="page"/>
      </w:r>
    </w:p>
    <w:p w14:paraId="2779B062">
      <w:pPr>
        <w:keepNext w:val="0"/>
        <w:keepLines w:val="0"/>
        <w:widowControl w:val="0"/>
        <w:suppressLineNumbers w:val="0"/>
        <w:spacing w:before="0" w:beforeAutospacing="0" w:after="0" w:afterAutospacing="0" w:line="520" w:lineRule="exact"/>
        <w:ind w:right="0"/>
        <w:jc w:val="both"/>
        <w:rPr>
          <w:rFonts w:hint="default" w:ascii="仿宋" w:hAnsi="仿宋" w:eastAsia="仿宋" w:cs="仿宋"/>
          <w:b w:val="0"/>
          <w:bCs/>
          <w:kern w:val="44"/>
          <w:sz w:val="28"/>
          <w:szCs w:val="28"/>
          <w:lang w:val="en-US" w:eastAsia="zh-CN" w:bidi="ar"/>
        </w:rPr>
      </w:pPr>
      <w:r>
        <w:rPr>
          <w:rFonts w:hint="eastAsia" w:ascii="仿宋" w:hAnsi="仿宋" w:eastAsia="仿宋" w:cs="仿宋"/>
          <w:b w:val="0"/>
          <w:bCs/>
          <w:kern w:val="44"/>
          <w:sz w:val="28"/>
          <w:szCs w:val="28"/>
          <w:lang w:val="en-US" w:eastAsia="zh-CN" w:bidi="ar"/>
        </w:rPr>
        <w:t>附件</w:t>
      </w:r>
    </w:p>
    <w:p w14:paraId="7FA093A7">
      <w:pPr>
        <w:keepNext w:val="0"/>
        <w:keepLines w:val="0"/>
        <w:widowControl/>
        <w:suppressLineNumbers w:val="0"/>
        <w:spacing w:before="0" w:beforeAutospacing="0" w:after="0" w:afterAutospacing="0" w:line="360" w:lineRule="auto"/>
        <w:ind w:left="0" w:right="0" w:firstLine="0" w:firstLineChars="0"/>
        <w:jc w:val="center"/>
        <w:rPr>
          <w:rFonts w:hint="eastAsia" w:ascii="仿宋" w:hAnsi="仿宋" w:eastAsia="仿宋" w:cs="仿宋"/>
          <w:b/>
          <w:bCs/>
          <w:kern w:val="2"/>
          <w:sz w:val="40"/>
          <w:szCs w:val="40"/>
        </w:rPr>
      </w:pPr>
      <w:r>
        <w:rPr>
          <w:rFonts w:hint="eastAsia" w:ascii="仿宋" w:hAnsi="仿宋" w:eastAsia="仿宋" w:cs="仿宋"/>
          <w:b/>
          <w:bCs/>
          <w:kern w:val="2"/>
          <w:sz w:val="40"/>
          <w:szCs w:val="40"/>
          <w:lang w:val="en-US" w:eastAsia="zh-CN" w:bidi="ar"/>
        </w:rPr>
        <w:t>贵州金口福餐饮服务有限公司</w:t>
      </w:r>
    </w:p>
    <w:p w14:paraId="2F7BC641">
      <w:pPr>
        <w:keepNext w:val="0"/>
        <w:keepLines w:val="0"/>
        <w:widowControl/>
        <w:suppressLineNumbers w:val="0"/>
        <w:spacing w:before="0" w:beforeAutospacing="0" w:after="0" w:afterAutospacing="0" w:line="360" w:lineRule="auto"/>
        <w:ind w:left="0" w:right="0" w:firstLine="0" w:firstLineChars="0"/>
        <w:jc w:val="center"/>
        <w:outlineLvl w:val="0"/>
        <w:rPr>
          <w:rFonts w:hint="eastAsia" w:ascii="仿宋" w:hAnsi="仿宋" w:eastAsia="仿宋" w:cs="仿宋"/>
          <w:b/>
          <w:bCs/>
          <w:kern w:val="2"/>
          <w:sz w:val="40"/>
          <w:szCs w:val="40"/>
        </w:rPr>
      </w:pPr>
      <w:r>
        <w:rPr>
          <w:rFonts w:hint="eastAsia" w:ascii="仿宋" w:hAnsi="仿宋" w:eastAsia="仿宋" w:cs="仿宋"/>
          <w:b/>
          <w:bCs/>
          <w:kern w:val="2"/>
          <w:sz w:val="40"/>
          <w:szCs w:val="40"/>
          <w:lang w:val="en-US" w:eastAsia="zh-CN" w:bidi="ar"/>
        </w:rPr>
        <w:t>破产财产分配方案</w:t>
      </w:r>
    </w:p>
    <w:p w14:paraId="03282851">
      <w:pPr>
        <w:keepNext w:val="0"/>
        <w:keepLines w:val="0"/>
        <w:widowControl w:val="0"/>
        <w:suppressLineNumbers w:val="0"/>
        <w:spacing w:before="0" w:beforeAutospacing="0" w:after="0" w:afterAutospacing="0" w:line="559" w:lineRule="exact"/>
        <w:ind w:left="0" w:right="0" w:firstLine="643" w:firstLineChars="200"/>
        <w:jc w:val="left"/>
        <w:rPr>
          <w:rFonts w:hint="eastAsia" w:ascii="仿宋" w:hAnsi="仿宋" w:eastAsia="仿宋" w:cs="仿宋"/>
          <w:b/>
          <w:bCs w:val="0"/>
          <w:kern w:val="2"/>
          <w:sz w:val="32"/>
          <w:szCs w:val="32"/>
        </w:rPr>
      </w:pPr>
      <w:r>
        <w:rPr>
          <w:rFonts w:hint="eastAsia" w:ascii="仿宋" w:hAnsi="仿宋" w:eastAsia="仿宋" w:cs="仿宋"/>
          <w:b/>
          <w:bCs w:val="0"/>
          <w:kern w:val="2"/>
          <w:sz w:val="32"/>
          <w:szCs w:val="32"/>
          <w:lang w:val="en-US" w:eastAsia="zh-CN" w:bidi="ar"/>
        </w:rPr>
        <w:t xml:space="preserve"> </w:t>
      </w:r>
    </w:p>
    <w:p w14:paraId="59A9CA1C">
      <w:pPr>
        <w:keepNext w:val="0"/>
        <w:keepLines w:val="0"/>
        <w:widowControl w:val="0"/>
        <w:suppressLineNumbers w:val="0"/>
        <w:spacing w:before="0" w:beforeAutospacing="0" w:after="0" w:afterAutospacing="0" w:line="560" w:lineRule="exact"/>
        <w:ind w:left="0" w:right="0" w:firstLine="0" w:firstLineChars="0"/>
        <w:jc w:val="both"/>
        <w:rPr>
          <w:rFonts w:hint="eastAsia" w:ascii="仿宋" w:hAnsi="仿宋" w:eastAsia="仿宋" w:cs="仿宋"/>
          <w:b/>
          <w:bCs w:val="0"/>
          <w:kern w:val="2"/>
          <w:sz w:val="32"/>
          <w:szCs w:val="32"/>
        </w:rPr>
      </w:pPr>
      <w:r>
        <w:rPr>
          <w:rFonts w:hint="eastAsia" w:ascii="仿宋" w:hAnsi="仿宋" w:eastAsia="仿宋" w:cs="仿宋"/>
          <w:b/>
          <w:bCs w:val="0"/>
          <w:kern w:val="2"/>
          <w:sz w:val="32"/>
          <w:szCs w:val="32"/>
          <w:lang w:val="en-US" w:eastAsia="zh-CN" w:bidi="ar"/>
        </w:rPr>
        <w:t>贵州金口福餐饮服务有限公司债权人会议：</w:t>
      </w:r>
    </w:p>
    <w:p w14:paraId="48916A39">
      <w:pPr>
        <w:keepNext w:val="0"/>
        <w:keepLines w:val="0"/>
        <w:widowControl/>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2024年8月19日，贵州省贵阳市中级人民法院根据四川客传客餐饮管理有限公司的申请，作出（2024）黔 01 破申 49 号《民事裁定书》，裁定受理贵州金口福餐饮服务有限公司（以下简称金口福公司）破产清算一案。2024年8月19日，贵州省贵阳市中级人民法院作出（2024）黔 01 破 30 号《决定书》，指定贵州普诚舜天会计师事务所有限责任公司、北京市炜衡（贵阳）律师事务所、贵州丰玺律师事务所联合担任金口福公司破产清算案管理人。</w:t>
      </w:r>
    </w:p>
    <w:p w14:paraId="7637F6A0">
      <w:pPr>
        <w:keepNext w:val="0"/>
        <w:keepLines w:val="0"/>
        <w:widowControl/>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为依法维护广大债权人的合法权益，清偿各类债权，有效分配金口福公司财产，管理人根据《中华人民共和国企业破产法》（以下简称《企业破产法》）之规定，制作本方案，现提请债权人会议审议。</w:t>
      </w:r>
    </w:p>
    <w:p w14:paraId="4B3E3AF9">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一、分配原则</w:t>
      </w:r>
    </w:p>
    <w:p w14:paraId="07118654">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（一）顺位法定原则</w:t>
      </w:r>
    </w:p>
    <w:p w14:paraId="6A03108B">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管理人将严格按照《企业破产法》第一百一十三条的规定公平公正进行分配。破产财产在优先清偿破产费用和共益债务后，依照法定顺序进行清偿。破产财产不足以清偿同一顺序债权的，按照比例分配。如前一顺序分配后有剩余，后一顺序再依法予以分配。</w:t>
      </w:r>
    </w:p>
    <w:p w14:paraId="6D9C5F43">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（二）货币支付原则</w:t>
      </w:r>
    </w:p>
    <w:p w14:paraId="74692E32">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管理人将严格按照《企业破产法》第一百一十四条的规定以货币方式向债权人进行分配。</w:t>
      </w:r>
    </w:p>
    <w:p w14:paraId="17F44939">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二、参加分配的债权</w:t>
      </w:r>
    </w:p>
    <w:p w14:paraId="478977DB">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普通债权，债权数额以贵阳市中级人民法院裁定确认后的债权数额为准。</w:t>
      </w:r>
    </w:p>
    <w:p w14:paraId="722EF5B6">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三、财产总额</w:t>
      </w:r>
    </w:p>
    <w:p w14:paraId="7FD2A7FF">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经管理人调查，金口福公司应收注册资本100万元。金口福公司的注册资本作为金口福公司的应收债权，属于金口福公司财产（最终资产总额以实际追收财产价值为准）。</w:t>
      </w:r>
    </w:p>
    <w:p w14:paraId="65AB1FF0">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四、财产分配的顺序、比例及数额</w:t>
      </w:r>
    </w:p>
    <w:p w14:paraId="093F7365">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（一）破产费用</w:t>
      </w:r>
    </w:p>
    <w:p w14:paraId="065D25D8">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根据《企业破产法》第四十三条规定，破产费用由金口福公司财产随时清偿；第一百一十三条规定，破产案件的破产费用由破产财产优先清偿，本案破产费用如下：</w:t>
      </w:r>
    </w:p>
    <w:p w14:paraId="6B001304">
      <w:pPr>
        <w:keepNext w:val="0"/>
        <w:keepLines w:val="0"/>
        <w:widowControl w:val="0"/>
        <w:suppressLineNumbers w:val="0"/>
        <w:spacing w:before="0" w:beforeAutospacing="0" w:after="0" w:afterAutospacing="0" w:line="560" w:lineRule="exact"/>
        <w:ind w:left="0" w:right="0" w:firstLine="643" w:firstLineChars="200"/>
        <w:jc w:val="both"/>
        <w:rPr>
          <w:rFonts w:hint="eastAsia" w:ascii="仿宋" w:hAnsi="仿宋" w:eastAsia="仿宋" w:cs="仿宋"/>
          <w:b/>
          <w:bCs/>
          <w:kern w:val="2"/>
          <w:sz w:val="32"/>
          <w:szCs w:val="32"/>
        </w:rPr>
      </w:pPr>
      <w:r>
        <w:rPr>
          <w:rFonts w:hint="eastAsia" w:ascii="仿宋" w:hAnsi="仿宋" w:eastAsia="仿宋" w:cs="仿宋"/>
          <w:b/>
          <w:bCs/>
          <w:kern w:val="2"/>
          <w:sz w:val="32"/>
          <w:szCs w:val="32"/>
          <w:lang w:val="en-US" w:eastAsia="zh-CN" w:bidi="ar"/>
        </w:rPr>
        <w:t>1.破产案件的诉讼费用</w:t>
      </w:r>
    </w:p>
    <w:p w14:paraId="29CB21DB">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破产案件申请费：根据《诉讼费用缴纳办法》第十四条第（六）项规定，破产案件依据破产财产总额计算，按照财产案件受理费标准减半交纳，但是，最高不超过30万元。具体数额待破产财产最终变现后确定。</w:t>
      </w:r>
    </w:p>
    <w:p w14:paraId="51C9BA5A">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2）破产程序中的诉讼费用：破产程序中，为处理有关金口福公司的民事诉讼案件的费用，本案中因无其他金口福公司财产可供预留作诉讼费用，后续若有债权人自愿垫付诉讼费用的，则按此破产费用的性质进行分配，具体以最终产生的数额为准。</w:t>
      </w:r>
    </w:p>
    <w:p w14:paraId="6D296D4C">
      <w:pPr>
        <w:keepNext w:val="0"/>
        <w:keepLines w:val="0"/>
        <w:widowControl w:val="0"/>
        <w:suppressLineNumbers w:val="0"/>
        <w:spacing w:before="0" w:beforeAutospacing="0" w:after="0" w:afterAutospacing="0" w:line="560" w:lineRule="exact"/>
        <w:ind w:left="0" w:right="0" w:firstLine="643" w:firstLineChars="200"/>
        <w:jc w:val="both"/>
        <w:rPr>
          <w:rFonts w:hint="eastAsia" w:ascii="仿宋" w:hAnsi="仿宋" w:eastAsia="仿宋" w:cs="仿宋"/>
          <w:b/>
          <w:bCs/>
          <w:kern w:val="2"/>
          <w:sz w:val="32"/>
          <w:szCs w:val="32"/>
        </w:rPr>
      </w:pPr>
      <w:r>
        <w:rPr>
          <w:rFonts w:hint="eastAsia" w:ascii="仿宋" w:hAnsi="仿宋" w:eastAsia="仿宋" w:cs="仿宋"/>
          <w:b/>
          <w:bCs/>
          <w:kern w:val="2"/>
          <w:sz w:val="32"/>
          <w:szCs w:val="32"/>
          <w:lang w:val="en-US" w:eastAsia="zh-CN" w:bidi="ar"/>
        </w:rPr>
        <w:t>2.管理、变价和分配金口福公司财产的费用</w:t>
      </w:r>
    </w:p>
    <w:p w14:paraId="1A947787">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该项费用包括但不限于金口福公司财产的保管费用、保养与修缮费用、拍卖或变价变卖费用、变更权属费用、公告及通知债权人受领财产的邮寄费用、提存预分配财产费用以及分配手续费用等费用，同时资产变价还会产生税费等费用，具体以最终产生的数额为准。</w:t>
      </w:r>
    </w:p>
    <w:p w14:paraId="28C2B2EB">
      <w:pPr>
        <w:keepNext w:val="0"/>
        <w:keepLines w:val="0"/>
        <w:widowControl w:val="0"/>
        <w:suppressLineNumbers w:val="0"/>
        <w:spacing w:before="0" w:beforeAutospacing="0" w:after="0" w:afterAutospacing="0" w:line="560" w:lineRule="exact"/>
        <w:ind w:left="0" w:right="0" w:firstLine="643" w:firstLineChars="200"/>
        <w:jc w:val="both"/>
        <w:rPr>
          <w:rFonts w:hint="eastAsia" w:ascii="仿宋" w:hAnsi="仿宋" w:eastAsia="仿宋" w:cs="仿宋"/>
          <w:b/>
          <w:bCs/>
          <w:kern w:val="2"/>
          <w:sz w:val="32"/>
          <w:szCs w:val="32"/>
        </w:rPr>
      </w:pPr>
      <w:r>
        <w:rPr>
          <w:rFonts w:hint="eastAsia" w:ascii="仿宋" w:hAnsi="仿宋" w:eastAsia="仿宋" w:cs="仿宋"/>
          <w:b/>
          <w:bCs/>
          <w:kern w:val="2"/>
          <w:sz w:val="32"/>
          <w:szCs w:val="32"/>
          <w:lang w:val="en-US" w:eastAsia="zh-CN" w:bidi="ar"/>
        </w:rPr>
        <w:t>3.管理人执行职务的费用、报酬和聘用工作人员的费用。</w:t>
      </w:r>
    </w:p>
    <w:p w14:paraId="296569B9">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管理人执行职务是指履行破产法规定的职责的行为，费用包括但不限于办公场所租赁费、水电费、通讯费、网络费、邮递费、交通费等办公费用；调查金口福公司工商、涉诉涉执行、欠税、社保等信息所需费用；召开债权人会议所需费用；破产企业注销所需费用；破产程序终结后档案保管费用以及管理人执行职务所需的其他必要费用，具体以最终产生的数额为准。</w:t>
      </w:r>
    </w:p>
    <w:p w14:paraId="0A69FC2E">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（二）破产债权的清偿顺序及数额</w:t>
      </w:r>
    </w:p>
    <w:p w14:paraId="58E09CB5">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在支付上述第（一）项破产费用后，剩余可供分配的破产财产依照《企业破产法》第一百零九条和第一百一十三条规定的顺序清偿。即1.破产人所欠职工的工资和医疗、伤残补助、抚恤费用，所欠的应当划入职工个人账户的基本养老保险、基本医疗保险费用，以及法律、行政法规规定应当支付给职工的补偿金；2.破产人欠缴的除前项规定以外的社会保险费用和破产人所欠税款；3.普通破产债权。</w:t>
      </w:r>
    </w:p>
    <w:p w14:paraId="37678C8E">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破产财产不足以清偿同一顺序的清偿要求的，按照比例分配。</w:t>
      </w:r>
    </w:p>
    <w:p w14:paraId="234BEDC1">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截至目前，管理人依法审查确认的本案债权为普通债权10058.00元，劣后债权为2000.00元，债权金额共计12058.00元，具体可供分配财产数额及比例如下：</w:t>
      </w:r>
    </w:p>
    <w:p w14:paraId="20D90857">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1.可供税款债权分配的财产数额=可供分配财产总额-破产费用；</w:t>
      </w:r>
    </w:p>
    <w:p w14:paraId="4707F836">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2.可供普通债权分配的财产数额=可供分配财产总额-破产费用-税款债权分配的财产数额；</w:t>
      </w:r>
    </w:p>
    <w:p w14:paraId="4F03B417">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highlight w:val="yellow"/>
        </w:rPr>
      </w:pPr>
      <w:r>
        <w:rPr>
          <w:rFonts w:hint="eastAsia" w:ascii="仿宋" w:hAnsi="仿宋" w:eastAsia="仿宋" w:cs="仿宋"/>
          <w:kern w:val="2"/>
          <w:sz w:val="32"/>
          <w:szCs w:val="32"/>
          <w:lang w:val="en-US" w:eastAsia="zh-CN" w:bidi="ar"/>
        </w:rPr>
        <w:t>3.可供劣后债权分配的财产数额=可供分配财产总额-破产费用-税款债权分配的财产数额-普通债权分配的财产数额；</w:t>
      </w:r>
    </w:p>
    <w:p w14:paraId="6ADB610A">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highlight w:val="red"/>
        </w:rPr>
      </w:pPr>
      <w:r>
        <w:rPr>
          <w:rFonts w:hint="eastAsia" w:ascii="仿宋" w:hAnsi="仿宋" w:eastAsia="仿宋" w:cs="仿宋"/>
          <w:kern w:val="2"/>
          <w:sz w:val="32"/>
          <w:szCs w:val="32"/>
          <w:lang w:val="en-US" w:eastAsia="zh-CN" w:bidi="ar"/>
        </w:rPr>
        <w:t>4.同一顺位债权能全部清偿的，清偿比例为100%，不能全部清偿的，清偿比例为：可供分配的财产数额÷参加分配的债权总额×100%（最终以法院裁定后确认的金额为准）。</w:t>
      </w:r>
    </w:p>
    <w:p w14:paraId="20286EF2">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五、财产分配实施方案</w:t>
      </w:r>
    </w:p>
    <w:p w14:paraId="09C635C7">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（一）分配条件</w:t>
      </w:r>
    </w:p>
    <w:p w14:paraId="3DC4DF8F">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1.根据《企业破产法》第五十八条规定，本案管理人审核认定的各类债权数额需经债权人会议核查并由贵阳市中级人民法院人民法院裁定确认。</w:t>
      </w:r>
    </w:p>
    <w:p w14:paraId="7A8E28BD">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2.根据《企业破产法》第一百一十五条第二款的规定，本方案需经债权人会议通过并经贵阳市中级人民法院裁定认可。</w:t>
      </w:r>
    </w:p>
    <w:p w14:paraId="5602C4E5">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（二）分配方式</w:t>
      </w:r>
    </w:p>
    <w:p w14:paraId="6480688D">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根据《企业破产法》第一百一十四条规定，由管理人根据各债权人提供的银行账号，以货币方式进行分配，适时转账支付。</w:t>
      </w:r>
    </w:p>
    <w:p w14:paraId="2396738B">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（三）分配步骤</w:t>
      </w:r>
    </w:p>
    <w:p w14:paraId="075AF145">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1.对确认的无异议债权。管理人根据财产处置变现的实际情况，分阶段进行分配，具体时间以管理人通知为准。</w:t>
      </w:r>
    </w:p>
    <w:p w14:paraId="4B499BDE">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2.对未按期申报的债权。按照《企业破产法》第五十六条规定执行。</w:t>
      </w:r>
    </w:p>
    <w:p w14:paraId="7CBF0DEC">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3.受领分配前，对金口福公司负有义务的（如：开具发票），债权人履行完毕后管理人才予以分配。</w:t>
      </w:r>
    </w:p>
    <w:p w14:paraId="55E7D679">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（四）分配提存</w:t>
      </w:r>
    </w:p>
    <w:p w14:paraId="46D28A45">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根据《企业破产法》第一百一十八条、一百一十九条规定，债权人未受领破产财产分配额、诉讼、仲裁未决债权，管理人将予以提存，并依照《企业破产法》的规定处理。</w:t>
      </w:r>
    </w:p>
    <w:p w14:paraId="0CA94EE0">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（五）追加分配</w:t>
      </w:r>
    </w:p>
    <w:p w14:paraId="6E87B941">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依照《企业破产法》第一百二十三条之规定，自破产程序终结之日起二年内，发现有依照《企业破产法》相关规定应当追回的财产，或发现破产人有应当供分配的其他财产的，债权人可以请求人民法院按照破产财产分配方案进行追加分配。如财产数量不足以支付分配费用的，不再进行追加分配，由贵阳市中级人民法院将其上交国库。</w:t>
      </w:r>
    </w:p>
    <w:p w14:paraId="18CB1BFB">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bCs/>
          <w:kern w:val="2"/>
          <w:sz w:val="32"/>
          <w:szCs w:val="32"/>
        </w:rPr>
      </w:pPr>
      <w:r>
        <w:rPr>
          <w:rFonts w:hint="eastAsia" w:ascii="仿宋" w:hAnsi="仿宋" w:eastAsia="仿宋" w:cs="仿宋"/>
          <w:bCs/>
          <w:kern w:val="2"/>
          <w:sz w:val="32"/>
          <w:szCs w:val="32"/>
          <w:lang w:val="en-US" w:eastAsia="zh-CN" w:bidi="ar"/>
        </w:rPr>
        <w:t>六、分配方案的实施</w:t>
      </w:r>
    </w:p>
    <w:p w14:paraId="7AE64880">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本分配方案经本次债权人会议表决通过后，管理人将在3个工作日内向贵阳市中级人民法院提请认可该分配方案，并严格依照《企业破产法》第一百一十六条、第一百一十七条、第一百一十八条、第一百一十九条执行。</w:t>
      </w:r>
    </w:p>
    <w:p w14:paraId="3D0F4DD0">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本次债权人会议如未表决通过本方案的，管理人将根据《企业破产法》第六十五条的规定，与债权人进行沟通后进行二次表决，仍未表决通过的，管理人将依法提请贵阳市中级人民法院裁定。</w:t>
      </w:r>
    </w:p>
    <w:p w14:paraId="7888DA91">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 xml:space="preserve"> </w:t>
      </w:r>
    </w:p>
    <w:p w14:paraId="43068CA7">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 xml:space="preserve"> </w:t>
      </w:r>
    </w:p>
    <w:p w14:paraId="361A5661">
      <w:pPr>
        <w:keepNext w:val="0"/>
        <w:keepLines w:val="0"/>
        <w:widowControl w:val="0"/>
        <w:suppressLineNumbers w:val="0"/>
        <w:spacing w:before="0" w:beforeAutospacing="0" w:after="0" w:afterAutospacing="0" w:line="560" w:lineRule="exact"/>
        <w:ind w:left="0" w:right="0" w:firstLine="1600" w:firstLineChars="500"/>
        <w:jc w:val="right"/>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贵州金口福餐饮服务有限公司管理人</w:t>
      </w:r>
    </w:p>
    <w:p w14:paraId="51B64584">
      <w:pPr>
        <w:keepNext w:val="0"/>
        <w:keepLines w:val="0"/>
        <w:widowControl w:val="0"/>
        <w:suppressLineNumbers w:val="0"/>
        <w:spacing w:before="0" w:beforeAutospacing="0" w:after="0" w:afterAutospacing="0" w:line="559" w:lineRule="exact"/>
        <w:ind w:left="0" w:right="0" w:firstLine="4480" w:firstLineChars="1400"/>
        <w:jc w:val="both"/>
      </w:pPr>
      <w:r>
        <w:rPr>
          <w:rFonts w:hint="eastAsia" w:ascii="仿宋" w:hAnsi="仿宋" w:eastAsia="仿宋" w:cs="仿宋"/>
          <w:kern w:val="2"/>
          <w:sz w:val="32"/>
          <w:szCs w:val="32"/>
          <w:lang w:val="en-US" w:eastAsia="zh-CN" w:bidi="ar"/>
        </w:rPr>
        <w:t>二〇二四年九月二十六日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6"/>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2NzEyOGFmYjcxZWRkNDg3OGQzZTZlMTI4ODI0ZTYifQ=="/>
  </w:docVars>
  <w:rsids>
    <w:rsidRoot w:val="00000000"/>
    <w:rsid w:val="02210323"/>
    <w:rsid w:val="12FA18BC"/>
    <w:rsid w:val="17FD0611"/>
    <w:rsid w:val="1F0F0D80"/>
    <w:rsid w:val="25A775AD"/>
    <w:rsid w:val="29CA0920"/>
    <w:rsid w:val="3B514395"/>
    <w:rsid w:val="3BF52599"/>
    <w:rsid w:val="43781851"/>
    <w:rsid w:val="4EB7248B"/>
    <w:rsid w:val="50BC5FB1"/>
    <w:rsid w:val="5E9842F9"/>
    <w:rsid w:val="651932EC"/>
    <w:rsid w:val="66B92A95"/>
    <w:rsid w:val="69410259"/>
    <w:rsid w:val="6ACF50AC"/>
    <w:rsid w:val="6DF2158F"/>
    <w:rsid w:val="7D382AD7"/>
    <w:rsid w:val="7E2B1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semiHidden/>
    <w:unhideWhenUsed/>
    <w:qFormat/>
    <w:uiPriority w:val="0"/>
    <w:pPr>
      <w:keepNext/>
      <w:keepLines/>
      <w:spacing w:before="260" w:after="260" w:line="416" w:lineRule="auto"/>
      <w:ind w:left="200" w:leftChars="200"/>
      <w:jc w:val="center"/>
      <w:outlineLvl w:val="1"/>
    </w:pPr>
    <w:rPr>
      <w:rFonts w:ascii="等线 Light" w:hAnsi="等线 Light" w:cs="宋体"/>
      <w:b/>
      <w:bCs/>
      <w:sz w:val="32"/>
      <w:szCs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customStyle="1" w:styleId="6">
    <w:name w:val="doc-a"/>
    <w:basedOn w:val="1"/>
    <w:autoRedefine/>
    <w:qFormat/>
    <w:uiPriority w:val="0"/>
    <w:pPr>
      <w:spacing w:before="100" w:beforeAutospacing="1" w:after="100" w:afterAutospacing="1"/>
      <w:ind w:firstLine="480"/>
    </w:pPr>
    <w:rPr>
      <w:rFonts w:ascii="微软雅黑" w:hAnsi="微软雅黑" w:eastAsia="微软雅黑"/>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2682</Words>
  <Characters>2751</Characters>
  <Lines>1</Lines>
  <Paragraphs>1</Paragraphs>
  <TotalTime>0</TotalTime>
  <ScaleCrop>false</ScaleCrop>
  <LinksUpToDate>false</LinksUpToDate>
  <CharactersWithSpaces>2770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2023-03-26T13:32:00Z</dcterms:created>
  <dc:creator>chen'nan</dc:creator>
  <cp:lastModifiedBy>肖XY</cp:lastModifiedBy>
  <cp:lastPrinted>2024-12-24T01:20:41Z</cp:lastPrinted>
  <dcterms:modified xsi:type="dcterms:W3CDTF">2024-12-24T02:29:05Z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9164128D8E794795B968594007E2FD3D_13</vt:lpwstr>
  </property>
</Properties>
</file>