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B12CF90">
      <w:pPr>
        <w:ind w:left="0" w:leftChars="0" w:firstLine="0" w:firstLineChars="0"/>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关于公开招募双得利破产资产评估机构的公告</w:t>
      </w:r>
    </w:p>
    <w:p w14:paraId="6CB51456">
      <w:pPr>
        <w:ind w:left="0" w:leftChars="0" w:firstLine="0" w:firstLineChars="0"/>
        <w:rPr>
          <w:rFonts w:hint="eastAsia" w:ascii="仿宋" w:hAnsi="仿宋" w:eastAsia="仿宋" w:cs="仿宋"/>
          <w:sz w:val="28"/>
          <w:szCs w:val="28"/>
          <w:lang w:val="en-US" w:eastAsia="zh-CN"/>
        </w:rPr>
      </w:pPr>
    </w:p>
    <w:p w14:paraId="2822C1EA">
      <w:pPr>
        <w:spacing w:line="576" w:lineRule="exact"/>
        <w:ind w:firstLine="560"/>
        <w:rPr>
          <w:rFonts w:hint="eastAsia" w:ascii="仿宋" w:hAnsi="仿宋" w:eastAsia="仿宋" w:cs="仿宋"/>
          <w:sz w:val="28"/>
          <w:szCs w:val="28"/>
        </w:rPr>
      </w:pPr>
      <w:r>
        <w:rPr>
          <w:rFonts w:hint="eastAsia" w:ascii="仿宋" w:hAnsi="仿宋" w:eastAsia="仿宋" w:cs="仿宋"/>
          <w:snapToGrid/>
          <w:color w:val="auto"/>
          <w:kern w:val="2"/>
          <w:sz w:val="28"/>
          <w:szCs w:val="28"/>
        </w:rPr>
        <w:t>2024年12月26日，</w:t>
      </w:r>
      <w:r>
        <w:rPr>
          <w:rFonts w:hint="eastAsia" w:ascii="仿宋" w:hAnsi="仿宋" w:eastAsia="仿宋" w:cs="仿宋"/>
          <w:snapToGrid/>
          <w:color w:val="auto"/>
          <w:kern w:val="2"/>
          <w:sz w:val="28"/>
          <w:szCs w:val="28"/>
          <w:lang w:val="en-US" w:eastAsia="zh-CN"/>
        </w:rPr>
        <w:t>北京市第一中级人民法院</w:t>
      </w:r>
      <w:r>
        <w:rPr>
          <w:rFonts w:hint="eastAsia" w:ascii="仿宋" w:hAnsi="仿宋" w:eastAsia="仿宋" w:cs="仿宋"/>
          <w:snapToGrid/>
          <w:color w:val="auto"/>
          <w:kern w:val="2"/>
          <w:sz w:val="28"/>
          <w:szCs w:val="28"/>
        </w:rPr>
        <w:t>作出（2024）京01破申1319号《民事裁定书》，依法裁定受理北京双得利科工贸有限责任公司(以下简称“双得利</w:t>
      </w:r>
      <w:r>
        <w:rPr>
          <w:rFonts w:hint="eastAsia" w:ascii="仿宋" w:hAnsi="仿宋" w:eastAsia="仿宋" w:cs="仿宋"/>
          <w:snapToGrid/>
          <w:color w:val="auto"/>
          <w:kern w:val="2"/>
          <w:sz w:val="28"/>
          <w:szCs w:val="28"/>
          <w:lang w:val="en-US" w:eastAsia="zh-CN"/>
        </w:rPr>
        <w:t>公司</w:t>
      </w:r>
      <w:r>
        <w:rPr>
          <w:rFonts w:hint="eastAsia" w:ascii="仿宋" w:hAnsi="仿宋" w:eastAsia="仿宋" w:cs="仿宋"/>
          <w:snapToGrid/>
          <w:color w:val="auto"/>
          <w:kern w:val="2"/>
          <w:sz w:val="28"/>
          <w:szCs w:val="28"/>
        </w:rPr>
        <w:t>”)破产清算一案，并于</w:t>
      </w:r>
      <w:r>
        <w:rPr>
          <w:rFonts w:hint="eastAsia" w:ascii="仿宋" w:hAnsi="仿宋" w:eastAsia="仿宋" w:cs="仿宋"/>
          <w:snapToGrid/>
          <w:color w:val="auto"/>
          <w:kern w:val="2"/>
          <w:sz w:val="28"/>
          <w:szCs w:val="28"/>
          <w:highlight w:val="none"/>
        </w:rPr>
        <w:t>2025年</w:t>
      </w:r>
      <w:r>
        <w:rPr>
          <w:rFonts w:hint="eastAsia" w:ascii="仿宋" w:hAnsi="仿宋" w:eastAsia="仿宋" w:cs="仿宋"/>
          <w:snapToGrid/>
          <w:color w:val="auto"/>
          <w:kern w:val="2"/>
          <w:sz w:val="28"/>
          <w:szCs w:val="28"/>
          <w:highlight w:val="none"/>
          <w:lang w:val="en-US" w:eastAsia="zh-CN"/>
        </w:rPr>
        <w:t>1</w:t>
      </w:r>
      <w:r>
        <w:rPr>
          <w:rFonts w:hint="eastAsia" w:ascii="仿宋" w:hAnsi="仿宋" w:eastAsia="仿宋" w:cs="仿宋"/>
          <w:snapToGrid/>
          <w:color w:val="auto"/>
          <w:kern w:val="2"/>
          <w:sz w:val="28"/>
          <w:szCs w:val="28"/>
          <w:highlight w:val="none"/>
        </w:rPr>
        <w:t>月</w:t>
      </w:r>
      <w:r>
        <w:rPr>
          <w:rFonts w:hint="eastAsia" w:ascii="仿宋" w:hAnsi="仿宋" w:eastAsia="仿宋" w:cs="仿宋"/>
          <w:snapToGrid/>
          <w:color w:val="auto"/>
          <w:kern w:val="2"/>
          <w:sz w:val="28"/>
          <w:szCs w:val="28"/>
          <w:highlight w:val="none"/>
          <w:lang w:val="en-US" w:eastAsia="zh-CN"/>
        </w:rPr>
        <w:t>2</w:t>
      </w:r>
      <w:bookmarkStart w:id="0" w:name="_GoBack"/>
      <w:bookmarkEnd w:id="0"/>
      <w:r>
        <w:rPr>
          <w:rFonts w:hint="eastAsia" w:ascii="仿宋" w:hAnsi="仿宋" w:eastAsia="仿宋" w:cs="仿宋"/>
          <w:snapToGrid/>
          <w:color w:val="auto"/>
          <w:kern w:val="2"/>
          <w:sz w:val="28"/>
          <w:szCs w:val="28"/>
          <w:highlight w:val="none"/>
        </w:rPr>
        <w:t>1日</w:t>
      </w:r>
      <w:r>
        <w:rPr>
          <w:rFonts w:hint="eastAsia" w:ascii="仿宋" w:hAnsi="仿宋" w:eastAsia="仿宋" w:cs="仿宋"/>
          <w:snapToGrid/>
          <w:color w:val="auto"/>
          <w:kern w:val="2"/>
          <w:sz w:val="28"/>
          <w:szCs w:val="28"/>
        </w:rPr>
        <w:t>指定</w:t>
      </w:r>
      <w:r>
        <w:rPr>
          <w:rFonts w:hint="eastAsia" w:ascii="仿宋" w:hAnsi="仿宋" w:eastAsia="仿宋" w:cs="仿宋"/>
          <w:snapToGrid/>
          <w:color w:val="auto"/>
          <w:kern w:val="2"/>
          <w:sz w:val="28"/>
          <w:szCs w:val="28"/>
          <w:lang w:val="en-US" w:eastAsia="zh-CN"/>
        </w:rPr>
        <w:t>了</w:t>
      </w:r>
      <w:r>
        <w:rPr>
          <w:rFonts w:hint="eastAsia" w:ascii="仿宋" w:hAnsi="仿宋" w:eastAsia="仿宋" w:cs="仿宋"/>
          <w:snapToGrid/>
          <w:color w:val="auto"/>
          <w:kern w:val="2"/>
          <w:sz w:val="28"/>
          <w:szCs w:val="28"/>
        </w:rPr>
        <w:t>管理人</w:t>
      </w:r>
      <w:r>
        <w:rPr>
          <w:rFonts w:hint="eastAsia" w:ascii="仿宋" w:hAnsi="仿宋" w:eastAsia="仿宋" w:cs="仿宋"/>
          <w:snapToGrid/>
          <w:color w:val="auto"/>
          <w:kern w:val="2"/>
          <w:sz w:val="28"/>
          <w:szCs w:val="28"/>
          <w:lang w:eastAsia="zh-CN"/>
        </w:rPr>
        <w:t>。</w:t>
      </w:r>
      <w:r>
        <w:rPr>
          <w:rFonts w:hint="eastAsia" w:ascii="仿宋" w:hAnsi="仿宋" w:eastAsia="仿宋" w:cs="仿宋"/>
          <w:sz w:val="28"/>
          <w:szCs w:val="28"/>
        </w:rPr>
        <w:t>为顺利推进破产案件工作，管理人拟通过公开招募方式聘请本案</w:t>
      </w:r>
      <w:r>
        <w:rPr>
          <w:rFonts w:hint="eastAsia" w:ascii="仿宋" w:hAnsi="仿宋" w:eastAsia="仿宋" w:cs="仿宋"/>
          <w:sz w:val="28"/>
          <w:szCs w:val="28"/>
          <w:lang w:val="en-US" w:eastAsia="zh-CN"/>
        </w:rPr>
        <w:t>资产评估</w:t>
      </w:r>
      <w:r>
        <w:rPr>
          <w:rFonts w:hint="eastAsia" w:ascii="仿宋" w:hAnsi="仿宋" w:eastAsia="仿宋" w:cs="仿宋"/>
          <w:sz w:val="28"/>
          <w:szCs w:val="28"/>
        </w:rPr>
        <w:t>机构一家。现将公开招募事宜公告如下：</w:t>
      </w:r>
    </w:p>
    <w:p w14:paraId="33DEF45A">
      <w:pPr>
        <w:keepNext w:val="0"/>
        <w:keepLines w:val="0"/>
        <w:pageBreakBefore w:val="0"/>
        <w:kinsoku/>
        <w:wordWrap/>
        <w:overflowPunct/>
        <w:topLinePunct w:val="0"/>
        <w:autoSpaceDE/>
        <w:autoSpaceDN/>
        <w:bidi w:val="0"/>
        <w:adjustRightInd/>
        <w:snapToGrid/>
        <w:spacing w:line="576" w:lineRule="exact"/>
        <w:ind w:left="0" w:leftChars="0" w:firstLine="560" w:firstLineChars="200"/>
        <w:rPr>
          <w:rFonts w:hint="eastAsia" w:ascii="仿宋" w:hAnsi="仿宋" w:eastAsia="仿宋" w:cs="仿宋"/>
          <w:snapToGrid/>
          <w:color w:val="auto"/>
          <w:kern w:val="2"/>
          <w:sz w:val="28"/>
          <w:szCs w:val="28"/>
          <w:lang w:val="en-US" w:eastAsia="zh-CN"/>
        </w:rPr>
      </w:pPr>
      <w:r>
        <w:rPr>
          <w:rFonts w:hint="eastAsia" w:ascii="仿宋" w:hAnsi="仿宋" w:eastAsia="仿宋" w:cs="仿宋"/>
          <w:snapToGrid/>
          <w:color w:val="auto"/>
          <w:kern w:val="2"/>
          <w:sz w:val="28"/>
          <w:szCs w:val="28"/>
          <w:lang w:val="en-US" w:eastAsia="zh-CN"/>
        </w:rPr>
        <w:t>一、双得利公司基本情况</w:t>
      </w:r>
    </w:p>
    <w:p w14:paraId="1BA9F95D">
      <w:pPr>
        <w:keepNext w:val="0"/>
        <w:keepLines w:val="0"/>
        <w:pageBreakBefore w:val="0"/>
        <w:kinsoku/>
        <w:wordWrap/>
        <w:overflowPunct/>
        <w:topLinePunct w:val="0"/>
        <w:autoSpaceDE/>
        <w:autoSpaceDN/>
        <w:bidi w:val="0"/>
        <w:adjustRightInd/>
        <w:snapToGrid/>
        <w:spacing w:line="576" w:lineRule="exact"/>
        <w:ind w:left="0" w:leftChars="0" w:firstLine="560" w:firstLineChars="200"/>
        <w:rPr>
          <w:rFonts w:hint="eastAsia" w:ascii="仿宋" w:hAnsi="仿宋" w:eastAsia="仿宋" w:cs="仿宋"/>
          <w:snapToGrid/>
          <w:color w:val="auto"/>
          <w:kern w:val="2"/>
          <w:sz w:val="28"/>
          <w:szCs w:val="28"/>
          <w:lang w:val="en-US" w:eastAsia="zh-CN"/>
        </w:rPr>
      </w:pPr>
      <w:r>
        <w:rPr>
          <w:rFonts w:hint="eastAsia" w:ascii="仿宋" w:hAnsi="仿宋" w:eastAsia="仿宋" w:cs="仿宋"/>
          <w:snapToGrid/>
          <w:color w:val="auto"/>
          <w:kern w:val="2"/>
          <w:sz w:val="28"/>
          <w:szCs w:val="28"/>
          <w:lang w:val="en-US" w:eastAsia="zh-CN"/>
        </w:rPr>
        <w:t>（一）基本信息</w:t>
      </w:r>
    </w:p>
    <w:p w14:paraId="26EAFD5C">
      <w:pPr>
        <w:keepNext w:val="0"/>
        <w:keepLines w:val="0"/>
        <w:pageBreakBefore w:val="0"/>
        <w:kinsoku/>
        <w:wordWrap/>
        <w:overflowPunct/>
        <w:topLinePunct w:val="0"/>
        <w:autoSpaceDE/>
        <w:autoSpaceDN/>
        <w:bidi w:val="0"/>
        <w:adjustRightInd/>
        <w:snapToGrid/>
        <w:spacing w:line="576" w:lineRule="exact"/>
        <w:ind w:left="0" w:leftChars="0" w:firstLine="560" w:firstLineChars="200"/>
        <w:rPr>
          <w:rFonts w:hint="eastAsia" w:ascii="仿宋" w:hAnsi="仿宋" w:eastAsia="仿宋" w:cs="仿宋"/>
          <w:snapToGrid/>
          <w:color w:val="auto"/>
          <w:kern w:val="2"/>
          <w:sz w:val="28"/>
          <w:szCs w:val="28"/>
          <w:lang w:val="en-US" w:eastAsia="zh-CN"/>
        </w:rPr>
      </w:pPr>
      <w:r>
        <w:rPr>
          <w:rFonts w:hint="eastAsia" w:ascii="仿宋" w:hAnsi="仿宋" w:eastAsia="仿宋" w:cs="仿宋"/>
          <w:snapToGrid/>
          <w:color w:val="auto"/>
          <w:kern w:val="2"/>
          <w:sz w:val="28"/>
          <w:szCs w:val="28"/>
          <w:lang w:val="en-US" w:eastAsia="zh-CN"/>
        </w:rPr>
        <w:t>双得利公司成立于1996年1月19日，登记机关为北京市怀柔区市场监督管理局，公司类型为有限责任公司（自然人投资或控股）。公司注册资本为10000万元，经营范围为加工、制造不锈钢制品；生产、加工机械配件；生产仪表等。该公司主营智能水电表的生产、加工及销售，拥有完善的智能水表结算系统。该公司还通过申请专利权实现了核心技术的保护，并且，该公司仍在与部分客户及供应商开展业务合作，因此具有一定的重整可能性。公司股东为彭明双（持股比例92%）、彭桂香（持股比例8%），实际控制人为彭明双。</w:t>
      </w:r>
    </w:p>
    <w:p w14:paraId="36C13DB8">
      <w:pPr>
        <w:keepNext w:val="0"/>
        <w:keepLines w:val="0"/>
        <w:pageBreakBefore w:val="0"/>
        <w:kinsoku/>
        <w:wordWrap/>
        <w:overflowPunct/>
        <w:topLinePunct w:val="0"/>
        <w:autoSpaceDE/>
        <w:autoSpaceDN/>
        <w:bidi w:val="0"/>
        <w:adjustRightInd/>
        <w:snapToGrid/>
        <w:spacing w:line="576" w:lineRule="exact"/>
        <w:ind w:left="0" w:leftChars="0" w:firstLine="560" w:firstLineChars="200"/>
        <w:rPr>
          <w:rFonts w:hint="eastAsia" w:ascii="仿宋" w:hAnsi="仿宋" w:eastAsia="仿宋" w:cs="仿宋"/>
          <w:snapToGrid/>
          <w:color w:val="auto"/>
          <w:kern w:val="2"/>
          <w:sz w:val="28"/>
          <w:szCs w:val="28"/>
          <w:lang w:val="en-US" w:eastAsia="zh-CN"/>
        </w:rPr>
      </w:pPr>
      <w:r>
        <w:rPr>
          <w:rFonts w:hint="eastAsia" w:ascii="仿宋" w:hAnsi="仿宋" w:eastAsia="仿宋" w:cs="仿宋"/>
          <w:snapToGrid/>
          <w:color w:val="auto"/>
          <w:kern w:val="2"/>
          <w:sz w:val="28"/>
          <w:szCs w:val="28"/>
          <w:lang w:val="en-US" w:eastAsia="zh-CN"/>
        </w:rPr>
        <w:t>（二）资产情况</w:t>
      </w:r>
    </w:p>
    <w:p w14:paraId="05501FCE">
      <w:pPr>
        <w:keepNext w:val="0"/>
        <w:keepLines w:val="0"/>
        <w:pageBreakBefore w:val="0"/>
        <w:kinsoku/>
        <w:wordWrap/>
        <w:overflowPunct/>
        <w:topLinePunct w:val="0"/>
        <w:autoSpaceDE/>
        <w:autoSpaceDN/>
        <w:bidi w:val="0"/>
        <w:adjustRightInd/>
        <w:snapToGrid/>
        <w:spacing w:line="576" w:lineRule="exact"/>
        <w:ind w:left="0" w:leftChars="0" w:firstLine="560" w:firstLineChars="200"/>
        <w:rPr>
          <w:rFonts w:hint="eastAsia" w:ascii="仿宋" w:hAnsi="仿宋" w:eastAsia="仿宋" w:cs="仿宋"/>
          <w:snapToGrid/>
          <w:color w:val="auto"/>
          <w:kern w:val="2"/>
          <w:sz w:val="28"/>
          <w:szCs w:val="28"/>
          <w:lang w:val="en-US" w:eastAsia="zh-CN"/>
        </w:rPr>
      </w:pPr>
      <w:r>
        <w:rPr>
          <w:rFonts w:hint="eastAsia" w:ascii="仿宋" w:hAnsi="仿宋" w:eastAsia="仿宋" w:cs="仿宋"/>
          <w:snapToGrid/>
          <w:color w:val="auto"/>
          <w:kern w:val="2"/>
          <w:sz w:val="28"/>
          <w:szCs w:val="28"/>
          <w:lang w:val="en-US" w:eastAsia="zh-CN"/>
        </w:rPr>
        <w:t>截止2024年12月31日，根据未经审计的资产负债表，双得利公司账面资产价值为1.77亿元，主要是无形资产（智能水电表专利权），也包括生产设备、土地房产（怀柔区）、应收账款以及股权投资等其他资产。</w:t>
      </w:r>
    </w:p>
    <w:p w14:paraId="61420059">
      <w:pPr>
        <w:keepNext w:val="0"/>
        <w:keepLines w:val="0"/>
        <w:pageBreakBefore w:val="0"/>
        <w:kinsoku/>
        <w:wordWrap/>
        <w:overflowPunct/>
        <w:topLinePunct w:val="0"/>
        <w:autoSpaceDE/>
        <w:autoSpaceDN/>
        <w:bidi w:val="0"/>
        <w:adjustRightInd/>
        <w:snapToGrid/>
        <w:spacing w:line="576" w:lineRule="exact"/>
        <w:ind w:left="0" w:leftChars="0" w:firstLine="560" w:firstLineChars="200"/>
        <w:rPr>
          <w:rFonts w:hint="eastAsia" w:ascii="仿宋" w:hAnsi="仿宋" w:eastAsia="仿宋" w:cs="仿宋"/>
          <w:snapToGrid/>
          <w:color w:val="auto"/>
          <w:kern w:val="2"/>
          <w:sz w:val="28"/>
          <w:szCs w:val="28"/>
          <w:lang w:val="en-US" w:eastAsia="zh-CN"/>
        </w:rPr>
      </w:pPr>
      <w:r>
        <w:rPr>
          <w:rFonts w:hint="eastAsia" w:ascii="仿宋" w:hAnsi="仿宋" w:eastAsia="仿宋" w:cs="仿宋"/>
          <w:snapToGrid/>
          <w:color w:val="auto"/>
          <w:kern w:val="2"/>
          <w:sz w:val="28"/>
          <w:szCs w:val="28"/>
          <w:lang w:val="en-US" w:eastAsia="zh-CN"/>
        </w:rPr>
        <w:t>（三）负债情况</w:t>
      </w:r>
    </w:p>
    <w:p w14:paraId="3DEE2003">
      <w:pPr>
        <w:keepNext w:val="0"/>
        <w:keepLines w:val="0"/>
        <w:pageBreakBefore w:val="0"/>
        <w:kinsoku/>
        <w:wordWrap/>
        <w:overflowPunct/>
        <w:topLinePunct w:val="0"/>
        <w:autoSpaceDE/>
        <w:autoSpaceDN/>
        <w:bidi w:val="0"/>
        <w:adjustRightInd/>
        <w:snapToGrid/>
        <w:spacing w:line="576" w:lineRule="exact"/>
        <w:ind w:left="0" w:leftChars="0" w:firstLine="560" w:firstLineChars="200"/>
        <w:rPr>
          <w:rFonts w:hint="eastAsia" w:ascii="仿宋" w:hAnsi="仿宋" w:eastAsia="仿宋" w:cs="仿宋"/>
          <w:snapToGrid/>
          <w:color w:val="auto"/>
          <w:kern w:val="2"/>
          <w:sz w:val="28"/>
          <w:szCs w:val="28"/>
          <w:lang w:val="en-US" w:eastAsia="zh-CN"/>
        </w:rPr>
      </w:pPr>
      <w:r>
        <w:rPr>
          <w:rFonts w:hint="eastAsia" w:ascii="仿宋" w:hAnsi="仿宋" w:eastAsia="仿宋" w:cs="仿宋"/>
          <w:snapToGrid/>
          <w:color w:val="auto"/>
          <w:kern w:val="2"/>
          <w:sz w:val="28"/>
          <w:szCs w:val="28"/>
          <w:lang w:val="en-US" w:eastAsia="zh-CN"/>
        </w:rPr>
        <w:t>截止2024年12月31日，根据未经审计的资产负债表，双得利公司账面负债为1.54亿元，此外该公司还为关联方提供了连带保证责任，因此还有部分表外负债。</w:t>
      </w:r>
    </w:p>
    <w:p w14:paraId="3542089B">
      <w:pPr>
        <w:keepNext w:val="0"/>
        <w:keepLines w:val="0"/>
        <w:pageBreakBefore w:val="0"/>
        <w:kinsoku/>
        <w:wordWrap/>
        <w:overflowPunct/>
        <w:topLinePunct w:val="0"/>
        <w:autoSpaceDE/>
        <w:autoSpaceDN/>
        <w:bidi w:val="0"/>
        <w:adjustRightInd/>
        <w:snapToGrid/>
        <w:spacing w:line="576" w:lineRule="exact"/>
        <w:ind w:left="0" w:leftChars="0" w:firstLine="560" w:firstLineChars="200"/>
        <w:rPr>
          <w:rFonts w:hint="eastAsia" w:ascii="仿宋" w:hAnsi="仿宋" w:eastAsia="仿宋" w:cs="仿宋"/>
          <w:snapToGrid/>
          <w:color w:val="auto"/>
          <w:kern w:val="2"/>
          <w:sz w:val="28"/>
          <w:szCs w:val="28"/>
          <w:lang w:val="en-US" w:eastAsia="zh-CN"/>
        </w:rPr>
      </w:pPr>
      <w:r>
        <w:rPr>
          <w:rFonts w:hint="eastAsia" w:ascii="仿宋" w:hAnsi="仿宋" w:eastAsia="仿宋" w:cs="仿宋"/>
          <w:snapToGrid/>
          <w:color w:val="auto"/>
          <w:kern w:val="2"/>
          <w:sz w:val="28"/>
          <w:szCs w:val="28"/>
          <w:lang w:val="en-US" w:eastAsia="zh-CN"/>
        </w:rPr>
        <w:t>（四）关联企业情况</w:t>
      </w:r>
    </w:p>
    <w:p w14:paraId="17CAED54">
      <w:pPr>
        <w:keepNext w:val="0"/>
        <w:keepLines w:val="0"/>
        <w:pageBreakBefore w:val="0"/>
        <w:kinsoku/>
        <w:wordWrap/>
        <w:overflowPunct/>
        <w:topLinePunct w:val="0"/>
        <w:autoSpaceDE/>
        <w:autoSpaceDN/>
        <w:bidi w:val="0"/>
        <w:adjustRightInd/>
        <w:snapToGrid/>
        <w:spacing w:line="576" w:lineRule="exact"/>
        <w:ind w:left="0" w:leftChars="0" w:firstLine="560" w:firstLineChars="200"/>
        <w:rPr>
          <w:rFonts w:hint="eastAsia" w:ascii="仿宋" w:hAnsi="仿宋" w:eastAsia="仿宋" w:cs="仿宋"/>
          <w:snapToGrid/>
          <w:color w:val="auto"/>
          <w:kern w:val="2"/>
          <w:sz w:val="28"/>
          <w:szCs w:val="28"/>
          <w:lang w:val="en-US" w:eastAsia="zh-CN"/>
        </w:rPr>
      </w:pPr>
      <w:r>
        <w:rPr>
          <w:rFonts w:hint="eastAsia" w:ascii="仿宋" w:hAnsi="仿宋" w:eastAsia="仿宋" w:cs="仿宋"/>
          <w:snapToGrid/>
          <w:color w:val="auto"/>
          <w:kern w:val="2"/>
          <w:sz w:val="28"/>
          <w:szCs w:val="28"/>
          <w:lang w:val="en-US" w:eastAsia="zh-CN"/>
        </w:rPr>
        <w:t>该公司与下属子公司北京双得利仪表设备有限公司（90%）、北京双得利仪表运营科技有限公司（60%）、重庆双得利仪表运营科技有限公司（99%）、北京双得利物联网技术研究院（49%）存在关联担保，未来该公司与关联企业具有合并破产的可能。</w:t>
      </w:r>
    </w:p>
    <w:p w14:paraId="4181B7FC">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二、中介机构工作内容</w:t>
      </w:r>
    </w:p>
    <w:p w14:paraId="24156B17">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（一）工作内容</w:t>
      </w:r>
    </w:p>
    <w:p w14:paraId="6330617B">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本次拟进行资产评估的企业为</w:t>
      </w:r>
      <w:r>
        <w:rPr>
          <w:rFonts w:hint="eastAsia" w:ascii="仿宋" w:hAnsi="仿宋" w:eastAsia="仿宋" w:cs="仿宋"/>
          <w:sz w:val="28"/>
          <w:szCs w:val="28"/>
          <w:lang w:eastAsia="zh-CN"/>
        </w:rPr>
        <w:t>北京双得利科工贸有限责任公司</w:t>
      </w:r>
      <w:r>
        <w:rPr>
          <w:rFonts w:hint="eastAsia" w:ascii="仿宋" w:hAnsi="仿宋" w:eastAsia="仿宋" w:cs="仿宋"/>
          <w:sz w:val="28"/>
          <w:szCs w:val="28"/>
        </w:rPr>
        <w:t>，评估范围为其全部资产，包括但不限于股权投资、实物资产及无形资产以及债权等。评估机构须按照破产工作的规定、管理人的要求和</w:t>
      </w:r>
      <w:r>
        <w:rPr>
          <w:rFonts w:hint="eastAsia" w:ascii="仿宋" w:hAnsi="仿宋" w:eastAsia="仿宋" w:cs="仿宋"/>
          <w:sz w:val="28"/>
          <w:szCs w:val="28"/>
          <w:lang w:eastAsia="zh-CN"/>
        </w:rPr>
        <w:t>双得利公司</w:t>
      </w:r>
      <w:r>
        <w:rPr>
          <w:rFonts w:hint="eastAsia" w:ascii="仿宋" w:hAnsi="仿宋" w:eastAsia="仿宋" w:cs="仿宋"/>
          <w:sz w:val="28"/>
          <w:szCs w:val="28"/>
        </w:rPr>
        <w:t>实际情况，对被评估单位成立至评估基准日的全部资产的价值进行评估并出具报告。基准日暂定为破产案件受理日，根据案件的需要，管理人适时予以调整。</w:t>
      </w:r>
    </w:p>
    <w:p w14:paraId="3FCE8838">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评估机构主要工作内容:</w:t>
      </w:r>
    </w:p>
    <w:p w14:paraId="602689D9">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1.对企业截至基准日的全部资产进行梳理及价值评估，出具评估报告，并在评估报告中对涉及抵押、质押、融资租赁、留置等事项的资产评估情况做出说明及披露；</w:t>
      </w:r>
    </w:p>
    <w:p w14:paraId="5C8A077C">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2.根据资产和负债情况做偿债能力分析，出具持续经营状态下（市场值）和宣告破产状态下（清算值）偿债能力分析报告；</w:t>
      </w:r>
    </w:p>
    <w:p w14:paraId="4E5579D0">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3.对</w:t>
      </w:r>
      <w:r>
        <w:rPr>
          <w:rFonts w:hint="eastAsia" w:ascii="仿宋" w:hAnsi="仿宋" w:eastAsia="仿宋" w:cs="仿宋"/>
          <w:sz w:val="28"/>
          <w:szCs w:val="28"/>
          <w:lang w:val="en-US" w:eastAsia="zh-CN"/>
        </w:rPr>
        <w:t>专利等无形资产</w:t>
      </w:r>
      <w:r>
        <w:rPr>
          <w:rFonts w:hint="eastAsia" w:ascii="仿宋" w:hAnsi="仿宋" w:eastAsia="仿宋" w:cs="仿宋"/>
          <w:sz w:val="28"/>
          <w:szCs w:val="28"/>
        </w:rPr>
        <w:t>进行价值分析，出具</w:t>
      </w:r>
      <w:r>
        <w:rPr>
          <w:rFonts w:hint="eastAsia" w:ascii="仿宋" w:hAnsi="仿宋" w:eastAsia="仿宋" w:cs="仿宋"/>
          <w:sz w:val="28"/>
          <w:szCs w:val="28"/>
          <w:lang w:val="en-US" w:eastAsia="zh-CN"/>
        </w:rPr>
        <w:t>专项</w:t>
      </w:r>
      <w:r>
        <w:rPr>
          <w:rFonts w:hint="eastAsia" w:ascii="仿宋" w:hAnsi="仿宋" w:eastAsia="仿宋" w:cs="仿宋"/>
          <w:sz w:val="28"/>
          <w:szCs w:val="28"/>
        </w:rPr>
        <w:t>价值咨询报告；</w:t>
      </w:r>
    </w:p>
    <w:p w14:paraId="2438BA54">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4.管理人根据实际工作情况，要求中介机构开展、调整相关工作。评估机构应在管理人规定的期限内，根据管理人的要求，提交相关工作成果。</w:t>
      </w:r>
    </w:p>
    <w:p w14:paraId="38676600">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（二）评估成果出具</w:t>
      </w:r>
    </w:p>
    <w:p w14:paraId="0CD38355">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1.资产评估报告（含市场值报告和清算值报告）；</w:t>
      </w:r>
    </w:p>
    <w:p w14:paraId="3E73DF24">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专利等无形资产</w:t>
      </w:r>
      <w:r>
        <w:rPr>
          <w:rFonts w:hint="eastAsia" w:ascii="仿宋" w:hAnsi="仿宋" w:eastAsia="仿宋" w:cs="仿宋"/>
          <w:sz w:val="28"/>
          <w:szCs w:val="28"/>
        </w:rPr>
        <w:t>价值咨询报告；</w:t>
      </w:r>
    </w:p>
    <w:p w14:paraId="5E3041D6">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3.偿债能力分析报告（含基于市场值和清算值的分析报告）；</w:t>
      </w:r>
    </w:p>
    <w:p w14:paraId="22B65E4F">
      <w:pPr>
        <w:spacing w:line="576" w:lineRule="exact"/>
        <w:ind w:firstLine="560"/>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.其他应当出具的文件。</w:t>
      </w:r>
    </w:p>
    <w:p w14:paraId="6DDD1349">
      <w:pPr>
        <w:spacing w:line="576" w:lineRule="exact"/>
        <w:ind w:firstLine="56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机构原则上应当在第一次债权人会议召开前7天左右提交工作成果（数据等内容基本确定，非盖章版）</w:t>
      </w:r>
    </w:p>
    <w:p w14:paraId="6C79175B">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（三）评估费用</w:t>
      </w:r>
    </w:p>
    <w:p w14:paraId="4FFC17ED">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1.评估费用报价作为遴选的重要考量因素</w:t>
      </w:r>
      <w:r>
        <w:rPr>
          <w:rFonts w:hint="eastAsia" w:ascii="仿宋" w:hAnsi="仿宋" w:eastAsia="仿宋" w:cs="仿宋"/>
          <w:sz w:val="28"/>
          <w:szCs w:val="28"/>
          <w:lang w:eastAsia="zh-CN"/>
        </w:rPr>
        <w:t>，</w:t>
      </w:r>
      <w:r>
        <w:rPr>
          <w:rFonts w:hint="eastAsia" w:ascii="仿宋" w:hAnsi="仿宋" w:eastAsia="仿宋" w:cs="仿宋"/>
          <w:sz w:val="28"/>
          <w:szCs w:val="28"/>
        </w:rPr>
        <w:t>在破产清算程序中，费用的最后结算以破产财产的处置结果实际确定；如果</w:t>
      </w:r>
      <w:r>
        <w:rPr>
          <w:rFonts w:hint="eastAsia" w:ascii="仿宋" w:hAnsi="仿宋" w:eastAsia="仿宋" w:cs="仿宋"/>
          <w:sz w:val="28"/>
          <w:szCs w:val="28"/>
          <w:lang w:eastAsia="zh-CN"/>
        </w:rPr>
        <w:t>双得利公司</w:t>
      </w:r>
      <w:r>
        <w:rPr>
          <w:rFonts w:hint="eastAsia" w:ascii="仿宋" w:hAnsi="仿宋" w:eastAsia="仿宋" w:cs="仿宋"/>
          <w:sz w:val="28"/>
          <w:szCs w:val="28"/>
        </w:rPr>
        <w:t>清算转重整成功，费用的最后结算按照破产费用处理，并根据重整计划实际确定；</w:t>
      </w:r>
    </w:p>
    <w:p w14:paraId="3C5227F3">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2.本项目在破产程序中因对评估工作内容及工作事项进行调整或评估报告过期后管理人要求出具新的或补充评估报告的，不再额外增加费用；</w:t>
      </w:r>
    </w:p>
    <w:p w14:paraId="0350C94D">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3.如评估机构未能按照规定时间完成工作的，或所出具的报告存在漏项的，管理人有权相应调减费用；</w:t>
      </w:r>
    </w:p>
    <w:p w14:paraId="45F9BE9E">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4.价格为包干价，在此过程中产生的交通、住宿、餐饮等费用由评估机构自行承担。评估过程中发生的异地调查差旅费用、函证等所涉的邮寄等费用</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不含因项目驻场所发生的差旅食宿等费用）</w:t>
      </w:r>
      <w:r>
        <w:rPr>
          <w:rFonts w:hint="eastAsia" w:ascii="仿宋" w:hAnsi="仿宋" w:eastAsia="仿宋" w:cs="仿宋"/>
          <w:sz w:val="28"/>
          <w:szCs w:val="28"/>
        </w:rPr>
        <w:t>，根据被评估单位自由资金的</w:t>
      </w:r>
      <w:r>
        <w:rPr>
          <w:rFonts w:hint="eastAsia" w:ascii="仿宋" w:hAnsi="仿宋" w:eastAsia="仿宋" w:cs="仿宋"/>
          <w:sz w:val="28"/>
          <w:szCs w:val="28"/>
          <w:lang w:val="en-US" w:eastAsia="zh-CN"/>
        </w:rPr>
        <w:t>归集和破产进度等</w:t>
      </w:r>
      <w:r>
        <w:rPr>
          <w:rFonts w:hint="eastAsia" w:ascii="仿宋" w:hAnsi="仿宋" w:eastAsia="仿宋" w:cs="仿宋"/>
          <w:sz w:val="28"/>
          <w:szCs w:val="28"/>
        </w:rPr>
        <w:t>情况</w:t>
      </w:r>
      <w:r>
        <w:rPr>
          <w:rFonts w:hint="eastAsia" w:ascii="仿宋" w:hAnsi="仿宋" w:eastAsia="仿宋" w:cs="仿宋"/>
          <w:sz w:val="28"/>
          <w:szCs w:val="28"/>
          <w:lang w:val="en-US" w:eastAsia="zh-CN"/>
        </w:rPr>
        <w:t>和破产有关规章制度定期或不定期</w:t>
      </w:r>
      <w:r>
        <w:rPr>
          <w:rFonts w:hint="eastAsia" w:ascii="仿宋" w:hAnsi="仿宋" w:eastAsia="仿宋" w:cs="仿宋"/>
          <w:sz w:val="28"/>
          <w:szCs w:val="28"/>
        </w:rPr>
        <w:t>予以报销。</w:t>
      </w:r>
    </w:p>
    <w:p w14:paraId="48EB805D">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三、参选条件</w:t>
      </w:r>
    </w:p>
    <w:p w14:paraId="719D96B5">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参选机构需同时满足以下条件：</w:t>
      </w:r>
    </w:p>
    <w:p w14:paraId="2E54DF1B">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1.具有有效执业资格，近三年没有违法违规行为或者行政处罚记录；</w:t>
      </w:r>
    </w:p>
    <w:p w14:paraId="2F7F30EF">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2.与</w:t>
      </w:r>
      <w:r>
        <w:rPr>
          <w:rFonts w:hint="eastAsia" w:ascii="仿宋" w:hAnsi="仿宋" w:eastAsia="仿宋" w:cs="仿宋"/>
          <w:sz w:val="28"/>
          <w:szCs w:val="28"/>
          <w:lang w:eastAsia="zh-CN"/>
        </w:rPr>
        <w:t>双得利公司</w:t>
      </w:r>
      <w:r>
        <w:rPr>
          <w:rFonts w:hint="eastAsia" w:ascii="仿宋" w:hAnsi="仿宋" w:eastAsia="仿宋" w:cs="仿宋"/>
          <w:sz w:val="28"/>
          <w:szCs w:val="28"/>
        </w:rPr>
        <w:t>不存在利害关系，曾为</w:t>
      </w:r>
      <w:r>
        <w:rPr>
          <w:rFonts w:hint="eastAsia" w:ascii="仿宋" w:hAnsi="仿宋" w:eastAsia="仿宋" w:cs="仿宋"/>
          <w:sz w:val="28"/>
          <w:szCs w:val="28"/>
          <w:lang w:eastAsia="zh-CN"/>
        </w:rPr>
        <w:t>双得利公司</w:t>
      </w:r>
      <w:r>
        <w:rPr>
          <w:rFonts w:hint="eastAsia" w:ascii="仿宋" w:hAnsi="仿宋" w:eastAsia="仿宋" w:cs="仿宋"/>
          <w:sz w:val="28"/>
          <w:szCs w:val="28"/>
        </w:rPr>
        <w:t>提供过验资、审计、评估、财务顾问等相关服务的中介机构，不得参与本次招募；</w:t>
      </w:r>
    </w:p>
    <w:p w14:paraId="43F2BCB5">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3.参选的机构需有较丰富的办理或参与金融机构的破产重整、风险处置、行政重组、并购重组案件的经验；</w:t>
      </w:r>
    </w:p>
    <w:p w14:paraId="31850A64">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4.参选的机构指派的项目承办人员须业务能力强，经验丰富，善于沟通、合作，承诺最低人数的现场工作，并且明确人员名单；</w:t>
      </w:r>
    </w:p>
    <w:p w14:paraId="478D5F9D">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5.参选的机构具备相应评估资质的评估师人数应当满足本案人员要求，确保机构能在管理人规定的时间内完成工作任务。</w:t>
      </w:r>
    </w:p>
    <w:p w14:paraId="3327F02D">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6.本案件评估机构工作贯穿本案审理全过程。各机构应当确保项目人员能够全程参与本案进展，配合管理人工作。</w:t>
      </w:r>
    </w:p>
    <w:p w14:paraId="7B76F302">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四、参选方式</w:t>
      </w:r>
    </w:p>
    <w:p w14:paraId="0F2C1FC5">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参选机构应于202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2</w:t>
      </w:r>
      <w:r>
        <w:rPr>
          <w:rFonts w:hint="eastAsia" w:ascii="仿宋" w:hAnsi="仿宋" w:eastAsia="仿宋" w:cs="仿宋"/>
          <w:sz w:val="28"/>
          <w:szCs w:val="28"/>
        </w:rPr>
        <w:t>月</w:t>
      </w:r>
      <w:r>
        <w:rPr>
          <w:rFonts w:hint="eastAsia" w:ascii="仿宋" w:hAnsi="仿宋" w:eastAsia="仿宋" w:cs="仿宋"/>
          <w:sz w:val="28"/>
          <w:szCs w:val="28"/>
          <w:lang w:val="en-US" w:eastAsia="zh-CN"/>
        </w:rPr>
        <w:t>8</w:t>
      </w:r>
      <w:r>
        <w:rPr>
          <w:rFonts w:hint="eastAsia" w:ascii="仿宋" w:hAnsi="仿宋" w:eastAsia="仿宋" w:cs="仿宋"/>
          <w:sz w:val="28"/>
          <w:szCs w:val="28"/>
          <w:lang w:eastAsia="zh-CN"/>
        </w:rPr>
        <w:t>日</w:t>
      </w:r>
      <w:r>
        <w:rPr>
          <w:rFonts w:hint="eastAsia" w:ascii="仿宋" w:hAnsi="仿宋" w:eastAsia="仿宋" w:cs="仿宋"/>
          <w:sz w:val="28"/>
          <w:szCs w:val="28"/>
        </w:rPr>
        <w:t>前向管理人提交申报材料及申报材料内容相对应的证件、资料。</w:t>
      </w:r>
    </w:p>
    <w:p w14:paraId="54A56311">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申报材料应包括以下内容：</w:t>
      </w:r>
    </w:p>
    <w:p w14:paraId="69B9B02F">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1.参选机构的基本情况、</w:t>
      </w:r>
      <w:r>
        <w:rPr>
          <w:rFonts w:hint="eastAsia" w:ascii="仿宋" w:hAnsi="仿宋" w:eastAsia="仿宋" w:cs="仿宋"/>
          <w:sz w:val="28"/>
          <w:szCs w:val="28"/>
          <w:lang w:val="en-US" w:eastAsia="zh-CN"/>
        </w:rPr>
        <w:t>参选</w:t>
      </w:r>
      <w:r>
        <w:rPr>
          <w:rFonts w:hint="eastAsia" w:ascii="仿宋" w:hAnsi="仿宋" w:eastAsia="仿宋" w:cs="仿宋"/>
          <w:sz w:val="28"/>
          <w:szCs w:val="28"/>
        </w:rPr>
        <w:t>团队情况</w:t>
      </w:r>
      <w:r>
        <w:rPr>
          <w:rFonts w:hint="eastAsia" w:ascii="仿宋" w:hAnsi="仿宋" w:eastAsia="仿宋" w:cs="仿宋"/>
          <w:sz w:val="28"/>
          <w:szCs w:val="28"/>
          <w:lang w:val="en-US" w:eastAsia="zh-CN"/>
        </w:rPr>
        <w:t>介绍</w:t>
      </w:r>
      <w:r>
        <w:rPr>
          <w:rFonts w:hint="eastAsia" w:ascii="仿宋" w:hAnsi="仿宋" w:eastAsia="仿宋" w:cs="仿宋"/>
          <w:sz w:val="28"/>
          <w:szCs w:val="28"/>
        </w:rPr>
        <w:t>；</w:t>
      </w:r>
    </w:p>
    <w:p w14:paraId="75CA9F3F">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2.参与项目的竞争优势，</w:t>
      </w:r>
      <w:r>
        <w:rPr>
          <w:rFonts w:hint="eastAsia" w:ascii="仿宋" w:hAnsi="仿宋" w:eastAsia="仿宋" w:cs="仿宋"/>
          <w:sz w:val="28"/>
          <w:szCs w:val="28"/>
          <w:lang w:val="en-US" w:eastAsia="zh-CN"/>
        </w:rPr>
        <w:t>团队</w:t>
      </w:r>
      <w:r>
        <w:rPr>
          <w:rFonts w:hint="eastAsia" w:ascii="仿宋" w:hAnsi="仿宋" w:eastAsia="仿宋" w:cs="仿宋"/>
          <w:sz w:val="28"/>
          <w:szCs w:val="28"/>
        </w:rPr>
        <w:t>过往工作业绩介绍（破产重整、清算、和解项目</w:t>
      </w:r>
      <w:r>
        <w:rPr>
          <w:rFonts w:hint="eastAsia" w:ascii="仿宋" w:hAnsi="仿宋" w:eastAsia="仿宋" w:cs="仿宋"/>
          <w:sz w:val="28"/>
          <w:szCs w:val="28"/>
          <w:lang w:eastAsia="zh-CN"/>
        </w:rPr>
        <w:t>、</w:t>
      </w:r>
      <w:r>
        <w:rPr>
          <w:rFonts w:hint="eastAsia" w:ascii="仿宋" w:hAnsi="仿宋" w:eastAsia="仿宋" w:cs="仿宋"/>
          <w:sz w:val="28"/>
          <w:szCs w:val="28"/>
        </w:rPr>
        <w:t>风险处置项目）；</w:t>
      </w:r>
    </w:p>
    <w:p w14:paraId="47EEFD23">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3.拟从事项目的团队全部成员名单及资质证明材料、团队的基本情况；</w:t>
      </w:r>
    </w:p>
    <w:p w14:paraId="3196E84D">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4.对项目的理解及中选后的工作方案；</w:t>
      </w:r>
    </w:p>
    <w:p w14:paraId="59ED5A8F">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5.项目的时间进度安排，可全程参与本案并能够按照管理人要求在规定时间内完成中介机构职责并出具相关报告的工作承诺函；</w:t>
      </w:r>
    </w:p>
    <w:p w14:paraId="0FD23B6C">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6.费用报价方案</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模板见附件）</w:t>
      </w:r>
      <w:r>
        <w:rPr>
          <w:rFonts w:hint="eastAsia" w:ascii="仿宋" w:hAnsi="仿宋" w:eastAsia="仿宋" w:cs="仿宋"/>
          <w:sz w:val="28"/>
          <w:szCs w:val="28"/>
        </w:rPr>
        <w:t>；</w:t>
      </w:r>
    </w:p>
    <w:p w14:paraId="5A078B6A">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7.评估机构注册证书（复印件），营业执照（复印件），负责评估师执业资格证书及人员名册（复印件），工作业绩证明、参与本次公开招募人员的授权委托书及其他证明文件。</w:t>
      </w:r>
    </w:p>
    <w:p w14:paraId="47D2FF00">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五、报名方式</w:t>
      </w:r>
    </w:p>
    <w:p w14:paraId="2FEC19E3">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请有意向报名的机构在202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2</w:t>
      </w:r>
      <w:r>
        <w:rPr>
          <w:rFonts w:hint="eastAsia" w:ascii="仿宋" w:hAnsi="仿宋" w:eastAsia="仿宋" w:cs="仿宋"/>
          <w:sz w:val="28"/>
          <w:szCs w:val="28"/>
        </w:rPr>
        <w:t>月</w:t>
      </w:r>
      <w:r>
        <w:rPr>
          <w:rFonts w:hint="eastAsia" w:ascii="仿宋" w:hAnsi="仿宋" w:eastAsia="仿宋" w:cs="仿宋"/>
          <w:sz w:val="28"/>
          <w:szCs w:val="28"/>
          <w:lang w:val="en-US" w:eastAsia="zh-CN"/>
        </w:rPr>
        <w:t>8</w:t>
      </w:r>
      <w:r>
        <w:rPr>
          <w:rFonts w:hint="eastAsia" w:ascii="仿宋" w:hAnsi="仿宋" w:eastAsia="仿宋" w:cs="仿宋"/>
          <w:sz w:val="28"/>
          <w:szCs w:val="28"/>
          <w:lang w:eastAsia="zh-CN"/>
        </w:rPr>
        <w:t>日</w:t>
      </w:r>
      <w:r>
        <w:rPr>
          <w:rFonts w:hint="eastAsia" w:ascii="仿宋" w:hAnsi="仿宋" w:eastAsia="仿宋" w:cs="仿宋"/>
          <w:sz w:val="28"/>
          <w:szCs w:val="28"/>
        </w:rPr>
        <w:t>前将经盖章的书面材料的扫描件发送至邮箱</w:t>
      </w:r>
      <w:r>
        <w:rPr>
          <w:rFonts w:hint="eastAsia" w:ascii="仿宋" w:hAnsi="仿宋" w:eastAsia="仿宋" w:cs="仿宋"/>
          <w:sz w:val="28"/>
          <w:szCs w:val="28"/>
          <w:lang w:val="en-US" w:eastAsia="zh-CN"/>
        </w:rPr>
        <w:t>zoufeng@dehenglaw.</w:t>
      </w:r>
      <w:r>
        <w:rPr>
          <w:rFonts w:hint="eastAsia" w:ascii="仿宋" w:hAnsi="仿宋" w:eastAsia="仿宋" w:cs="仿宋"/>
          <w:sz w:val="28"/>
          <w:szCs w:val="28"/>
        </w:rPr>
        <w:t>com，</w:t>
      </w:r>
      <w:r>
        <w:rPr>
          <w:rFonts w:hint="eastAsia" w:ascii="仿宋" w:hAnsi="仿宋" w:eastAsia="仿宋" w:cs="仿宋"/>
          <w:sz w:val="28"/>
          <w:szCs w:val="28"/>
          <w:lang w:val="en-US" w:eastAsia="zh-CN"/>
        </w:rPr>
        <w:t>邮件标题命名为报名机构名称+双得利评估机构项目报名材料；</w:t>
      </w:r>
      <w:r>
        <w:rPr>
          <w:rFonts w:hint="eastAsia" w:ascii="仿宋" w:hAnsi="仿宋" w:eastAsia="仿宋" w:cs="仿宋"/>
          <w:sz w:val="28"/>
          <w:szCs w:val="28"/>
        </w:rPr>
        <w:t>并同步将报名文件一式两份邮寄至以下地址：北京西城区金融大街19号富凯大厦B座十二层，邹锋</w:t>
      </w:r>
      <w:r>
        <w:rPr>
          <w:rFonts w:hint="eastAsia" w:ascii="仿宋" w:hAnsi="仿宋" w:eastAsia="仿宋" w:cs="仿宋"/>
          <w:sz w:val="28"/>
          <w:szCs w:val="28"/>
          <w:lang w:eastAsia="zh-CN"/>
        </w:rPr>
        <w:t>（</w:t>
      </w:r>
      <w:r>
        <w:rPr>
          <w:rFonts w:hint="eastAsia" w:ascii="仿宋" w:hAnsi="仿宋" w:eastAsia="仿宋" w:cs="仿宋"/>
          <w:sz w:val="28"/>
          <w:szCs w:val="28"/>
        </w:rPr>
        <w:t>收</w:t>
      </w:r>
      <w:r>
        <w:rPr>
          <w:rFonts w:hint="eastAsia" w:ascii="仿宋" w:hAnsi="仿宋" w:eastAsia="仿宋" w:cs="仿宋"/>
          <w:sz w:val="28"/>
          <w:szCs w:val="28"/>
          <w:lang w:eastAsia="zh-CN"/>
        </w:rPr>
        <w:t>）</w:t>
      </w:r>
      <w:r>
        <w:rPr>
          <w:rFonts w:hint="eastAsia" w:ascii="仿宋" w:hAnsi="仿宋" w:eastAsia="仿宋" w:cs="仿宋"/>
          <w:sz w:val="28"/>
          <w:szCs w:val="28"/>
        </w:rPr>
        <w:t>，联系电话18010141256。未在前述时限前寄出文件且发送扫描件的均视为未报名。</w:t>
      </w:r>
    </w:p>
    <w:p w14:paraId="77882A9E">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六、报价原则</w:t>
      </w:r>
    </w:p>
    <w:p w14:paraId="6E6EB0F3">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本次报价费用采取包干计费方式且为含税，报价中应包含差旅费、食宿费等所有相关费用，报价必须明确，不能具有不确定性。</w:t>
      </w:r>
    </w:p>
    <w:p w14:paraId="7BE82243">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七、其他事项</w:t>
      </w:r>
    </w:p>
    <w:p w14:paraId="485C40AD">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1.如参选机构提交的书面方案和材料未完全包含本公告所要求的内容，且报名截止之日之前未予补充或更正的，则视为该机构提交的书面方案无效；</w:t>
      </w:r>
    </w:p>
    <w:p w14:paraId="23D2E53A">
      <w:pPr>
        <w:spacing w:line="576" w:lineRule="exact"/>
        <w:ind w:firstLine="560"/>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.管理人将根据机构提交的资料</w:t>
      </w:r>
      <w:r>
        <w:rPr>
          <w:rFonts w:hint="eastAsia" w:ascii="仿宋" w:hAnsi="仿宋" w:eastAsia="仿宋" w:cs="仿宋"/>
          <w:sz w:val="28"/>
          <w:szCs w:val="28"/>
          <w:lang w:val="en-US" w:eastAsia="zh-CN"/>
        </w:rPr>
        <w:t>组织</w:t>
      </w:r>
      <w:r>
        <w:rPr>
          <w:rFonts w:hint="eastAsia" w:ascii="仿宋" w:hAnsi="仿宋" w:eastAsia="仿宋" w:cs="仿宋"/>
          <w:sz w:val="28"/>
          <w:szCs w:val="28"/>
        </w:rPr>
        <w:t>对各参选机构综合评分，</w:t>
      </w:r>
      <w:r>
        <w:rPr>
          <w:rFonts w:hint="eastAsia" w:ascii="仿宋" w:hAnsi="仿宋" w:eastAsia="仿宋" w:cs="仿宋"/>
          <w:sz w:val="28"/>
          <w:szCs w:val="28"/>
          <w:lang w:val="en-US" w:eastAsia="zh-CN"/>
        </w:rPr>
        <w:t>不再组织现场陈述，评审</w:t>
      </w:r>
      <w:r>
        <w:rPr>
          <w:rFonts w:hint="eastAsia" w:ascii="仿宋" w:hAnsi="仿宋" w:eastAsia="仿宋" w:cs="仿宋"/>
          <w:sz w:val="28"/>
          <w:szCs w:val="28"/>
        </w:rPr>
        <w:t>主要从</w:t>
      </w:r>
      <w:r>
        <w:rPr>
          <w:rFonts w:hint="eastAsia" w:ascii="仿宋" w:hAnsi="仿宋" w:eastAsia="仿宋" w:cs="仿宋"/>
          <w:sz w:val="28"/>
          <w:szCs w:val="28"/>
          <w:lang w:val="en-US" w:eastAsia="zh-CN"/>
        </w:rPr>
        <w:t>机构情况、团队</w:t>
      </w:r>
      <w:r>
        <w:rPr>
          <w:rFonts w:hint="eastAsia" w:ascii="仿宋" w:hAnsi="仿宋" w:eastAsia="仿宋" w:cs="仿宋"/>
          <w:sz w:val="28"/>
          <w:szCs w:val="28"/>
        </w:rPr>
        <w:t>规模、信誉、参与破产清算及重整项目的经验、可进驻现场人数、工作认识、工作思路、进度安排、竞选报价等方面进行评分，由管理人遴选后报人民法院确定；</w:t>
      </w:r>
    </w:p>
    <w:p w14:paraId="0989AC59">
      <w:pPr>
        <w:spacing w:line="576" w:lineRule="exact"/>
        <w:ind w:firstLine="56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.管理人将组织评审确定本案的中选机构1家和候补机构1家。对于报名而未入选的机构，管理人不再另行通知、报名材料不予退还；</w:t>
      </w:r>
    </w:p>
    <w:p w14:paraId="6CB173CB">
      <w:pPr>
        <w:spacing w:line="576" w:lineRule="exact"/>
        <w:ind w:firstLine="560"/>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.上述工作内容相关事宜仅供参考，具体的业务范围及目标以最终签订的合同为准。在本案推进过程中如有新增需要评估事项，管理人将不再另行招募第三方机构，由管理人与中标机构协商确定新增工作内容。</w:t>
      </w:r>
    </w:p>
    <w:p w14:paraId="1D35E2A6">
      <w:pPr>
        <w:spacing w:line="576" w:lineRule="exact"/>
        <w:ind w:firstLine="560"/>
        <w:rPr>
          <w:rFonts w:hint="eastAsia" w:ascii="仿宋" w:hAnsi="仿宋" w:eastAsia="仿宋" w:cs="仿宋"/>
          <w:sz w:val="28"/>
          <w:szCs w:val="28"/>
        </w:rPr>
      </w:pPr>
      <w:r>
        <w:rPr>
          <w:rFonts w:hint="eastAsia" w:ascii="仿宋" w:hAnsi="仿宋" w:eastAsia="仿宋" w:cs="仿宋"/>
          <w:sz w:val="28"/>
          <w:szCs w:val="28"/>
        </w:rPr>
        <w:t>特此公告。</w:t>
      </w:r>
    </w:p>
    <w:p w14:paraId="05DF8094">
      <w:pPr>
        <w:spacing w:line="576" w:lineRule="exact"/>
        <w:ind w:firstLine="560"/>
        <w:jc w:val="left"/>
        <w:rPr>
          <w:rFonts w:hint="eastAsia" w:ascii="仿宋" w:hAnsi="仿宋" w:eastAsia="仿宋" w:cs="仿宋"/>
          <w:sz w:val="28"/>
          <w:szCs w:val="28"/>
        </w:rPr>
      </w:pPr>
    </w:p>
    <w:p w14:paraId="571D5D85">
      <w:pPr>
        <w:spacing w:line="576" w:lineRule="exact"/>
        <w:ind w:firstLine="560"/>
        <w:jc w:val="left"/>
        <w:rPr>
          <w:rFonts w:hint="eastAsia" w:ascii="仿宋" w:hAnsi="仿宋" w:eastAsia="仿宋" w:cs="仿宋"/>
          <w:sz w:val="28"/>
          <w:szCs w:val="28"/>
        </w:rPr>
      </w:pPr>
    </w:p>
    <w:p w14:paraId="09CDEA10">
      <w:pPr>
        <w:spacing w:line="576" w:lineRule="exact"/>
        <w:ind w:firstLine="56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附：报价单模板</w:t>
      </w:r>
    </w:p>
    <w:p w14:paraId="44156EB6">
      <w:pPr>
        <w:spacing w:line="576" w:lineRule="exact"/>
        <w:ind w:firstLine="560"/>
        <w:jc w:val="left"/>
        <w:rPr>
          <w:rFonts w:hint="eastAsia" w:ascii="仿宋" w:hAnsi="仿宋" w:eastAsia="仿宋" w:cs="仿宋"/>
          <w:sz w:val="28"/>
          <w:szCs w:val="28"/>
        </w:rPr>
      </w:pPr>
    </w:p>
    <w:p w14:paraId="368038D9">
      <w:pPr>
        <w:spacing w:line="576" w:lineRule="exact"/>
        <w:ind w:firstLine="560"/>
        <w:jc w:val="right"/>
        <w:rPr>
          <w:rFonts w:hint="eastAsia" w:ascii="仿宋" w:hAnsi="仿宋" w:eastAsia="仿宋" w:cs="仿宋"/>
          <w:sz w:val="28"/>
          <w:szCs w:val="28"/>
        </w:rPr>
      </w:pPr>
      <w:r>
        <w:rPr>
          <w:rFonts w:hint="eastAsia" w:ascii="仿宋" w:hAnsi="仿宋" w:eastAsia="仿宋" w:cs="仿宋"/>
          <w:sz w:val="28"/>
          <w:szCs w:val="28"/>
          <w:lang w:eastAsia="zh-CN"/>
        </w:rPr>
        <w:t>北京双得利科工贸有限责任公司</w:t>
      </w:r>
      <w:r>
        <w:rPr>
          <w:rFonts w:hint="eastAsia" w:ascii="仿宋" w:hAnsi="仿宋" w:eastAsia="仿宋" w:cs="仿宋"/>
          <w:sz w:val="28"/>
          <w:szCs w:val="28"/>
        </w:rPr>
        <w:t>管理人</w:t>
      </w:r>
    </w:p>
    <w:p w14:paraId="016C24B6">
      <w:pPr>
        <w:wordWrap w:val="0"/>
        <w:ind w:firstLine="0" w:firstLineChars="0"/>
        <w:jc w:val="right"/>
        <w:rPr>
          <w:rFonts w:hint="eastAsia" w:ascii="仿宋" w:hAnsi="仿宋" w:eastAsia="仿宋" w:cs="仿宋"/>
          <w:sz w:val="28"/>
          <w:szCs w:val="28"/>
          <w:lang w:val="en-US" w:eastAsia="zh-CN"/>
        </w:rPr>
      </w:pPr>
      <w:r>
        <w:rPr>
          <w:rFonts w:hint="eastAsia" w:ascii="仿宋" w:hAnsi="仿宋" w:eastAsia="仿宋" w:cs="仿宋"/>
          <w:sz w:val="28"/>
          <w:szCs w:val="28"/>
        </w:rPr>
        <w:t>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1</w:t>
      </w:r>
      <w:r>
        <w:rPr>
          <w:rFonts w:hint="eastAsia" w:ascii="仿宋" w:hAnsi="仿宋" w:eastAsia="仿宋" w:cs="仿宋"/>
          <w:sz w:val="28"/>
          <w:szCs w:val="28"/>
        </w:rPr>
        <w:t>月</w:t>
      </w:r>
      <w:r>
        <w:rPr>
          <w:rFonts w:hint="eastAsia" w:ascii="仿宋" w:hAnsi="仿宋" w:eastAsia="仿宋" w:cs="仿宋"/>
          <w:sz w:val="28"/>
          <w:szCs w:val="28"/>
          <w:lang w:val="en-US" w:eastAsia="zh-CN"/>
        </w:rPr>
        <w:t>25</w:t>
      </w:r>
      <w:r>
        <w:rPr>
          <w:rFonts w:hint="eastAsia" w:ascii="仿宋" w:hAnsi="仿宋" w:eastAsia="仿宋" w:cs="仿宋"/>
          <w:sz w:val="28"/>
          <w:szCs w:val="28"/>
        </w:rPr>
        <w:t>日</w:t>
      </w:r>
      <w:r>
        <w:rPr>
          <w:rFonts w:hint="eastAsia" w:ascii="仿宋" w:hAnsi="仿宋" w:eastAsia="仿宋" w:cs="仿宋"/>
          <w:sz w:val="28"/>
          <w:szCs w:val="28"/>
          <w:lang w:val="en-US" w:eastAsia="zh-CN"/>
        </w:rPr>
        <w:t xml:space="preserve">          </w:t>
      </w:r>
    </w:p>
    <w:p w14:paraId="0DF0B455">
      <w:pPr>
        <w:wordWrap w:val="0"/>
        <w:spacing w:line="576" w:lineRule="exact"/>
        <w:ind w:firstLine="560"/>
        <w:jc w:val="right"/>
        <w:rPr>
          <w:rFonts w:hint="eastAsia" w:ascii="仿宋" w:hAnsi="仿宋" w:eastAsia="仿宋" w:cs="仿宋"/>
          <w:sz w:val="28"/>
          <w:szCs w:val="28"/>
        </w:rPr>
        <w:sectPr>
          <w:pgSz w:w="11906" w:h="16838"/>
          <w:pgMar w:top="2098" w:right="1474" w:bottom="1984" w:left="1587" w:header="851" w:footer="992" w:gutter="0"/>
          <w:cols w:space="0" w:num="1"/>
          <w:rtlGutter w:val="0"/>
          <w:docGrid w:type="lines" w:linePitch="439" w:charSpace="0"/>
        </w:sectPr>
      </w:pPr>
    </w:p>
    <w:tbl>
      <w:tblPr>
        <w:tblStyle w:val="4"/>
        <w:tblW w:w="8939" w:type="dxa"/>
        <w:tblInd w:w="88" w:type="dxa"/>
        <w:tblLayout w:type="fixed"/>
        <w:tblCellMar>
          <w:top w:w="0" w:type="dxa"/>
          <w:left w:w="108" w:type="dxa"/>
          <w:bottom w:w="0" w:type="dxa"/>
          <w:right w:w="108" w:type="dxa"/>
        </w:tblCellMar>
      </w:tblPr>
      <w:tblGrid>
        <w:gridCol w:w="876"/>
        <w:gridCol w:w="3120"/>
        <w:gridCol w:w="4943"/>
      </w:tblGrid>
      <w:tr w14:paraId="68531279">
        <w:trPr>
          <w:trHeight w:val="336" w:hRule="atLeast"/>
        </w:trPr>
        <w:tc>
          <w:tcPr>
            <w:tcW w:w="8939" w:type="dxa"/>
            <w:gridSpan w:val="3"/>
            <w:tcBorders>
              <w:top w:val="nil"/>
              <w:left w:val="nil"/>
              <w:bottom w:val="nil"/>
              <w:right w:val="nil"/>
            </w:tcBorders>
            <w:shd w:val="clear" w:color="auto" w:fill="auto"/>
            <w:noWrap/>
            <w:vAlign w:val="center"/>
          </w:tcPr>
          <w:p w14:paraId="0A89FF1F">
            <w:pPr>
              <w:widowControl/>
              <w:ind w:firstLine="0" w:firstLineChars="0"/>
              <w:jc w:val="center"/>
              <w:textAlignment w:val="center"/>
              <w:rPr>
                <w:rFonts w:hint="eastAsia" w:ascii="黑体" w:hAnsi="黑体" w:eastAsia="黑体" w:cs="黑体"/>
                <w:color w:val="000000"/>
                <w:kern w:val="0"/>
                <w:sz w:val="28"/>
                <w:szCs w:val="28"/>
                <w:lang w:bidi="ar"/>
              </w:rPr>
            </w:pPr>
            <w:r>
              <w:rPr>
                <w:rFonts w:hint="eastAsia" w:ascii="黑体" w:hAnsi="黑体" w:eastAsia="黑体" w:cs="黑体"/>
                <w:sz w:val="28"/>
                <w:szCs w:val="28"/>
                <w:lang w:val="en-US" w:eastAsia="zh-CN"/>
              </w:rPr>
              <w:t>北京双得利科工贸有限责任公司破产资产评估机构</w:t>
            </w:r>
            <w:r>
              <w:rPr>
                <w:rFonts w:hint="eastAsia" w:ascii="黑体" w:hAnsi="黑体" w:eastAsia="黑体" w:cs="黑体"/>
                <w:color w:val="000000"/>
                <w:kern w:val="0"/>
                <w:sz w:val="28"/>
                <w:szCs w:val="28"/>
                <w:lang w:bidi="ar"/>
              </w:rPr>
              <w:t>招募</w:t>
            </w:r>
          </w:p>
          <w:p w14:paraId="500EC5EB">
            <w:pPr>
              <w:widowControl/>
              <w:ind w:firstLine="0" w:firstLineChars="0"/>
              <w:jc w:val="center"/>
              <w:textAlignment w:val="center"/>
              <w:rPr>
                <w:rFonts w:ascii="仿宋" w:hAnsi="仿宋" w:eastAsia="仿宋" w:cs="仿宋"/>
                <w:color w:val="000000"/>
                <w:sz w:val="24"/>
                <w:szCs w:val="24"/>
              </w:rPr>
            </w:pPr>
            <w:r>
              <w:rPr>
                <w:rFonts w:hint="eastAsia" w:ascii="黑体" w:hAnsi="黑体" w:eastAsia="黑体" w:cs="黑体"/>
                <w:color w:val="000000"/>
                <w:kern w:val="0"/>
                <w:sz w:val="32"/>
                <w:szCs w:val="32"/>
                <w:lang w:bidi="ar"/>
              </w:rPr>
              <w:t>报价单</w:t>
            </w:r>
          </w:p>
        </w:tc>
      </w:tr>
      <w:tr w14:paraId="72C5ABA1">
        <w:trPr>
          <w:trHeight w:val="336"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08E78">
            <w:pPr>
              <w:widowControl/>
              <w:ind w:firstLine="0" w:firstLineChars="0"/>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内容</w:t>
            </w:r>
          </w:p>
        </w:tc>
        <w:tc>
          <w:tcPr>
            <w:tcW w:w="3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F7EDC">
            <w:pPr>
              <w:widowControl/>
              <w:ind w:firstLine="480"/>
              <w:jc w:val="center"/>
              <w:rPr>
                <w:rFonts w:ascii="仿宋" w:hAnsi="仿宋" w:eastAsia="仿宋" w:cs="仿宋"/>
                <w:color w:val="000000"/>
                <w:sz w:val="24"/>
                <w:szCs w:val="24"/>
              </w:rPr>
            </w:pPr>
            <w:r>
              <w:rPr>
                <w:rFonts w:hint="eastAsia" w:ascii="仿宋" w:hAnsi="仿宋" w:eastAsia="仿宋" w:cs="仿宋"/>
                <w:color w:val="000000"/>
                <w:sz w:val="24"/>
                <w:szCs w:val="24"/>
              </w:rPr>
              <w:t>报价项目</w:t>
            </w:r>
          </w:p>
        </w:tc>
        <w:tc>
          <w:tcPr>
            <w:tcW w:w="4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2A417">
            <w:pPr>
              <w:widowControl/>
              <w:ind w:firstLine="0" w:firstLineChars="0"/>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报价</w:t>
            </w:r>
          </w:p>
        </w:tc>
      </w:tr>
      <w:tr w14:paraId="0DF4791C">
        <w:trPr>
          <w:trHeight w:val="1922" w:hRule="atLeast"/>
        </w:trPr>
        <w:tc>
          <w:tcPr>
            <w:tcW w:w="876" w:type="dxa"/>
            <w:tcBorders>
              <w:left w:val="single" w:color="000000" w:sz="4" w:space="0"/>
              <w:right w:val="single" w:color="000000" w:sz="4" w:space="0"/>
            </w:tcBorders>
            <w:shd w:val="clear" w:color="auto" w:fill="auto"/>
            <w:noWrap/>
            <w:vAlign w:val="center"/>
          </w:tcPr>
          <w:p w14:paraId="7F60F870">
            <w:pPr>
              <w:widowControl/>
              <w:ind w:firstLine="0" w:firstLineChars="0"/>
              <w:jc w:val="center"/>
              <w:rPr>
                <w:rFonts w:ascii="仿宋" w:hAnsi="仿宋" w:eastAsia="仿宋" w:cs="仿宋"/>
                <w:color w:val="000000"/>
                <w:sz w:val="24"/>
                <w:szCs w:val="24"/>
              </w:rPr>
            </w:pPr>
            <w:r>
              <w:rPr>
                <w:rFonts w:hint="eastAsia" w:ascii="仿宋" w:hAnsi="仿宋" w:eastAsia="仿宋" w:cs="仿宋"/>
                <w:color w:val="000000"/>
                <w:sz w:val="24"/>
                <w:szCs w:val="24"/>
              </w:rPr>
              <w:t>报价内容</w:t>
            </w:r>
          </w:p>
        </w:tc>
        <w:tc>
          <w:tcPr>
            <w:tcW w:w="3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E0293">
            <w:pPr>
              <w:widowControl/>
              <w:ind w:firstLine="0" w:firstLineChars="0"/>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北京双得利科工贸有限责任公司破产资产评估机构招募公告所载服务内容</w:t>
            </w:r>
          </w:p>
        </w:tc>
        <w:tc>
          <w:tcPr>
            <w:tcW w:w="4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D9B9E">
            <w:pPr>
              <w:widowControl/>
              <w:ind w:firstLine="0" w:firstLineChars="0"/>
              <w:jc w:val="left"/>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小写：</w:t>
            </w:r>
          </w:p>
          <w:p w14:paraId="3A55F229">
            <w:pPr>
              <w:widowControl/>
              <w:ind w:firstLine="0" w:firstLineChars="0"/>
              <w:jc w:val="left"/>
              <w:textAlignment w:val="center"/>
              <w:rPr>
                <w:rFonts w:hint="eastAsia" w:ascii="仿宋" w:hAnsi="仿宋" w:eastAsia="仿宋" w:cs="仿宋"/>
                <w:color w:val="000000"/>
                <w:kern w:val="0"/>
                <w:sz w:val="24"/>
                <w:szCs w:val="24"/>
                <w:lang w:bidi="ar"/>
              </w:rPr>
            </w:pPr>
          </w:p>
          <w:p w14:paraId="4A49D717">
            <w:pPr>
              <w:widowControl/>
              <w:ind w:firstLine="0" w:firstLineChars="0"/>
              <w:jc w:val="left"/>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大写：</w:t>
            </w:r>
          </w:p>
          <w:p w14:paraId="638ABDAB">
            <w:pPr>
              <w:widowControl/>
              <w:ind w:firstLine="0" w:firstLineChars="0"/>
              <w:jc w:val="left"/>
              <w:textAlignment w:val="center"/>
              <w:rPr>
                <w:rFonts w:hint="eastAsia" w:ascii="仿宋" w:hAnsi="仿宋" w:eastAsia="仿宋" w:cs="仿宋"/>
                <w:color w:val="000000"/>
                <w:kern w:val="0"/>
                <w:sz w:val="24"/>
                <w:szCs w:val="24"/>
                <w:lang w:bidi="ar"/>
              </w:rPr>
            </w:pPr>
          </w:p>
        </w:tc>
      </w:tr>
      <w:tr w14:paraId="2CF1AA0E">
        <w:trPr>
          <w:trHeight w:val="940" w:hRule="atLeast"/>
        </w:trPr>
        <w:tc>
          <w:tcPr>
            <w:tcW w:w="89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65232C">
            <w:pPr>
              <w:widowControl/>
              <w:ind w:firstLine="0" w:firstLineChars="0"/>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我司/所</w:t>
            </w:r>
            <w:r>
              <w:rPr>
                <w:rFonts w:hint="eastAsia" w:ascii="仿宋" w:hAnsi="仿宋" w:eastAsia="仿宋" w:cs="仿宋"/>
                <w:color w:val="000000"/>
                <w:kern w:val="0"/>
                <w:sz w:val="24"/>
                <w:szCs w:val="24"/>
                <w:lang w:val="en-US" w:eastAsia="zh-CN" w:bidi="ar"/>
              </w:rPr>
              <w:t>参加</w:t>
            </w:r>
            <w:r>
              <w:rPr>
                <w:rFonts w:hint="eastAsia" w:ascii="仿宋" w:hAnsi="仿宋" w:eastAsia="仿宋" w:cs="仿宋"/>
                <w:color w:val="000000"/>
                <w:sz w:val="24"/>
                <w:szCs w:val="24"/>
                <w:lang w:eastAsia="zh-CN"/>
              </w:rPr>
              <w:t>北京双得利科工贸有限责任公司</w:t>
            </w:r>
            <w:r>
              <w:rPr>
                <w:rFonts w:hint="eastAsia" w:ascii="仿宋" w:hAnsi="仿宋" w:eastAsia="仿宋" w:cs="仿宋"/>
                <w:color w:val="000000"/>
                <w:sz w:val="24"/>
                <w:szCs w:val="24"/>
                <w:lang w:val="en-US" w:eastAsia="zh-CN"/>
              </w:rPr>
              <w:t>破产</w:t>
            </w:r>
            <w:r>
              <w:rPr>
                <w:rFonts w:hint="eastAsia" w:ascii="仿宋" w:hAnsi="仿宋" w:eastAsia="仿宋" w:cs="仿宋"/>
                <w:color w:val="000000"/>
                <w:sz w:val="24"/>
                <w:szCs w:val="24"/>
              </w:rPr>
              <w:t>审计机构</w:t>
            </w:r>
            <w:r>
              <w:rPr>
                <w:rFonts w:hint="eastAsia" w:ascii="仿宋" w:hAnsi="仿宋" w:eastAsia="仿宋" w:cs="仿宋"/>
                <w:color w:val="000000"/>
                <w:sz w:val="24"/>
                <w:szCs w:val="24"/>
                <w:lang w:val="en-US" w:eastAsia="zh-CN"/>
              </w:rPr>
              <w:t>招募，悉知《关于公开招募双得利破产审计机构的公告》有关内容，接受其约束，经分析研究和认真决策，对公告所需服务报价如上。</w:t>
            </w:r>
          </w:p>
        </w:tc>
      </w:tr>
      <w:tr w14:paraId="18C5D64B">
        <w:trPr>
          <w:trHeight w:val="2362" w:hRule="atLeast"/>
        </w:trPr>
        <w:tc>
          <w:tcPr>
            <w:tcW w:w="89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272165">
            <w:pPr>
              <w:widowControl/>
              <w:ind w:firstLine="0" w:firstLineChars="0"/>
              <w:jc w:val="left"/>
              <w:textAlignment w:val="center"/>
              <w:rPr>
                <w:rFonts w:hint="eastAsia" w:ascii="仿宋" w:hAnsi="仿宋" w:eastAsia="仿宋" w:cs="仿宋"/>
                <w:color w:val="000000"/>
                <w:kern w:val="0"/>
                <w:sz w:val="24"/>
                <w:szCs w:val="24"/>
                <w:lang w:eastAsia="zh-CN" w:bidi="ar"/>
              </w:rPr>
            </w:pPr>
            <w:r>
              <w:rPr>
                <w:rFonts w:hint="eastAsia" w:ascii="仿宋" w:hAnsi="仿宋" w:eastAsia="仿宋" w:cs="仿宋"/>
                <w:color w:val="000000"/>
                <w:kern w:val="0"/>
                <w:sz w:val="24"/>
                <w:szCs w:val="24"/>
                <w:lang w:bidi="ar"/>
              </w:rPr>
              <w:t>报价单位（</w:t>
            </w:r>
            <w:r>
              <w:rPr>
                <w:rFonts w:hint="eastAsia" w:ascii="仿宋" w:hAnsi="仿宋" w:eastAsia="仿宋" w:cs="仿宋"/>
                <w:color w:val="000000"/>
                <w:kern w:val="0"/>
                <w:sz w:val="24"/>
                <w:szCs w:val="24"/>
                <w:lang w:val="en-US" w:eastAsia="zh-CN" w:bidi="ar"/>
              </w:rPr>
              <w:t>名称</w:t>
            </w:r>
            <w:r>
              <w:rPr>
                <w:rFonts w:hint="eastAsia" w:ascii="仿宋" w:hAnsi="仿宋" w:eastAsia="仿宋" w:cs="仿宋"/>
                <w:color w:val="000000"/>
                <w:kern w:val="0"/>
                <w:sz w:val="24"/>
                <w:szCs w:val="24"/>
                <w:lang w:bidi="ar"/>
              </w:rPr>
              <w:t>）</w:t>
            </w:r>
            <w:r>
              <w:rPr>
                <w:rFonts w:hint="eastAsia" w:ascii="仿宋" w:hAnsi="仿宋" w:eastAsia="仿宋" w:cs="仿宋"/>
                <w:color w:val="000000"/>
                <w:kern w:val="0"/>
                <w:sz w:val="24"/>
                <w:szCs w:val="24"/>
                <w:lang w:eastAsia="zh-CN" w:bidi="ar"/>
              </w:rPr>
              <w:t>：</w:t>
            </w:r>
          </w:p>
          <w:p w14:paraId="008451F7">
            <w:pPr>
              <w:widowControl/>
              <w:ind w:firstLine="0" w:firstLineChars="0"/>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kern w:val="0"/>
                <w:sz w:val="24"/>
                <w:szCs w:val="24"/>
                <w:lang w:val="en-US" w:eastAsia="zh-CN" w:bidi="ar"/>
              </w:rPr>
              <w:t>法定代表人或授权代表</w:t>
            </w:r>
            <w:r>
              <w:rPr>
                <w:rFonts w:hint="eastAsia" w:ascii="仿宋" w:hAnsi="仿宋" w:eastAsia="仿宋" w:cs="仿宋"/>
                <w:color w:val="000000"/>
                <w:kern w:val="0"/>
                <w:sz w:val="24"/>
                <w:szCs w:val="24"/>
                <w:lang w:bidi="ar"/>
              </w:rPr>
              <w:t>签字</w:t>
            </w:r>
            <w:r>
              <w:rPr>
                <w:rFonts w:hint="eastAsia" w:ascii="仿宋" w:hAnsi="仿宋" w:eastAsia="仿宋" w:cs="仿宋"/>
                <w:color w:val="000000"/>
                <w:kern w:val="0"/>
                <w:sz w:val="24"/>
                <w:szCs w:val="24"/>
                <w:lang w:eastAsia="zh-CN" w:bidi="ar"/>
              </w:rPr>
              <w:t>：</w:t>
            </w:r>
          </w:p>
        </w:tc>
      </w:tr>
      <w:tr w14:paraId="18F5D3B1">
        <w:trPr>
          <w:trHeight w:val="1300" w:hRule="atLeast"/>
        </w:trPr>
        <w:tc>
          <w:tcPr>
            <w:tcW w:w="89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8B6F5B">
            <w:pPr>
              <w:widowControl/>
              <w:ind w:firstLine="0" w:firstLineChars="0"/>
              <w:jc w:val="both"/>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color w:val="000000"/>
                <w:sz w:val="24"/>
                <w:szCs w:val="24"/>
                <w:lang w:val="en-US" w:eastAsia="zh-CN"/>
              </w:rPr>
              <w:t>注：1.</w:t>
            </w:r>
            <w:r>
              <w:rPr>
                <w:rFonts w:hint="eastAsia" w:ascii="仿宋" w:hAnsi="仿宋" w:eastAsia="仿宋" w:cs="仿宋"/>
                <w:i w:val="0"/>
                <w:iCs w:val="0"/>
                <w:color w:val="000000"/>
                <w:kern w:val="0"/>
                <w:sz w:val="24"/>
                <w:szCs w:val="24"/>
                <w:highlight w:val="none"/>
                <w:u w:val="none"/>
                <w:lang w:val="en-US" w:eastAsia="zh-CN" w:bidi="ar"/>
              </w:rPr>
              <w:t>本报价函应随其他资料密封。</w:t>
            </w:r>
          </w:p>
          <w:p w14:paraId="30B7BFDF">
            <w:pPr>
              <w:widowControl/>
              <w:ind w:firstLine="0" w:firstLineChars="0"/>
              <w:jc w:val="both"/>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 xml:space="preserve">    2.本报价函报价仅包含公告所述公司的资产评估服务，未来可能的合并重整导致需要评估关联公司资产的，在不另行招募评估机构的情况下，将参考本项目的服务内容所涉的工作强度和时间等因素结算费用，请谨慎决策报价。</w:t>
            </w:r>
          </w:p>
        </w:tc>
      </w:tr>
    </w:tbl>
    <w:p w14:paraId="3FC9FBF2">
      <w:pPr>
        <w:wordWrap w:val="0"/>
        <w:spacing w:line="576" w:lineRule="exact"/>
        <w:ind w:firstLine="560"/>
        <w:jc w:val="right"/>
        <w:rPr>
          <w:rFonts w:hint="eastAsia" w:ascii="仿宋" w:hAnsi="仿宋" w:eastAsia="仿宋" w:cs="仿宋"/>
          <w:sz w:val="28"/>
          <w:szCs w:val="28"/>
        </w:rPr>
      </w:pPr>
    </w:p>
    <w:sectPr>
      <w:pgSz w:w="11906" w:h="16838"/>
      <w:pgMar w:top="2098" w:right="1474" w:bottom="1984" w:left="1587" w:header="851" w:footer="992" w:gutter="0"/>
      <w:cols w:space="0" w:num="1"/>
      <w:rtlGutter w:val="0"/>
      <w:docGrid w:type="lines" w:linePitch="43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703060505090304"/>
    <w:charset w:val="86"/>
    <w:family w:val="roman"/>
    <w:pitch w:val="default"/>
    <w:sig w:usb0="E0000AFF" w:usb1="00007843" w:usb2="00000001" w:usb3="00000000" w:csb0="400001BF" w:csb1="DFF7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FangSong_GB2312">
    <w:panose1 w:val="02010609030101010101"/>
    <w:charset w:val="86"/>
    <w:family w:val="auto"/>
    <w:pitch w:val="default"/>
    <w:sig w:usb0="00000001" w:usb1="080E0000" w:usb2="00000000" w:usb3="00000000" w:csb0="00040000" w:csb1="00000000"/>
  </w:font>
  <w:font w:name="Songti SC">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Kingsoft Sign">
    <w:panose1 w:val="05050102010706020507"/>
    <w:charset w:val="00"/>
    <w:family w:val="auto"/>
    <w:pitch w:val="default"/>
    <w:sig w:usb0="00000000" w:usb1="10000000" w:usb2="00000000" w:usb3="00000000" w:csb0="00000001"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EE7998"/>
    <w:rsid w:val="01B33481"/>
    <w:rsid w:val="53CD7DDD"/>
    <w:rsid w:val="5E37FF03"/>
    <w:rsid w:val="5EEF0FD8"/>
    <w:rsid w:val="74EFA33E"/>
    <w:rsid w:val="77FB5BDC"/>
    <w:rsid w:val="7AFB81EE"/>
    <w:rsid w:val="7EEE7998"/>
    <w:rsid w:val="7FFFA1CB"/>
    <w:rsid w:val="BC3FC84B"/>
    <w:rsid w:val="CFFC4F14"/>
    <w:rsid w:val="DBBFF927"/>
    <w:rsid w:val="EB77CBDA"/>
    <w:rsid w:val="EFDF4A3F"/>
    <w:rsid w:val="F7F3E22C"/>
    <w:rsid w:val="F935E566"/>
    <w:rsid w:val="FBDF7BBD"/>
    <w:rsid w:val="FBEF25BC"/>
    <w:rsid w:val="FFE24B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76" w:lineRule="exact"/>
      <w:ind w:firstLine="640" w:firstLineChars="200"/>
      <w:jc w:val="both"/>
    </w:pPr>
    <w:rPr>
      <w:rFonts w:ascii="仿宋_GB2312" w:hAnsi="仿宋_GB2312" w:eastAsia="仿宋_GB2312" w:cs="仿宋_GB2312"/>
      <w:kern w:val="2"/>
      <w:sz w:val="32"/>
      <w:szCs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ind w:firstLine="0" w:firstLineChars="0"/>
      <w:jc w:val="center"/>
    </w:pPr>
    <w:rPr>
      <w:rFonts w:ascii="FangSong_GB2312" w:hAnsi="FangSong_GB2312" w:eastAsia="Songti SC"/>
      <w:sz w:val="24"/>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customStyle="1" w:styleId="6">
    <w:name w:val="样式 设计说明书第三级 + 首行缩进:  2 字符"/>
    <w:basedOn w:val="1"/>
    <w:next w:val="1"/>
    <w:qFormat/>
    <w:uiPriority w:val="0"/>
    <w:pPr>
      <w:keepNext/>
      <w:keepLines/>
      <w:adjustRightInd/>
      <w:snapToGrid/>
      <w:spacing w:before="100" w:beforeLines="0" w:line="576" w:lineRule="exact"/>
      <w:ind w:firstLine="216" w:firstLineChars="200"/>
      <w:jc w:val="left"/>
      <w:outlineLvl w:val="2"/>
    </w:pPr>
    <w:rPr>
      <w:b/>
      <w:bCs/>
      <w:kern w:val="44"/>
      <w:szCs w:val="28"/>
      <w:lang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4</TotalTime>
  <ScaleCrop>false</ScaleCrop>
  <LinksUpToDate>false</LinksUpToDate>
  <CharactersWithSpaces>0</CharactersWithSpaces>
  <Application>WPS Office_6.15.1.8935_F1E327BC-269C-435d-A152-05C5408002CA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2025-01-25T00:55:00Z</dcterms:created>
  <dc:creator>k-ring</dc:creator>
  <cp:lastModifiedBy>k-ring</cp:lastModifiedBy>
  <dcterms:modified xsi:type="dcterms:W3CDTF">2025-01-27T14:06:21Z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2052-6.15.1.8935</vt:lpwstr>
  </property>
  <property fmtid="{D5CDD505-2E9C-101B-9397-08002B2CF9AE}" pid="3" name="ICV">
    <vt:lpwstr>2AADEBB6BCBF852E7455936737B807BA_41</vt:lpwstr>
  </property>
</Properties>
</file>