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B6023C">
      <w:pPr>
        <w:spacing w:line="360" w:lineRule="auto"/>
        <w:jc w:val="center"/>
        <w:rPr>
          <w:rFonts w:asciiTheme="minorEastAsia" w:hAnsiTheme="minorEastAsia"/>
          <w:b/>
          <w:sz w:val="36"/>
          <w:szCs w:val="36"/>
        </w:rPr>
      </w:pPr>
      <w:r>
        <w:rPr>
          <w:rFonts w:hint="eastAsia" w:asciiTheme="minorEastAsia" w:hAnsiTheme="minorEastAsia"/>
          <w:b/>
          <w:sz w:val="36"/>
          <w:szCs w:val="36"/>
        </w:rPr>
        <w:t>关于</w:t>
      </w:r>
      <w:r>
        <w:rPr>
          <w:rFonts w:hint="eastAsia" w:asciiTheme="minorEastAsia" w:hAnsiTheme="minorEastAsia"/>
          <w:b/>
          <w:sz w:val="36"/>
          <w:szCs w:val="36"/>
          <w:lang w:eastAsia="zh-CN"/>
        </w:rPr>
        <w:t>北京宝护科技有限公司持有的天津家宝医疗器械有限公司100%的股份</w:t>
      </w:r>
      <w:r>
        <w:rPr>
          <w:rFonts w:hint="eastAsia" w:asciiTheme="minorEastAsia" w:hAnsiTheme="minorEastAsia"/>
          <w:b/>
          <w:sz w:val="36"/>
          <w:szCs w:val="36"/>
        </w:rPr>
        <w:t>的竞买公告</w:t>
      </w:r>
    </w:p>
    <w:p w14:paraId="55807B75">
      <w:pPr>
        <w:spacing w:line="360" w:lineRule="auto"/>
        <w:jc w:val="center"/>
        <w:rPr>
          <w:rFonts w:asciiTheme="minorEastAsia" w:hAnsiTheme="minorEastAsia"/>
          <w:sz w:val="24"/>
          <w:szCs w:val="24"/>
        </w:rPr>
      </w:pPr>
    </w:p>
    <w:p w14:paraId="3D0D122B">
      <w:pPr>
        <w:spacing w:line="360" w:lineRule="auto"/>
        <w:ind w:firstLine="480" w:firstLineChars="200"/>
        <w:rPr>
          <w:rFonts w:asciiTheme="minorEastAsia" w:hAnsiTheme="minorEastAsia"/>
          <w:sz w:val="24"/>
          <w:szCs w:val="24"/>
        </w:rPr>
      </w:pPr>
      <w:r>
        <w:rPr>
          <w:rFonts w:hint="eastAsia" w:asciiTheme="minorEastAsia" w:hAnsiTheme="minorEastAsia"/>
          <w:sz w:val="24"/>
          <w:szCs w:val="24"/>
          <w:lang w:eastAsia="zh-CN"/>
        </w:rPr>
        <w:t>北京宝护科技有限公司管理人</w:t>
      </w:r>
      <w:r>
        <w:rPr>
          <w:rFonts w:hint="eastAsia" w:asciiTheme="minorEastAsia" w:hAnsiTheme="minorEastAsia"/>
          <w:sz w:val="24"/>
          <w:szCs w:val="24"/>
        </w:rPr>
        <w:t>将</w:t>
      </w:r>
      <w:r>
        <w:rPr>
          <w:rFonts w:hint="eastAsia" w:asciiTheme="minorEastAsia" w:hAnsiTheme="minorEastAsia"/>
          <w:sz w:val="24"/>
          <w:szCs w:val="24"/>
          <w:lang w:eastAsia="zh-CN"/>
        </w:rPr>
        <w:t>于</w:t>
      </w:r>
      <w:r>
        <w:rPr>
          <w:rFonts w:hint="eastAsia" w:asciiTheme="minorEastAsia" w:hAnsiTheme="minorEastAsia"/>
          <w:sz w:val="24"/>
          <w:szCs w:val="24"/>
          <w:highlight w:val="none"/>
          <w:lang w:eastAsia="zh-CN"/>
        </w:rPr>
        <w:t>2025年1月16日10时至2025年1月17日10时止</w:t>
      </w:r>
      <w:r>
        <w:rPr>
          <w:rFonts w:hint="eastAsia" w:asciiTheme="minorEastAsia" w:hAnsiTheme="minorEastAsia"/>
          <w:sz w:val="24"/>
          <w:szCs w:val="24"/>
          <w:highlight w:val="none"/>
        </w:rPr>
        <w:t>（延时的除外）在阿里资</w:t>
      </w:r>
      <w:r>
        <w:rPr>
          <w:rFonts w:hint="eastAsia" w:asciiTheme="minorEastAsia" w:hAnsiTheme="minorEastAsia"/>
          <w:sz w:val="24"/>
          <w:szCs w:val="24"/>
        </w:rPr>
        <w:t>产·破产网络平台上（网址:</w:t>
      </w:r>
      <w:r>
        <w:t xml:space="preserve"> </w:t>
      </w:r>
      <w:r>
        <w:rPr>
          <w:rFonts w:asciiTheme="minorEastAsia" w:hAnsiTheme="minorEastAsia"/>
          <w:sz w:val="24"/>
          <w:szCs w:val="24"/>
        </w:rPr>
        <w:t>https://susong.taobao.com/</w:t>
      </w:r>
      <w:r>
        <w:rPr>
          <w:rFonts w:hint="eastAsia" w:asciiTheme="minorEastAsia" w:hAnsiTheme="minorEastAsia"/>
          <w:sz w:val="24"/>
          <w:szCs w:val="24"/>
        </w:rPr>
        <w:t>）进行公开拍卖活动，现公告如下：</w:t>
      </w:r>
    </w:p>
    <w:p w14:paraId="397ECD38">
      <w:pPr>
        <w:numPr>
          <w:ilvl w:val="0"/>
          <w:numId w:val="1"/>
        </w:num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拍卖标的物情况简介</w:t>
      </w:r>
    </w:p>
    <w:p w14:paraId="7C8528EF">
      <w:pPr>
        <w:spacing w:line="360" w:lineRule="auto"/>
        <w:ind w:left="482"/>
        <w:rPr>
          <w:rFonts w:asciiTheme="minorEastAsia" w:hAnsiTheme="minorEastAsia"/>
          <w:b/>
          <w:sz w:val="24"/>
          <w:szCs w:val="24"/>
        </w:rPr>
      </w:pPr>
      <w:r>
        <w:rPr>
          <w:rFonts w:hint="eastAsia" w:asciiTheme="minorEastAsia" w:hAnsiTheme="minorEastAsia"/>
          <w:b/>
          <w:sz w:val="24"/>
          <w:szCs w:val="24"/>
        </w:rPr>
        <w:t>1、标的物所属公司具体情况</w:t>
      </w:r>
    </w:p>
    <w:p w14:paraId="0F5BC463">
      <w:pPr>
        <w:spacing w:line="360" w:lineRule="auto"/>
        <w:ind w:firstLine="480"/>
        <w:rPr>
          <w:rFonts w:hint="eastAsia" w:ascii="宋体" w:hAnsi="宋体" w:eastAsiaTheme="minorEastAsia"/>
          <w:sz w:val="24"/>
          <w:lang w:eastAsia="zh-CN"/>
        </w:rPr>
      </w:pPr>
      <w:r>
        <w:rPr>
          <w:rFonts w:ascii="宋体" w:hAnsi="宋体"/>
          <w:sz w:val="24"/>
        </w:rPr>
        <w:t>企业名称：</w:t>
      </w:r>
      <w:r>
        <w:rPr>
          <w:rFonts w:hint="eastAsia" w:ascii="宋体" w:hAnsi="宋体"/>
          <w:sz w:val="24"/>
          <w:lang w:eastAsia="zh-CN"/>
        </w:rPr>
        <w:t>天津家宝医疗器械有限公司</w:t>
      </w:r>
    </w:p>
    <w:p w14:paraId="341786FC">
      <w:pPr>
        <w:spacing w:line="360" w:lineRule="auto"/>
        <w:ind w:firstLine="480"/>
        <w:rPr>
          <w:rFonts w:hint="eastAsia" w:ascii="宋体" w:hAnsi="宋体" w:eastAsiaTheme="minorEastAsia"/>
          <w:sz w:val="24"/>
          <w:lang w:eastAsia="zh-CN"/>
        </w:rPr>
      </w:pPr>
      <w:r>
        <w:rPr>
          <w:rFonts w:hint="eastAsia" w:ascii="宋体" w:hAnsi="宋体"/>
          <w:sz w:val="24"/>
        </w:rPr>
        <w:t>法定代表人</w:t>
      </w:r>
      <w:r>
        <w:rPr>
          <w:rFonts w:ascii="宋体" w:hAnsi="宋体"/>
          <w:sz w:val="24"/>
        </w:rPr>
        <w:t>：</w:t>
      </w:r>
      <w:r>
        <w:rPr>
          <w:rFonts w:hint="eastAsia" w:ascii="宋体" w:hAnsi="宋体"/>
          <w:sz w:val="24"/>
          <w:lang w:eastAsia="zh-CN"/>
        </w:rPr>
        <w:t>陈海亮</w:t>
      </w:r>
    </w:p>
    <w:p w14:paraId="05A23609">
      <w:pPr>
        <w:spacing w:line="360" w:lineRule="auto"/>
        <w:ind w:firstLine="480"/>
        <w:rPr>
          <w:rFonts w:hint="eastAsia" w:ascii="宋体" w:hAnsi="宋体" w:eastAsiaTheme="minorEastAsia"/>
          <w:sz w:val="24"/>
          <w:lang w:eastAsia="zh-CN"/>
        </w:rPr>
      </w:pPr>
      <w:r>
        <w:rPr>
          <w:rFonts w:ascii="宋体" w:hAnsi="宋体"/>
          <w:sz w:val="24"/>
        </w:rPr>
        <w:t>注册资本：</w:t>
      </w:r>
      <w:r>
        <w:rPr>
          <w:rFonts w:hint="eastAsia" w:ascii="宋体" w:hAnsi="宋体"/>
          <w:sz w:val="24"/>
          <w:lang w:eastAsia="zh-CN"/>
        </w:rPr>
        <w:t>100万人民币</w:t>
      </w:r>
    </w:p>
    <w:p w14:paraId="43B851FB">
      <w:pPr>
        <w:spacing w:line="360" w:lineRule="auto"/>
        <w:ind w:firstLine="480"/>
        <w:rPr>
          <w:rFonts w:hint="eastAsia" w:ascii="宋体" w:hAnsi="宋体" w:eastAsiaTheme="minorEastAsia"/>
          <w:sz w:val="24"/>
          <w:lang w:eastAsia="zh-CN"/>
        </w:rPr>
      </w:pPr>
      <w:r>
        <w:rPr>
          <w:rFonts w:ascii="宋体" w:hAnsi="宋体"/>
          <w:sz w:val="24"/>
        </w:rPr>
        <w:t>统一社会信用代码：</w:t>
      </w:r>
      <w:r>
        <w:rPr>
          <w:rFonts w:hint="eastAsia" w:ascii="宋体" w:hAnsi="宋体"/>
          <w:sz w:val="24"/>
          <w:lang w:eastAsia="zh-CN"/>
        </w:rPr>
        <w:t>91120116MA05KN521H</w:t>
      </w:r>
    </w:p>
    <w:p w14:paraId="19C3E7F7">
      <w:pPr>
        <w:spacing w:line="360" w:lineRule="auto"/>
        <w:ind w:firstLine="480"/>
        <w:rPr>
          <w:rFonts w:hint="eastAsia" w:ascii="宋体" w:hAnsi="宋体" w:eastAsiaTheme="minorEastAsia"/>
          <w:sz w:val="24"/>
          <w:lang w:eastAsia="zh-CN"/>
        </w:rPr>
      </w:pPr>
      <w:r>
        <w:rPr>
          <w:rFonts w:ascii="宋体" w:hAnsi="宋体"/>
          <w:sz w:val="24"/>
        </w:rPr>
        <w:t>营业期限：</w:t>
      </w:r>
      <w:r>
        <w:rPr>
          <w:rFonts w:hint="eastAsia" w:ascii="宋体" w:hAnsi="宋体"/>
          <w:sz w:val="24"/>
          <w:lang w:eastAsia="zh-CN"/>
        </w:rPr>
        <w:t>2016-08-10至2046-08-09</w:t>
      </w:r>
    </w:p>
    <w:p w14:paraId="32C61516">
      <w:pPr>
        <w:spacing w:line="360" w:lineRule="auto"/>
        <w:ind w:firstLine="480"/>
        <w:rPr>
          <w:rFonts w:hint="eastAsia" w:ascii="宋体" w:hAnsi="宋体" w:eastAsiaTheme="minorEastAsia"/>
          <w:color w:val="333333"/>
          <w:sz w:val="24"/>
          <w:shd w:val="clear" w:color="auto" w:fill="FFFFFF"/>
          <w:lang w:eastAsia="zh-CN"/>
        </w:rPr>
      </w:pPr>
      <w:r>
        <w:rPr>
          <w:rFonts w:hint="eastAsia" w:ascii="宋体" w:hAnsi="宋体"/>
          <w:color w:val="333333"/>
          <w:sz w:val="24"/>
          <w:shd w:val="clear" w:color="auto" w:fill="FFFFFF"/>
        </w:rPr>
        <w:t>登记状态：</w:t>
      </w:r>
      <w:r>
        <w:rPr>
          <w:rFonts w:hint="eastAsia" w:ascii="宋体" w:hAnsi="宋体"/>
          <w:color w:val="333333"/>
          <w:sz w:val="24"/>
          <w:shd w:val="clear" w:color="auto" w:fill="FFFFFF"/>
          <w:lang w:eastAsia="zh-CN"/>
        </w:rPr>
        <w:t>存续</w:t>
      </w:r>
    </w:p>
    <w:p w14:paraId="0AF8EB70">
      <w:pPr>
        <w:spacing w:line="360" w:lineRule="auto"/>
        <w:ind w:firstLine="480"/>
        <w:rPr>
          <w:rFonts w:hint="eastAsia" w:ascii="宋体" w:hAnsi="宋体" w:eastAsiaTheme="minorEastAsia"/>
          <w:sz w:val="24"/>
          <w:lang w:eastAsia="zh-CN"/>
        </w:rPr>
      </w:pPr>
      <w:r>
        <w:rPr>
          <w:rFonts w:ascii="宋体" w:hAnsi="宋体"/>
          <w:sz w:val="24"/>
        </w:rPr>
        <w:t>注册地址：</w:t>
      </w:r>
      <w:r>
        <w:rPr>
          <w:rFonts w:hint="eastAsia" w:ascii="宋体" w:hAnsi="宋体"/>
          <w:sz w:val="24"/>
          <w:lang w:eastAsia="zh-CN"/>
        </w:rPr>
        <w:t>天津市滨海新区临港经济区海港创业园1-3,4-402</w:t>
      </w:r>
    </w:p>
    <w:p w14:paraId="67170927">
      <w:pPr>
        <w:spacing w:line="360" w:lineRule="auto"/>
        <w:ind w:firstLine="480"/>
        <w:rPr>
          <w:rFonts w:ascii="宋体" w:hAnsi="宋体"/>
          <w:sz w:val="24"/>
        </w:rPr>
      </w:pPr>
      <w:r>
        <w:rPr>
          <w:rFonts w:ascii="宋体" w:hAnsi="宋体"/>
          <w:sz w:val="24"/>
        </w:rPr>
        <w:t>经营范围：</w:t>
      </w:r>
      <w:r>
        <w:rPr>
          <w:rFonts w:hint="eastAsia" w:ascii="宋体" w:hAnsi="宋体"/>
          <w:sz w:val="24"/>
          <w:lang w:eastAsia="zh-CN"/>
        </w:rPr>
        <w:t>一、二类医疗器械生产；一、二类医疗器械零售；电子产品的生产；电子产品技术开发、技术转让、技术咨询、技术服务；通讯设备、计算机软硬件及辅助设备销售；软件设计；软件开发；基础软件服务；应用软件服务；计算机系统服务；数据处理。（依法须经批准的项目，经相关部门批准后方可开展经营活动）</w:t>
      </w:r>
      <w:r>
        <w:rPr>
          <w:rFonts w:hint="eastAsia" w:ascii="宋体" w:hAnsi="宋体"/>
          <w:sz w:val="24"/>
        </w:rPr>
        <w:t>准的项目，经相关部门批准后方可开展经营活动）</w:t>
      </w:r>
    </w:p>
    <w:p w14:paraId="4A8CEB2B">
      <w:pPr>
        <w:spacing w:line="360" w:lineRule="auto"/>
        <w:ind w:firstLine="480"/>
        <w:rPr>
          <w:rFonts w:ascii="宋体" w:hAnsi="宋体"/>
          <w:sz w:val="24"/>
        </w:rPr>
      </w:pPr>
    </w:p>
    <w:p w14:paraId="21F0322F">
      <w:pPr>
        <w:spacing w:line="360" w:lineRule="auto"/>
        <w:ind w:firstLine="482" w:firstLineChars="200"/>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b/>
          <w:bCs/>
          <w:sz w:val="24"/>
          <w:szCs w:val="24"/>
        </w:rPr>
        <w:t>标的物名称</w:t>
      </w:r>
      <w:r>
        <w:rPr>
          <w:rFonts w:hint="eastAsia" w:asciiTheme="minorEastAsia" w:hAnsiTheme="minorEastAsia"/>
          <w:sz w:val="24"/>
          <w:szCs w:val="24"/>
        </w:rPr>
        <w:t>：</w:t>
      </w:r>
      <w:r>
        <w:rPr>
          <w:rFonts w:hint="eastAsia" w:asciiTheme="minorEastAsia" w:hAnsiTheme="minorEastAsia"/>
          <w:b/>
          <w:bCs/>
          <w:sz w:val="24"/>
          <w:szCs w:val="24"/>
          <w:lang w:eastAsia="zh-CN"/>
        </w:rPr>
        <w:t>北京宝护科技有限公司持有的天津家宝医疗器械有限公司100%的股份</w:t>
      </w:r>
    </w:p>
    <w:p w14:paraId="5CB3C15F">
      <w:pPr>
        <w:spacing w:line="360" w:lineRule="auto"/>
        <w:ind w:firstLine="482" w:firstLineChars="200"/>
        <w:rPr>
          <w:rFonts w:asciiTheme="minorEastAsia" w:hAnsiTheme="minorEastAsia"/>
          <w:sz w:val="24"/>
          <w:szCs w:val="24"/>
        </w:rPr>
      </w:pPr>
      <w:r>
        <w:rPr>
          <w:rFonts w:hint="eastAsia" w:asciiTheme="minorEastAsia" w:hAnsiTheme="minorEastAsia"/>
          <w:b/>
          <w:bCs/>
          <w:sz w:val="24"/>
          <w:szCs w:val="24"/>
        </w:rPr>
        <w:t>起拍价</w:t>
      </w:r>
      <w:r>
        <w:rPr>
          <w:rFonts w:hint="eastAsia" w:asciiTheme="minorEastAsia" w:hAnsiTheme="minorEastAsia"/>
          <w:sz w:val="24"/>
          <w:szCs w:val="24"/>
        </w:rPr>
        <w:t>：</w:t>
      </w:r>
      <w:r>
        <w:rPr>
          <w:rFonts w:hint="eastAsia" w:asciiTheme="minorEastAsia" w:hAnsiTheme="minorEastAsia"/>
          <w:b/>
          <w:bCs/>
          <w:color w:val="FF0000"/>
          <w:sz w:val="24"/>
          <w:szCs w:val="24"/>
          <w:lang w:val="en-US" w:eastAsia="zh-CN"/>
        </w:rPr>
        <w:t>448,000</w:t>
      </w:r>
      <w:r>
        <w:rPr>
          <w:rFonts w:hint="eastAsia" w:asciiTheme="minorEastAsia" w:hAnsiTheme="minorEastAsia"/>
          <w:sz w:val="24"/>
          <w:szCs w:val="24"/>
        </w:rPr>
        <w:t>元，保证金：</w:t>
      </w:r>
      <w:r>
        <w:rPr>
          <w:rFonts w:hint="eastAsia" w:asciiTheme="minorEastAsia" w:hAnsiTheme="minorEastAsia"/>
          <w:b/>
          <w:bCs/>
          <w:color w:val="FF0000"/>
          <w:sz w:val="24"/>
          <w:szCs w:val="24"/>
          <w:lang w:val="en-US" w:eastAsia="zh-CN"/>
        </w:rPr>
        <w:t>48,800</w:t>
      </w:r>
      <w:r>
        <w:rPr>
          <w:rFonts w:hint="eastAsia" w:asciiTheme="minorEastAsia" w:hAnsiTheme="minorEastAsia"/>
          <w:sz w:val="24"/>
          <w:szCs w:val="24"/>
        </w:rPr>
        <w:t>元，增价幅度：</w:t>
      </w:r>
      <w:r>
        <w:rPr>
          <w:rFonts w:hint="eastAsia" w:asciiTheme="minorEastAsia" w:hAnsiTheme="minorEastAsia"/>
          <w:b/>
          <w:bCs/>
          <w:color w:val="FF0000"/>
          <w:sz w:val="24"/>
          <w:szCs w:val="24"/>
          <w:lang w:val="en-US" w:eastAsia="zh-CN"/>
        </w:rPr>
        <w:t>5,000</w:t>
      </w:r>
      <w:r>
        <w:rPr>
          <w:rFonts w:hint="eastAsia" w:asciiTheme="minorEastAsia" w:hAnsiTheme="minorEastAsia"/>
          <w:sz w:val="24"/>
          <w:szCs w:val="24"/>
        </w:rPr>
        <w:t>元(或整倍数)。</w:t>
      </w:r>
    </w:p>
    <w:p w14:paraId="770E445B">
      <w:pPr>
        <w:spacing w:line="360" w:lineRule="auto"/>
        <w:ind w:firstLine="482" w:firstLineChars="200"/>
        <w:rPr>
          <w:rFonts w:asciiTheme="minorEastAsia" w:hAnsiTheme="minorEastAsia"/>
          <w:b/>
          <w:bCs/>
          <w:color w:val="FF0000"/>
          <w:sz w:val="24"/>
          <w:szCs w:val="24"/>
        </w:rPr>
      </w:pPr>
      <w:r>
        <w:rPr>
          <w:rFonts w:hint="eastAsia" w:asciiTheme="minorEastAsia" w:hAnsiTheme="minorEastAsia"/>
          <w:b/>
          <w:bCs/>
          <w:color w:val="FF0000"/>
          <w:sz w:val="24"/>
          <w:szCs w:val="24"/>
        </w:rPr>
        <w:t>标的物特别情况说明：</w:t>
      </w:r>
    </w:p>
    <w:p w14:paraId="59E6971C">
      <w:pPr>
        <w:spacing w:before="100" w:after="100" w:line="360" w:lineRule="auto"/>
        <w:ind w:firstLine="480"/>
        <w:jc w:val="left"/>
        <w:rPr>
          <w:rFonts w:ascii="宋体" w:hAnsi="宋体"/>
          <w:color w:val="FF0000"/>
          <w:sz w:val="24"/>
          <w:shd w:val="clear" w:color="auto" w:fill="FFFFFF"/>
        </w:rPr>
      </w:pPr>
      <w:r>
        <w:rPr>
          <w:rFonts w:hint="eastAsia" w:ascii="宋体" w:hAnsi="宋体"/>
          <w:color w:val="FF0000"/>
          <w:sz w:val="24"/>
          <w:shd w:val="clear" w:color="auto" w:fill="FFFFFF"/>
        </w:rPr>
        <w:t>1</w:t>
      </w:r>
      <w:r>
        <w:rPr>
          <w:rFonts w:ascii="宋体" w:hAnsi="宋体"/>
          <w:color w:val="FF0000"/>
          <w:sz w:val="24"/>
          <w:shd w:val="clear" w:color="auto" w:fill="FFFFFF"/>
        </w:rPr>
        <w:t>、本次拍卖为</w:t>
      </w:r>
      <w:r>
        <w:rPr>
          <w:rFonts w:hint="eastAsia" w:ascii="宋体" w:hAnsi="宋体"/>
          <w:color w:val="FF0000"/>
          <w:sz w:val="24"/>
          <w:shd w:val="clear" w:color="auto" w:fill="FFFFFF"/>
          <w:lang w:eastAsia="zh-CN"/>
        </w:rPr>
        <w:t>北京宝护科技有限公司持有的天津家宝医疗器械有限公司100%的股份</w:t>
      </w:r>
      <w:r>
        <w:rPr>
          <w:rFonts w:ascii="宋体" w:hAnsi="宋体"/>
          <w:color w:val="FF0000"/>
          <w:sz w:val="24"/>
          <w:shd w:val="clear" w:color="auto" w:fill="FFFFFF"/>
        </w:rPr>
        <w:t>。请竞买人自行了解</w:t>
      </w:r>
      <w:r>
        <w:rPr>
          <w:rFonts w:hint="eastAsia" w:ascii="宋体" w:hAnsi="宋体"/>
          <w:color w:val="FF0000"/>
          <w:sz w:val="24"/>
          <w:shd w:val="clear" w:color="auto" w:fill="FFFFFF"/>
          <w:lang w:eastAsia="zh-CN"/>
        </w:rPr>
        <w:t>天津家宝医疗器械有限公司</w:t>
      </w:r>
      <w:r>
        <w:rPr>
          <w:rFonts w:ascii="宋体" w:hAnsi="宋体"/>
          <w:color w:val="FF0000"/>
          <w:sz w:val="24"/>
          <w:shd w:val="clear" w:color="auto" w:fill="FFFFFF"/>
        </w:rPr>
        <w:t>的经营状况，自行查证拍卖标的物现状，慎重决定竞买行为，竞买人一旦作出竞买决定，即表明已完全了解并接受标的物的现状和一切已知及未知的</w:t>
      </w:r>
      <w:r>
        <w:rPr>
          <w:rFonts w:hint="eastAsia" w:ascii="宋体" w:hAnsi="宋体"/>
          <w:color w:val="FF0000"/>
          <w:sz w:val="24"/>
          <w:shd w:val="clear" w:color="auto" w:fill="FFFFFF"/>
        </w:rPr>
        <w:t>风险、</w:t>
      </w:r>
      <w:r>
        <w:rPr>
          <w:rFonts w:ascii="宋体" w:hAnsi="宋体"/>
          <w:color w:val="FF0000"/>
          <w:sz w:val="24"/>
          <w:shd w:val="clear" w:color="auto" w:fill="FFFFFF"/>
        </w:rPr>
        <w:t>瑕疵，并愿意承担一切法律风险（该等风险包括但不限于</w:t>
      </w:r>
      <w:r>
        <w:rPr>
          <w:rFonts w:hint="eastAsia" w:ascii="宋体" w:hAnsi="宋体"/>
          <w:color w:val="FF0000"/>
          <w:sz w:val="24"/>
          <w:shd w:val="clear" w:color="auto" w:fill="FFFFFF"/>
          <w:lang w:eastAsia="zh-CN"/>
        </w:rPr>
        <w:t>天津家宝医疗器械有限公司</w:t>
      </w:r>
      <w:r>
        <w:rPr>
          <w:rFonts w:hint="eastAsia" w:ascii="宋体" w:hAnsi="宋体"/>
          <w:color w:val="FF0000"/>
          <w:sz w:val="24"/>
          <w:shd w:val="clear" w:color="auto" w:fill="FFFFFF"/>
        </w:rPr>
        <w:t>可能存在的</w:t>
      </w:r>
      <w:r>
        <w:rPr>
          <w:rFonts w:hint="eastAsia" w:ascii="宋体" w:hAnsi="宋体"/>
          <w:color w:val="FF0000"/>
          <w:sz w:val="24"/>
          <w:shd w:val="clear" w:color="auto" w:fill="FFFFFF"/>
          <w:lang w:eastAsia="zh-CN"/>
        </w:rPr>
        <w:t>积</w:t>
      </w:r>
      <w:r>
        <w:rPr>
          <w:rFonts w:ascii="宋体" w:hAnsi="宋体"/>
          <w:color w:val="FF0000"/>
          <w:sz w:val="24"/>
          <w:shd w:val="clear" w:color="auto" w:fill="FFFFFF"/>
        </w:rPr>
        <w:t>欠的各种税费、</w:t>
      </w:r>
      <w:r>
        <w:rPr>
          <w:rFonts w:hint="eastAsia" w:ascii="宋体" w:hAnsi="宋体"/>
          <w:color w:val="FF0000"/>
          <w:sz w:val="24"/>
          <w:shd w:val="clear" w:color="auto" w:fill="FFFFFF"/>
        </w:rPr>
        <w:t>资不抵债</w:t>
      </w:r>
      <w:r>
        <w:rPr>
          <w:rFonts w:ascii="宋体" w:hAnsi="宋体"/>
          <w:color w:val="FF0000"/>
          <w:sz w:val="24"/>
          <w:shd w:val="clear" w:color="auto" w:fill="FFFFFF"/>
        </w:rPr>
        <w:t>、</w:t>
      </w:r>
      <w:r>
        <w:rPr>
          <w:rFonts w:hint="eastAsia" w:ascii="宋体" w:hAnsi="宋体"/>
          <w:color w:val="FF0000"/>
          <w:sz w:val="24"/>
          <w:shd w:val="clear" w:color="auto" w:fill="FFFFFF"/>
        </w:rPr>
        <w:t>诉讼纠纷、</w:t>
      </w:r>
      <w:r>
        <w:rPr>
          <w:rFonts w:ascii="宋体" w:hAnsi="宋体"/>
          <w:color w:val="FF0000"/>
          <w:sz w:val="24"/>
          <w:shd w:val="clear" w:color="auto" w:fill="FFFFFF"/>
        </w:rPr>
        <w:t>股东未实际出资</w:t>
      </w:r>
      <w:r>
        <w:rPr>
          <w:rFonts w:hint="eastAsia" w:ascii="宋体" w:hAnsi="宋体"/>
          <w:color w:val="FF0000"/>
          <w:sz w:val="24"/>
          <w:shd w:val="clear" w:color="auto" w:fill="FFFFFF"/>
        </w:rPr>
        <w:t>或出资不足</w:t>
      </w:r>
      <w:r>
        <w:rPr>
          <w:rFonts w:ascii="宋体" w:hAnsi="宋体"/>
          <w:color w:val="FF0000"/>
          <w:sz w:val="24"/>
          <w:shd w:val="clear" w:color="auto" w:fill="FFFFFF"/>
        </w:rPr>
        <w:t>、</w:t>
      </w:r>
      <w:r>
        <w:rPr>
          <w:rFonts w:hint="eastAsia" w:ascii="宋体" w:hAnsi="宋体"/>
          <w:color w:val="FF0000"/>
          <w:sz w:val="24"/>
          <w:shd w:val="clear" w:color="auto" w:fill="FFFFFF"/>
        </w:rPr>
        <w:t>停止经营、空壳、公司法定代表人及高管等任何人员失联</w:t>
      </w:r>
      <w:r>
        <w:rPr>
          <w:rFonts w:ascii="宋体" w:hAnsi="宋体"/>
          <w:color w:val="FF0000"/>
          <w:sz w:val="24"/>
          <w:shd w:val="clear" w:color="auto" w:fill="FFFFFF"/>
        </w:rPr>
        <w:t>、</w:t>
      </w:r>
      <w:r>
        <w:rPr>
          <w:rFonts w:hint="eastAsia" w:ascii="宋体" w:hAnsi="宋体"/>
          <w:color w:val="FF0000"/>
          <w:sz w:val="24"/>
          <w:shd w:val="clear" w:color="auto" w:fill="FFFFFF"/>
        </w:rPr>
        <w:t>行政</w:t>
      </w:r>
      <w:r>
        <w:rPr>
          <w:rFonts w:ascii="宋体" w:hAnsi="宋体"/>
          <w:color w:val="FF0000"/>
          <w:sz w:val="24"/>
          <w:shd w:val="clear" w:color="auto" w:fill="FFFFFF"/>
        </w:rPr>
        <w:t>处罚</w:t>
      </w:r>
      <w:r>
        <w:rPr>
          <w:rFonts w:hint="eastAsia" w:ascii="宋体" w:hAnsi="宋体"/>
          <w:color w:val="FF0000"/>
          <w:sz w:val="24"/>
          <w:shd w:val="clear" w:color="auto" w:fill="FFFFFF"/>
        </w:rPr>
        <w:t>、司法罚款、</w:t>
      </w:r>
      <w:r>
        <w:rPr>
          <w:rFonts w:ascii="宋体" w:hAnsi="宋体"/>
          <w:color w:val="FF0000"/>
          <w:sz w:val="24"/>
          <w:shd w:val="clear" w:color="auto" w:fill="FFFFFF"/>
        </w:rPr>
        <w:t>印章证照遗失、财务账册遗失、文件资料遗失、</w:t>
      </w:r>
      <w:r>
        <w:rPr>
          <w:rFonts w:hint="eastAsia" w:ascii="宋体" w:hAnsi="宋体"/>
          <w:color w:val="FF0000"/>
          <w:sz w:val="24"/>
          <w:shd w:val="clear" w:color="auto" w:fill="FFFFFF"/>
        </w:rPr>
        <w:t>股权无法转让</w:t>
      </w:r>
      <w:r>
        <w:rPr>
          <w:rFonts w:ascii="宋体" w:hAnsi="宋体"/>
          <w:color w:val="FF0000"/>
          <w:sz w:val="24"/>
          <w:shd w:val="clear" w:color="auto" w:fill="FFFFFF"/>
        </w:rPr>
        <w:t>过户</w:t>
      </w:r>
      <w:r>
        <w:rPr>
          <w:rFonts w:hint="eastAsia" w:ascii="宋体" w:hAnsi="宋体"/>
          <w:color w:val="FF0000"/>
          <w:sz w:val="24"/>
          <w:shd w:val="clear" w:color="auto" w:fill="FFFFFF"/>
        </w:rPr>
        <w:t>，等</w:t>
      </w:r>
      <w:r>
        <w:rPr>
          <w:rFonts w:ascii="宋体" w:hAnsi="宋体"/>
          <w:color w:val="FF0000"/>
          <w:sz w:val="24"/>
          <w:shd w:val="clear" w:color="auto" w:fill="FFFFFF"/>
        </w:rPr>
        <w:t>等</w:t>
      </w:r>
      <w:r>
        <w:rPr>
          <w:rFonts w:hint="eastAsia" w:ascii="宋体" w:hAnsi="宋体"/>
          <w:color w:val="FF0000"/>
          <w:sz w:val="24"/>
          <w:shd w:val="clear" w:color="auto" w:fill="FFFFFF"/>
        </w:rPr>
        <w:t>风险，此处无法穷尽</w:t>
      </w:r>
      <w:r>
        <w:rPr>
          <w:rFonts w:ascii="宋体" w:hAnsi="宋体"/>
          <w:color w:val="FF0000"/>
          <w:sz w:val="24"/>
          <w:shd w:val="clear" w:color="auto" w:fill="FFFFFF"/>
        </w:rPr>
        <w:t>）。</w:t>
      </w:r>
      <w:r>
        <w:rPr>
          <w:rFonts w:hint="eastAsia" w:ascii="宋体" w:hAnsi="宋体"/>
          <w:color w:val="FF0000"/>
          <w:sz w:val="24"/>
          <w:shd w:val="clear" w:color="auto" w:fill="FFFFFF"/>
          <w:lang w:eastAsia="zh-CN"/>
        </w:rPr>
        <w:t>管理人</w:t>
      </w:r>
      <w:r>
        <w:rPr>
          <w:rFonts w:ascii="宋体" w:hAnsi="宋体"/>
          <w:color w:val="FF0000"/>
          <w:sz w:val="24"/>
          <w:shd w:val="clear" w:color="auto" w:fill="FFFFFF"/>
        </w:rPr>
        <w:t>对前述风险</w:t>
      </w:r>
      <w:r>
        <w:rPr>
          <w:rFonts w:hint="eastAsia" w:ascii="宋体" w:hAnsi="宋体"/>
          <w:color w:val="FF0000"/>
          <w:sz w:val="24"/>
          <w:shd w:val="clear" w:color="auto" w:fill="FFFFFF"/>
        </w:rPr>
        <w:t>是否存在并不了解，不承担，也</w:t>
      </w:r>
      <w:r>
        <w:rPr>
          <w:rFonts w:ascii="宋体" w:hAnsi="宋体"/>
          <w:color w:val="FF0000"/>
          <w:sz w:val="24"/>
          <w:shd w:val="clear" w:color="auto" w:fill="FFFFFF"/>
        </w:rPr>
        <w:t>不做任何保证</w:t>
      </w:r>
      <w:r>
        <w:rPr>
          <w:rFonts w:hint="eastAsia" w:ascii="宋体" w:hAnsi="宋体"/>
          <w:color w:val="FF0000"/>
          <w:sz w:val="24"/>
          <w:shd w:val="clear" w:color="auto" w:fill="FFFFFF"/>
        </w:rPr>
        <w:t>，请竞买人自行调查判断，但凡参与竞买即表明自愿承担以上风险</w:t>
      </w:r>
      <w:r>
        <w:rPr>
          <w:rFonts w:ascii="宋体" w:hAnsi="宋体"/>
          <w:color w:val="FF0000"/>
          <w:sz w:val="24"/>
          <w:shd w:val="clear" w:color="auto" w:fill="FFFFFF"/>
        </w:rPr>
        <w:t>。拍卖标的物如涉及违法，由买受人自行与相关部门沟通并依照有关规定进行处理，</w:t>
      </w:r>
      <w:r>
        <w:rPr>
          <w:rFonts w:hint="eastAsia" w:ascii="宋体" w:hAnsi="宋体"/>
          <w:color w:val="FF0000"/>
          <w:sz w:val="24"/>
          <w:shd w:val="clear" w:color="auto" w:fill="FFFFFF"/>
          <w:lang w:eastAsia="zh-CN"/>
        </w:rPr>
        <w:t>管理人</w:t>
      </w:r>
      <w:r>
        <w:rPr>
          <w:rFonts w:ascii="宋体" w:hAnsi="宋体"/>
          <w:color w:val="FF0000"/>
          <w:sz w:val="24"/>
          <w:shd w:val="clear" w:color="auto" w:fill="FFFFFF"/>
        </w:rPr>
        <w:t>不协助买受人处理前述违法问题，买受人不得向</w:t>
      </w:r>
      <w:r>
        <w:rPr>
          <w:rFonts w:hint="eastAsia" w:ascii="宋体" w:hAnsi="宋体"/>
          <w:color w:val="FF0000"/>
          <w:sz w:val="24"/>
          <w:shd w:val="clear" w:color="auto" w:fill="FFFFFF"/>
          <w:lang w:eastAsia="zh-CN"/>
        </w:rPr>
        <w:t>管理人</w:t>
      </w:r>
      <w:r>
        <w:rPr>
          <w:rFonts w:ascii="宋体" w:hAnsi="宋体"/>
          <w:color w:val="FF0000"/>
          <w:sz w:val="24"/>
          <w:shd w:val="clear" w:color="auto" w:fill="FFFFFF"/>
        </w:rPr>
        <w:t>索偿。</w:t>
      </w:r>
    </w:p>
    <w:p w14:paraId="7E3FFC49">
      <w:pPr>
        <w:spacing w:before="100" w:after="100" w:line="360" w:lineRule="auto"/>
        <w:ind w:firstLine="480"/>
        <w:jc w:val="left"/>
        <w:rPr>
          <w:rFonts w:ascii="宋体" w:hAnsi="宋体"/>
          <w:color w:val="FF0000"/>
          <w:sz w:val="24"/>
          <w:shd w:val="clear" w:color="auto" w:fill="FFFFFF"/>
        </w:rPr>
      </w:pPr>
      <w:r>
        <w:rPr>
          <w:rFonts w:hint="eastAsia" w:ascii="宋体" w:hAnsi="宋体"/>
          <w:color w:val="FF0000"/>
          <w:sz w:val="24"/>
          <w:shd w:val="clear" w:color="auto" w:fill="FFFFFF"/>
        </w:rPr>
        <w:t>2</w:t>
      </w:r>
      <w:r>
        <w:rPr>
          <w:rFonts w:ascii="宋体" w:hAnsi="宋体"/>
          <w:color w:val="FF0000"/>
          <w:sz w:val="24"/>
          <w:shd w:val="clear" w:color="auto" w:fill="FFFFFF"/>
        </w:rPr>
        <w:t>、</w:t>
      </w:r>
      <w:r>
        <w:rPr>
          <w:rFonts w:hint="eastAsia" w:ascii="宋体" w:hAnsi="宋体"/>
          <w:color w:val="FF0000"/>
          <w:sz w:val="24"/>
          <w:shd w:val="clear" w:color="auto" w:fill="FFFFFF"/>
        </w:rPr>
        <w:t>涉及标的物的各项转让手续由买受人自行办理并承担相应费用及风险，该等风险包括但不限于因股权解封、法律、法规及行业规定、政策原因、目标公司不配合办理股权转让变更登记等原因导致股权变更手续办理时间延长或者不能办理的。因相关规定或相关限制导致股东身份变更手续办理时间延长或无法变更等等。因政策原因或存在隐性瑕疵、拍卖过程中产生权利限制等原因导致股权变更手续办理延长或者受阻等的，优先权人行使优先权导致竞买失败及无法变更股权，等等任何与标的股权有关的风险，</w:t>
      </w:r>
      <w:r>
        <w:rPr>
          <w:rFonts w:hint="eastAsia" w:ascii="宋体" w:hAnsi="宋体"/>
          <w:color w:val="FF0000"/>
          <w:sz w:val="24"/>
          <w:shd w:val="clear" w:color="auto" w:fill="FFFFFF"/>
          <w:lang w:eastAsia="zh-CN"/>
        </w:rPr>
        <w:t>管理人</w:t>
      </w:r>
      <w:r>
        <w:rPr>
          <w:rFonts w:hint="eastAsia" w:ascii="宋体" w:hAnsi="宋体"/>
          <w:color w:val="FF0000"/>
          <w:sz w:val="24"/>
          <w:shd w:val="clear" w:color="auto" w:fill="FFFFFF"/>
        </w:rPr>
        <w:t>及拍卖辅助机构不承担任何保证。</w:t>
      </w:r>
    </w:p>
    <w:p w14:paraId="77BE8B08">
      <w:pPr>
        <w:spacing w:before="100" w:after="100" w:line="360" w:lineRule="auto"/>
        <w:ind w:firstLine="480"/>
        <w:jc w:val="left"/>
        <w:rPr>
          <w:rFonts w:ascii="宋体" w:hAnsi="宋体"/>
          <w:color w:val="FF0000"/>
          <w:sz w:val="24"/>
          <w:shd w:val="clear" w:color="auto" w:fill="FFFFFF"/>
        </w:rPr>
      </w:pPr>
      <w:r>
        <w:rPr>
          <w:rFonts w:hint="eastAsia" w:ascii="宋体" w:hAnsi="宋体"/>
          <w:color w:val="FF0000"/>
          <w:sz w:val="24"/>
          <w:shd w:val="clear" w:color="auto" w:fill="FFFFFF"/>
        </w:rPr>
        <w:t>3</w:t>
      </w:r>
      <w:r>
        <w:rPr>
          <w:rFonts w:ascii="宋体" w:hAnsi="宋体"/>
          <w:color w:val="FF0000"/>
          <w:sz w:val="24"/>
          <w:shd w:val="clear" w:color="auto" w:fill="FFFFFF"/>
        </w:rPr>
        <w:t>、拍卖公告所作的情况说明，仅为竞买人参与竞买提供参考，不能作为竞买人判断、权衡价值的最终依据。竞买人在竞拍前请务必自行确认是否具备持股资格，能否办理股权转让登记</w:t>
      </w:r>
      <w:r>
        <w:rPr>
          <w:rFonts w:hint="eastAsia" w:ascii="宋体" w:hAnsi="宋体"/>
          <w:color w:val="FF0000"/>
          <w:sz w:val="24"/>
          <w:shd w:val="clear" w:color="auto" w:fill="FFFFFF"/>
        </w:rPr>
        <w:t>及办理股权转让登记所需时间，</w:t>
      </w:r>
      <w:r>
        <w:rPr>
          <w:rFonts w:ascii="宋体" w:hAnsi="宋体"/>
          <w:color w:val="FF0000"/>
          <w:sz w:val="24"/>
          <w:shd w:val="clear" w:color="auto" w:fill="FFFFFF"/>
        </w:rPr>
        <w:t>请竞买人自行到有关部门咨询核实。一旦参加竞拍，即视为对本标的物投资入股条件的确认，如不符合条件参加竞拍或者拍卖成交后不能过户的，买受人自行承担风险。</w:t>
      </w:r>
    </w:p>
    <w:p w14:paraId="63E89E2D">
      <w:pPr>
        <w:spacing w:before="100" w:after="100" w:line="360" w:lineRule="auto"/>
        <w:ind w:firstLine="480"/>
        <w:jc w:val="left"/>
        <w:rPr>
          <w:rFonts w:ascii="宋体" w:hAnsi="宋体"/>
          <w:color w:val="FF0000"/>
          <w:sz w:val="24"/>
          <w:shd w:val="clear" w:color="auto" w:fill="FFFFFF"/>
        </w:rPr>
      </w:pPr>
      <w:r>
        <w:rPr>
          <w:rFonts w:hint="eastAsia" w:ascii="宋体" w:hAnsi="宋体"/>
          <w:color w:val="FF0000"/>
          <w:sz w:val="24"/>
          <w:shd w:val="clear" w:color="auto" w:fill="FFFFFF"/>
        </w:rPr>
        <w:t>4</w:t>
      </w:r>
      <w:r>
        <w:rPr>
          <w:rFonts w:ascii="宋体" w:hAnsi="宋体"/>
          <w:color w:val="FF0000"/>
          <w:sz w:val="24"/>
          <w:shd w:val="clear" w:color="auto" w:fill="FFFFFF"/>
        </w:rPr>
        <w:t>、拍卖成交之日起，买受人须承担标的物</w:t>
      </w:r>
      <w:r>
        <w:rPr>
          <w:rFonts w:hint="eastAsia" w:ascii="宋体" w:hAnsi="宋体"/>
          <w:color w:val="FF0000"/>
          <w:sz w:val="24"/>
          <w:shd w:val="clear" w:color="auto" w:fill="FFFFFF"/>
        </w:rPr>
        <w:t>已发生的和</w:t>
      </w:r>
      <w:r>
        <w:rPr>
          <w:rFonts w:ascii="宋体" w:hAnsi="宋体"/>
          <w:color w:val="FF0000"/>
          <w:sz w:val="24"/>
          <w:shd w:val="clear" w:color="auto" w:fill="FFFFFF"/>
        </w:rPr>
        <w:t>可能发生的一切风险。</w:t>
      </w:r>
    </w:p>
    <w:p w14:paraId="6E091051">
      <w:pPr>
        <w:spacing w:before="100" w:after="100" w:line="360" w:lineRule="auto"/>
        <w:ind w:firstLine="480"/>
        <w:jc w:val="left"/>
        <w:rPr>
          <w:rFonts w:ascii="宋体" w:hAnsi="宋体"/>
          <w:color w:val="FF0000"/>
          <w:sz w:val="24"/>
          <w:shd w:val="clear" w:color="auto" w:fill="FFFFFF"/>
        </w:rPr>
      </w:pPr>
      <w:r>
        <w:rPr>
          <w:rFonts w:hint="eastAsia" w:ascii="宋体" w:hAnsi="宋体"/>
          <w:color w:val="FF0000"/>
          <w:sz w:val="24"/>
          <w:shd w:val="clear" w:color="auto" w:fill="FFFFFF"/>
        </w:rPr>
        <w:t>5</w:t>
      </w:r>
      <w:r>
        <w:rPr>
          <w:rFonts w:ascii="宋体" w:hAnsi="宋体"/>
          <w:color w:val="FF0000"/>
          <w:sz w:val="24"/>
          <w:shd w:val="clear" w:color="auto" w:fill="FFFFFF"/>
        </w:rPr>
        <w:t>、</w:t>
      </w:r>
      <w:r>
        <w:rPr>
          <w:rFonts w:hint="eastAsia" w:ascii="宋体" w:hAnsi="宋体"/>
          <w:color w:val="FF0000"/>
          <w:sz w:val="24"/>
          <w:shd w:val="clear" w:color="auto" w:fill="FFFFFF"/>
        </w:rPr>
        <w:t>本次拍卖</w:t>
      </w:r>
      <w:r>
        <w:rPr>
          <w:rFonts w:hint="eastAsia" w:ascii="宋体" w:hAnsi="宋体"/>
          <w:color w:val="FF0000"/>
          <w:sz w:val="24"/>
          <w:shd w:val="clear" w:color="auto" w:fill="FFFFFF"/>
          <w:lang w:eastAsia="zh-CN"/>
        </w:rPr>
        <w:t>管理人</w:t>
      </w:r>
      <w:r>
        <w:rPr>
          <w:rFonts w:hint="eastAsia" w:ascii="宋体" w:hAnsi="宋体"/>
          <w:color w:val="FF0000"/>
          <w:sz w:val="24"/>
          <w:shd w:val="clear" w:color="auto" w:fill="FFFFFF"/>
        </w:rPr>
        <w:t>披露的相关信息不视为</w:t>
      </w:r>
      <w:r>
        <w:rPr>
          <w:rFonts w:hint="eastAsia" w:ascii="宋体" w:hAnsi="宋体"/>
          <w:color w:val="FF0000"/>
          <w:sz w:val="24"/>
          <w:shd w:val="clear" w:color="auto" w:fill="FFFFFF"/>
          <w:lang w:eastAsia="zh-CN"/>
        </w:rPr>
        <w:t>天津家宝医疗器械有限公司</w:t>
      </w:r>
      <w:r>
        <w:rPr>
          <w:rFonts w:hint="eastAsia" w:ascii="宋体" w:hAnsi="宋体"/>
          <w:color w:val="FF0000"/>
          <w:sz w:val="24"/>
          <w:shd w:val="clear" w:color="auto" w:fill="FFFFFF"/>
        </w:rPr>
        <w:t>相关信息的全部披露，</w:t>
      </w:r>
      <w:r>
        <w:rPr>
          <w:rFonts w:ascii="宋体" w:hAnsi="宋体"/>
          <w:color w:val="FF0000"/>
          <w:sz w:val="24"/>
          <w:shd w:val="clear" w:color="auto" w:fill="FFFFFF"/>
        </w:rPr>
        <w:t>请竞买人自行咨询股权相关政策及规定，并承担相应的风险。因标的物无法实际看样，详细情况意向竞买人可向相关部门了解或自行进行调查，参加拍卖的竞买人视为对本标的物实物现状的确认，责任自负。请谨慎参拍。</w:t>
      </w:r>
    </w:p>
    <w:p w14:paraId="6CC3E9CF">
      <w:pPr>
        <w:spacing w:before="100" w:after="100" w:line="360" w:lineRule="auto"/>
        <w:ind w:firstLine="480"/>
        <w:jc w:val="left"/>
        <w:rPr>
          <w:rFonts w:ascii="宋体" w:hAnsi="宋体"/>
          <w:color w:val="FF0000"/>
          <w:sz w:val="24"/>
          <w:shd w:val="clear" w:color="auto" w:fill="FFFFFF"/>
        </w:rPr>
      </w:pPr>
      <w:r>
        <w:rPr>
          <w:rFonts w:hint="eastAsia" w:ascii="宋体" w:hAnsi="宋体"/>
          <w:color w:val="FF0000"/>
          <w:sz w:val="24"/>
          <w:shd w:val="clear" w:color="auto" w:fill="FFFFFF"/>
        </w:rPr>
        <w:t>6、其他未尽事宜由买受人自行了解。</w:t>
      </w:r>
    </w:p>
    <w:p w14:paraId="34F57CC5">
      <w:pPr>
        <w:spacing w:before="100" w:after="100" w:line="360" w:lineRule="auto"/>
        <w:ind w:firstLine="480"/>
        <w:jc w:val="left"/>
        <w:rPr>
          <w:rFonts w:ascii="宋体" w:hAnsi="宋体"/>
          <w:color w:val="FF0000"/>
          <w:sz w:val="24"/>
          <w:shd w:val="clear" w:color="auto" w:fill="FFFFFF"/>
        </w:rPr>
      </w:pPr>
      <w:r>
        <w:rPr>
          <w:rFonts w:ascii="宋体" w:hAnsi="宋体"/>
          <w:color w:val="FF0000"/>
          <w:sz w:val="24"/>
          <w:shd w:val="clear" w:color="auto" w:fill="FFFFFF"/>
        </w:rPr>
        <w:t>因上述问题发生费用及造成的股权不能变更的风险由买受人自行承担。</w:t>
      </w:r>
    </w:p>
    <w:p w14:paraId="12F3949F">
      <w:pPr>
        <w:spacing w:before="100" w:after="100" w:line="360" w:lineRule="auto"/>
        <w:ind w:firstLine="480"/>
        <w:jc w:val="left"/>
        <w:rPr>
          <w:rFonts w:asciiTheme="minorEastAsia" w:hAnsiTheme="minorEastAsia"/>
          <w:sz w:val="24"/>
          <w:szCs w:val="24"/>
        </w:rPr>
      </w:pPr>
      <w:r>
        <w:rPr>
          <w:rFonts w:hint="eastAsia" w:asciiTheme="minorEastAsia" w:hAnsiTheme="minorEastAsia"/>
          <w:b/>
          <w:sz w:val="24"/>
          <w:szCs w:val="24"/>
        </w:rPr>
        <w:t>二、咨询、展示、看样的时间与方式</w:t>
      </w:r>
    </w:p>
    <w:p w14:paraId="7E905C1D">
      <w:pPr>
        <w:spacing w:line="360" w:lineRule="auto"/>
        <w:ind w:firstLine="480" w:firstLineChars="200"/>
        <w:rPr>
          <w:rFonts w:asciiTheme="minorEastAsia" w:hAnsiTheme="minorEastAsia"/>
          <w:b/>
          <w:color w:val="FF0000"/>
          <w:sz w:val="24"/>
          <w:szCs w:val="24"/>
        </w:rPr>
      </w:pPr>
      <w:r>
        <w:rPr>
          <w:rFonts w:hint="eastAsia" w:asciiTheme="minorEastAsia" w:hAnsiTheme="minorEastAsia"/>
          <w:sz w:val="24"/>
          <w:szCs w:val="24"/>
        </w:rPr>
        <w:t>自公告之日起至</w:t>
      </w:r>
      <w:r>
        <w:rPr>
          <w:rFonts w:hint="eastAsia" w:asciiTheme="minorEastAsia" w:hAnsiTheme="minorEastAsia"/>
          <w:sz w:val="24"/>
          <w:szCs w:val="24"/>
          <w:lang w:val="en-US" w:eastAsia="zh-CN"/>
        </w:rPr>
        <w:t>本次拍卖结束之日</w:t>
      </w:r>
      <w:r>
        <w:rPr>
          <w:rFonts w:hint="eastAsia" w:asciiTheme="minorEastAsia" w:hAnsiTheme="minorEastAsia"/>
          <w:sz w:val="24"/>
          <w:szCs w:val="24"/>
        </w:rPr>
        <w:t>止接受咨询（工作时间内），统一安排现场看样。本</w:t>
      </w:r>
      <w:r>
        <w:rPr>
          <w:rFonts w:hint="eastAsia" w:asciiTheme="minorEastAsia" w:hAnsiTheme="minorEastAsia"/>
          <w:sz w:val="24"/>
          <w:szCs w:val="24"/>
          <w:lang w:eastAsia="zh-CN"/>
        </w:rPr>
        <w:t>管理人</w:t>
      </w:r>
      <w:r>
        <w:rPr>
          <w:rFonts w:hint="eastAsia" w:asciiTheme="minorEastAsia" w:hAnsiTheme="minorEastAsia"/>
          <w:sz w:val="24"/>
          <w:szCs w:val="24"/>
        </w:rPr>
        <w:t>已委托北京嘉运亨通拍卖有限公司协助办理咨询、预展事务，有意者</w:t>
      </w:r>
      <w:r>
        <w:rPr>
          <w:rFonts w:hint="eastAsia" w:asciiTheme="minorEastAsia" w:hAnsiTheme="minorEastAsia"/>
          <w:sz w:val="24"/>
          <w:szCs w:val="24"/>
          <w:lang w:eastAsia="zh-CN"/>
        </w:rPr>
        <w:t>请</w:t>
      </w:r>
      <w:r>
        <w:rPr>
          <w:rFonts w:hint="eastAsia" w:asciiTheme="minorEastAsia" w:hAnsiTheme="minorEastAsia"/>
          <w:sz w:val="24"/>
          <w:szCs w:val="24"/>
        </w:rPr>
        <w:t>联系（联系电话：</w:t>
      </w:r>
      <w:r>
        <w:rPr>
          <w:rFonts w:hint="eastAsia" w:asciiTheme="minorEastAsia" w:hAnsiTheme="minorEastAsia"/>
          <w:sz w:val="24"/>
          <w:szCs w:val="24"/>
          <w:lang w:eastAsia="zh-CN"/>
        </w:rPr>
        <w:t>崔女士 18330353912</w:t>
      </w:r>
      <w:r>
        <w:rPr>
          <w:rFonts w:hint="eastAsia" w:asciiTheme="minorEastAsia" w:hAnsiTheme="minorEastAsia"/>
          <w:sz w:val="24"/>
          <w:szCs w:val="24"/>
        </w:rPr>
        <w:t xml:space="preserve">， </w:t>
      </w:r>
      <w:r>
        <w:rPr>
          <w:rFonts w:hint="eastAsia" w:asciiTheme="minorEastAsia" w:hAnsiTheme="minorEastAsia"/>
          <w:sz w:val="24"/>
          <w:szCs w:val="24"/>
          <w:lang w:eastAsia="zh-CN"/>
        </w:rPr>
        <w:t>刘先生：16601111018</w:t>
      </w:r>
      <w:r>
        <w:rPr>
          <w:rFonts w:hint="eastAsia" w:asciiTheme="minorEastAsia" w:hAnsiTheme="minorEastAsia"/>
          <w:sz w:val="24"/>
          <w:szCs w:val="24"/>
        </w:rPr>
        <w:t>）。</w:t>
      </w:r>
      <w:r>
        <w:rPr>
          <w:rFonts w:hint="eastAsia" w:asciiTheme="minorEastAsia" w:hAnsiTheme="minorEastAsia"/>
          <w:b/>
          <w:color w:val="FF0000"/>
          <w:sz w:val="24"/>
          <w:szCs w:val="24"/>
        </w:rPr>
        <w:t>因拍卖标的物无实物可供竞买人看样，请竞买人自行调查该资产的价值与风险瑕疵，详细情况可向相关部门了解，参与拍卖的竞买人视为对标的物的一切瑕疵（包括隐性瑕疵和显性瑕疵）与风险已知，责任自负，请谨慎参拍。</w:t>
      </w:r>
      <w:r>
        <w:rPr>
          <w:rFonts w:hint="eastAsia" w:asciiTheme="minorEastAsia" w:hAnsiTheme="minorEastAsia"/>
          <w:b/>
          <w:color w:val="FF0000"/>
          <w:sz w:val="24"/>
          <w:szCs w:val="24"/>
          <w:lang w:eastAsia="zh-CN"/>
        </w:rPr>
        <w:t>管理人</w:t>
      </w:r>
      <w:r>
        <w:rPr>
          <w:rFonts w:hint="eastAsia" w:asciiTheme="minorEastAsia" w:hAnsiTheme="minorEastAsia"/>
          <w:b/>
          <w:color w:val="FF0000"/>
          <w:sz w:val="24"/>
          <w:szCs w:val="24"/>
        </w:rPr>
        <w:t>与拍卖辅助机构不对标的物的任何权利负担或风险瑕疵承担责任。竞买人一旦作出竞买决定，即表明已完全了解，并接受标的物的现状和一切已知及未知的风险瑕疵。</w:t>
      </w:r>
    </w:p>
    <w:p w14:paraId="0466DAA8">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三、竞买人条件</w:t>
      </w:r>
    </w:p>
    <w:p w14:paraId="78DF0BA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1FD042A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w:t>
      </w:r>
      <w:r>
        <w:rPr>
          <w:rFonts w:hint="eastAsia" w:asciiTheme="minorEastAsia" w:hAnsiTheme="minorEastAsia"/>
          <w:sz w:val="24"/>
          <w:szCs w:val="24"/>
          <w:lang w:eastAsia="zh-CN"/>
        </w:rPr>
        <w:t>管理人</w:t>
      </w:r>
      <w:r>
        <w:rPr>
          <w:rFonts w:hint="eastAsia" w:asciiTheme="minorEastAsia" w:hAnsiTheme="minorEastAsia"/>
          <w:sz w:val="24"/>
          <w:szCs w:val="24"/>
        </w:rPr>
        <w:t>沟通办理委托手续；竞买成功后，竞买人（公民、法人和其他组织）或其委托代理人应到</w:t>
      </w:r>
      <w:r>
        <w:rPr>
          <w:rFonts w:hint="eastAsia" w:asciiTheme="minorEastAsia" w:hAnsiTheme="minorEastAsia"/>
          <w:sz w:val="24"/>
          <w:szCs w:val="24"/>
          <w:lang w:eastAsia="zh-CN"/>
        </w:rPr>
        <w:t>管理人</w:t>
      </w:r>
      <w:r>
        <w:rPr>
          <w:rFonts w:hint="eastAsia" w:asciiTheme="minorEastAsia" w:hAnsiTheme="minorEastAsia"/>
          <w:sz w:val="24"/>
          <w:szCs w:val="24"/>
        </w:rPr>
        <w:t>处办理交付或权属转移手续。如委托手续不全，竞买活动认定为委托代理人的个人行为。因不符合条件参加竞买的，由竞买人自行承担相应的法律责任。</w:t>
      </w:r>
    </w:p>
    <w:p w14:paraId="139A6AF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3、负责承办本案件的人民法院、破产企业</w:t>
      </w:r>
      <w:r>
        <w:rPr>
          <w:rFonts w:hint="eastAsia" w:asciiTheme="minorEastAsia" w:hAnsiTheme="minorEastAsia"/>
          <w:sz w:val="24"/>
          <w:szCs w:val="24"/>
          <w:lang w:eastAsia="zh-CN"/>
        </w:rPr>
        <w:t>管理人</w:t>
      </w:r>
      <w:r>
        <w:rPr>
          <w:rFonts w:hint="eastAsia" w:asciiTheme="minorEastAsia" w:hAnsiTheme="minorEastAsia"/>
          <w:sz w:val="24"/>
          <w:szCs w:val="24"/>
        </w:rPr>
        <w:t>、网络服务提供者、承担拍卖辅助工作的社会机构或者组织的工作人员及其近亲属不得参与竞买，并不得委托他人代为竞买与其行为相关的拍卖标的物。</w:t>
      </w:r>
    </w:p>
    <w:p w14:paraId="2606858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633E9424">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四、优先购买权人</w:t>
      </w:r>
    </w:p>
    <w:p w14:paraId="72C6171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1、本标的物优先购买权人：</w:t>
      </w:r>
    </w:p>
    <w:p w14:paraId="34700041">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优先购买权人应于本公告发布之日起3日内向</w:t>
      </w:r>
      <w:r>
        <w:rPr>
          <w:rFonts w:hint="eastAsia" w:asciiTheme="minorEastAsia" w:hAnsiTheme="minorEastAsia"/>
          <w:sz w:val="24"/>
          <w:szCs w:val="24"/>
          <w:lang w:eastAsia="zh-CN"/>
        </w:rPr>
        <w:t>管理人</w:t>
      </w:r>
      <w:r>
        <w:rPr>
          <w:rFonts w:hint="eastAsia" w:asciiTheme="minorEastAsia" w:hAnsiTheme="minorEastAsia"/>
          <w:sz w:val="24"/>
          <w:szCs w:val="24"/>
        </w:rPr>
        <w:t>联系，提供相关证明材料，办理相关手续。逾期未提供材料或办理手续者，视为自动放弃优先购买权。</w:t>
      </w:r>
    </w:p>
    <w:p w14:paraId="47C69B0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2、优先购买权人参加竞买的，应向</w:t>
      </w:r>
      <w:r>
        <w:rPr>
          <w:rFonts w:hint="eastAsia" w:asciiTheme="minorEastAsia" w:hAnsiTheme="minorEastAsia"/>
          <w:sz w:val="24"/>
          <w:szCs w:val="24"/>
          <w:lang w:eastAsia="zh-CN"/>
        </w:rPr>
        <w:t>管理人</w:t>
      </w:r>
      <w:r>
        <w:rPr>
          <w:rFonts w:hint="eastAsia" w:asciiTheme="minorEastAsia" w:hAnsiTheme="minorEastAsia"/>
          <w:sz w:val="24"/>
          <w:szCs w:val="24"/>
        </w:rPr>
        <w:t>提交合法有效的证明，经</w:t>
      </w:r>
      <w:r>
        <w:rPr>
          <w:rFonts w:hint="eastAsia" w:asciiTheme="minorEastAsia" w:hAnsiTheme="minorEastAsia"/>
          <w:sz w:val="24"/>
          <w:szCs w:val="24"/>
          <w:lang w:eastAsia="zh-CN"/>
        </w:rPr>
        <w:t>管理人</w:t>
      </w:r>
      <w:r>
        <w:rPr>
          <w:rFonts w:hint="eastAsia" w:asciiTheme="minorEastAsia" w:hAnsiTheme="minorEastAsia"/>
          <w:sz w:val="24"/>
          <w:szCs w:val="24"/>
        </w:rPr>
        <w:t>确认资格及顺位后才能参与竞买，逾期不提交的，视为放弃对标的物享有优先购买权。</w:t>
      </w:r>
      <w:r>
        <w:rPr>
          <w:rFonts w:hint="eastAsia" w:asciiTheme="minorEastAsia" w:hAnsiTheme="minorEastAsia"/>
          <w:sz w:val="24"/>
          <w:szCs w:val="24"/>
          <w:lang w:eastAsia="zh-CN"/>
        </w:rPr>
        <w:t>管理人</w:t>
      </w:r>
      <w:r>
        <w:rPr>
          <w:rFonts w:hint="eastAsia" w:asciiTheme="minorEastAsia" w:hAnsiTheme="minorEastAsia"/>
          <w:sz w:val="24"/>
          <w:szCs w:val="24"/>
        </w:rPr>
        <w:t>在正式拍卖日前将经确认的优先权购买人资格和顺位信息，审报网络平台技术部门，录入平台系统。</w:t>
      </w:r>
    </w:p>
    <w:p w14:paraId="2937089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3F51F5B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4、顺序不同的优先购买权人申请参与竞买的，</w:t>
      </w:r>
      <w:r>
        <w:rPr>
          <w:rFonts w:hint="eastAsia" w:asciiTheme="minorEastAsia" w:hAnsiTheme="minorEastAsia"/>
          <w:sz w:val="24"/>
          <w:szCs w:val="24"/>
          <w:lang w:eastAsia="zh-CN"/>
        </w:rPr>
        <w:t>管理人</w:t>
      </w:r>
      <w:r>
        <w:rPr>
          <w:rFonts w:hint="eastAsia" w:asciiTheme="minorEastAsia" w:hAnsiTheme="minorEastAsia"/>
          <w:sz w:val="24"/>
          <w:szCs w:val="24"/>
        </w:rPr>
        <w:t>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64BDA99">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五、拍卖延时</w:t>
      </w:r>
    </w:p>
    <w:p w14:paraId="670E021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本次拍卖活动设置延时出价功能，在拍卖活动结束前，每最后5分钟如果有竞买人出价，就自动延迟5分钟。</w:t>
      </w:r>
    </w:p>
    <w:p w14:paraId="1F73E6E8">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六、拍卖方式</w:t>
      </w:r>
    </w:p>
    <w:p w14:paraId="3C6E19FD">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本次拍卖采取有保留价的增价拍卖方式，保留价即为起拍价，至少一人报名且出价不低于起拍价，方可成交。无人报名或出价的，竞价会流拍。</w:t>
      </w:r>
    </w:p>
    <w:p w14:paraId="7F5C54A9">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七、税费及其他费用承担</w:t>
      </w:r>
    </w:p>
    <w:p w14:paraId="55727FD4">
      <w:pPr>
        <w:spacing w:line="360" w:lineRule="auto"/>
        <w:ind w:firstLine="482" w:firstLineChars="200"/>
        <w:rPr>
          <w:rFonts w:asciiTheme="minorEastAsia" w:hAnsiTheme="minorEastAsia"/>
          <w:b/>
          <w:sz w:val="24"/>
          <w:szCs w:val="24"/>
        </w:rPr>
      </w:pPr>
      <w:r>
        <w:rPr>
          <w:rFonts w:hint="eastAsia" w:asciiTheme="minorEastAsia" w:hAnsiTheme="minorEastAsia"/>
          <w:b/>
          <w:color w:val="FF0000"/>
          <w:sz w:val="24"/>
          <w:szCs w:val="24"/>
        </w:rPr>
        <w:t>本次拍卖活动计价货币为人民币。本次拍卖成交价不含税费及其他费用。标的物转让登记手续由买受人办理，</w:t>
      </w:r>
      <w:r>
        <w:rPr>
          <w:rFonts w:hint="eastAsia" w:asciiTheme="minorEastAsia" w:hAnsiTheme="minorEastAsia"/>
          <w:b/>
          <w:color w:val="FF0000"/>
          <w:sz w:val="24"/>
          <w:szCs w:val="24"/>
          <w:lang w:eastAsia="zh-CN"/>
        </w:rPr>
        <w:t>管理人</w:t>
      </w:r>
      <w:r>
        <w:rPr>
          <w:rFonts w:hint="eastAsia" w:asciiTheme="minorEastAsia" w:hAnsiTheme="minorEastAsia"/>
          <w:b/>
          <w:color w:val="FF0000"/>
          <w:sz w:val="24"/>
          <w:szCs w:val="24"/>
        </w:rPr>
        <w:t>将给予必要的协助。标的物转让登记买卖双方所涉及的相关税、费等由买受人承担。如未明确缴费义务人的费用由买受人承担。买受人在竞买前应向所涉税务局部门确认成交后应缴纳的税费标准。</w:t>
      </w:r>
    </w:p>
    <w:p w14:paraId="0C4A58F9">
      <w:pPr>
        <w:spacing w:line="360" w:lineRule="auto"/>
        <w:ind w:firstLine="482"/>
        <w:rPr>
          <w:rFonts w:cs="宋体" w:asciiTheme="minorEastAsia" w:hAnsiTheme="minorEastAsia"/>
          <w:b/>
          <w:sz w:val="24"/>
        </w:rPr>
      </w:pPr>
      <w:r>
        <w:rPr>
          <w:rFonts w:cs="宋体" w:asciiTheme="minorEastAsia" w:hAnsiTheme="minorEastAsia"/>
          <w:b/>
          <w:sz w:val="24"/>
        </w:rPr>
        <w:t>八、签署成交文件</w:t>
      </w:r>
    </w:p>
    <w:p w14:paraId="7653EA24">
      <w:pPr>
        <w:spacing w:line="360" w:lineRule="auto"/>
        <w:ind w:firstLine="482"/>
        <w:rPr>
          <w:rFonts w:cs="宋体" w:asciiTheme="minorEastAsia" w:hAnsiTheme="minorEastAsia"/>
          <w:bCs/>
          <w:sz w:val="24"/>
        </w:rPr>
      </w:pPr>
      <w:r>
        <w:rPr>
          <w:rFonts w:cs="宋体" w:asciiTheme="minorEastAsia" w:hAnsiTheme="minorEastAsia"/>
          <w:bCs/>
          <w:sz w:val="24"/>
        </w:rPr>
        <w:t>买受人须在拍卖成交之日起三日内（遇节假日顺延）凭缴纳拍卖保证金平台生成的竞买号及相关身份材料到</w:t>
      </w:r>
      <w:r>
        <w:rPr>
          <w:rFonts w:hint="eastAsia" w:cs="宋体" w:asciiTheme="minorEastAsia" w:hAnsiTheme="minorEastAsia"/>
          <w:bCs/>
          <w:sz w:val="24"/>
          <w:lang w:eastAsia="zh-CN"/>
        </w:rPr>
        <w:t>管理人</w:t>
      </w:r>
      <w:r>
        <w:rPr>
          <w:rFonts w:cs="宋体" w:asciiTheme="minorEastAsia" w:hAnsiTheme="minorEastAsia"/>
          <w:bCs/>
          <w:sz w:val="24"/>
        </w:rPr>
        <w:t>处签署拍卖成交确认文件。</w:t>
      </w:r>
    </w:p>
    <w:p w14:paraId="4A357F23">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九、保证金和余款支付</w:t>
      </w:r>
    </w:p>
    <w:p w14:paraId="015B35B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拍卖竞价前将通过网拍系统在竞买人支付宝账户内冻结相应资金作为应缴的保证金，拍卖结束后未能竞得者冻结的保证金自动解冻，冻结期间不计利息。本标的物竞得者原冻结的保证金自动转入指定账户冲抵价款。拍卖余款由竞得者在拍卖成交（即竞价成功日，下同）后</w:t>
      </w:r>
      <w:r>
        <w:rPr>
          <w:rFonts w:hint="eastAsia" w:asciiTheme="minorEastAsia" w:hAnsiTheme="minorEastAsia"/>
          <w:b/>
          <w:color w:val="FF0000"/>
          <w:sz w:val="24"/>
          <w:szCs w:val="24"/>
          <w:lang w:eastAsia="zh-CN"/>
        </w:rPr>
        <w:t>五日内</w:t>
      </w:r>
      <w:r>
        <w:rPr>
          <w:rFonts w:hint="eastAsia" w:asciiTheme="minorEastAsia" w:hAnsiTheme="minorEastAsia"/>
          <w:sz w:val="24"/>
          <w:szCs w:val="24"/>
        </w:rPr>
        <w:t>缴纳至</w:t>
      </w:r>
      <w:r>
        <w:rPr>
          <w:rFonts w:hint="eastAsia" w:asciiTheme="minorEastAsia" w:hAnsiTheme="minorEastAsia"/>
          <w:sz w:val="24"/>
          <w:szCs w:val="24"/>
          <w:lang w:eastAsia="zh-CN"/>
        </w:rPr>
        <w:t>管理人</w:t>
      </w:r>
      <w:r>
        <w:rPr>
          <w:rFonts w:hint="eastAsia" w:asciiTheme="minorEastAsia" w:hAnsiTheme="minorEastAsia"/>
          <w:sz w:val="24"/>
          <w:szCs w:val="24"/>
        </w:rPr>
        <w:t>指定账户：</w:t>
      </w:r>
    </w:p>
    <w:p w14:paraId="786B5631">
      <w:pPr>
        <w:spacing w:line="360" w:lineRule="auto"/>
        <w:ind w:firstLine="482" w:firstLineChars="200"/>
        <w:rPr>
          <w:rFonts w:hint="eastAsia" w:asciiTheme="minorEastAsia" w:hAnsiTheme="minorEastAsia" w:eastAsiaTheme="minorEastAsia"/>
          <w:b/>
          <w:color w:val="FF0000"/>
          <w:sz w:val="24"/>
          <w:szCs w:val="24"/>
          <w:highlight w:val="none"/>
          <w:lang w:eastAsia="zh-CN"/>
        </w:rPr>
      </w:pPr>
      <w:r>
        <w:rPr>
          <w:rFonts w:hint="eastAsia" w:asciiTheme="minorEastAsia" w:hAnsiTheme="minorEastAsia"/>
          <w:b/>
          <w:color w:val="FF0000"/>
          <w:sz w:val="24"/>
          <w:szCs w:val="24"/>
          <w:highlight w:val="none"/>
        </w:rPr>
        <w:t>户  名：</w:t>
      </w:r>
      <w:r>
        <w:rPr>
          <w:rFonts w:hint="eastAsia" w:asciiTheme="minorEastAsia" w:hAnsiTheme="minorEastAsia"/>
          <w:b/>
          <w:color w:val="FF0000"/>
          <w:sz w:val="24"/>
          <w:szCs w:val="24"/>
          <w:highlight w:val="none"/>
          <w:lang w:eastAsia="zh-CN"/>
        </w:rPr>
        <w:t>北京宝护科技有限公司管理人</w:t>
      </w:r>
    </w:p>
    <w:p w14:paraId="037A4D58">
      <w:pPr>
        <w:spacing w:line="360" w:lineRule="auto"/>
        <w:ind w:firstLine="482" w:firstLineChars="200"/>
        <w:rPr>
          <w:rFonts w:hint="eastAsia" w:asciiTheme="minorEastAsia" w:hAnsiTheme="minorEastAsia" w:eastAsiaTheme="minorEastAsia"/>
          <w:b/>
          <w:color w:val="FF0000"/>
          <w:sz w:val="24"/>
          <w:szCs w:val="24"/>
          <w:highlight w:val="none"/>
          <w:lang w:eastAsia="zh-CN"/>
        </w:rPr>
      </w:pPr>
      <w:r>
        <w:rPr>
          <w:rFonts w:hint="eastAsia" w:asciiTheme="minorEastAsia" w:hAnsiTheme="minorEastAsia"/>
          <w:b/>
          <w:color w:val="FF0000"/>
          <w:sz w:val="24"/>
          <w:szCs w:val="24"/>
          <w:highlight w:val="none"/>
        </w:rPr>
        <w:t>开户行：</w:t>
      </w:r>
      <w:r>
        <w:rPr>
          <w:rFonts w:hint="eastAsia" w:asciiTheme="minorEastAsia" w:hAnsiTheme="minorEastAsia"/>
          <w:b/>
          <w:color w:val="FF0000"/>
          <w:sz w:val="24"/>
          <w:szCs w:val="24"/>
          <w:highlight w:val="none"/>
          <w:lang w:eastAsia="zh-CN"/>
        </w:rPr>
        <w:t>北京银行股份有限公司中关村分行</w:t>
      </w:r>
    </w:p>
    <w:p w14:paraId="756F5657">
      <w:pPr>
        <w:spacing w:line="360" w:lineRule="auto"/>
        <w:ind w:firstLine="482" w:firstLineChars="200"/>
        <w:rPr>
          <w:rFonts w:hint="eastAsia" w:asciiTheme="minorEastAsia" w:hAnsiTheme="minorEastAsia" w:eastAsiaTheme="minorEastAsia"/>
          <w:b/>
          <w:color w:val="FF0000"/>
          <w:sz w:val="24"/>
          <w:szCs w:val="24"/>
          <w:highlight w:val="none"/>
          <w:lang w:eastAsia="zh-CN"/>
        </w:rPr>
      </w:pPr>
      <w:r>
        <w:rPr>
          <w:rFonts w:hint="eastAsia" w:asciiTheme="minorEastAsia" w:hAnsiTheme="minorEastAsia"/>
          <w:b/>
          <w:color w:val="FF0000"/>
          <w:sz w:val="24"/>
          <w:szCs w:val="24"/>
          <w:highlight w:val="none"/>
        </w:rPr>
        <w:t>账  户：</w:t>
      </w:r>
      <w:r>
        <w:rPr>
          <w:rFonts w:hint="eastAsia" w:asciiTheme="minorEastAsia" w:hAnsiTheme="minorEastAsia"/>
          <w:b/>
          <w:color w:val="FF0000"/>
          <w:sz w:val="24"/>
          <w:szCs w:val="24"/>
          <w:highlight w:val="none"/>
          <w:lang w:eastAsia="zh-CN"/>
        </w:rPr>
        <w:t>20000094664200162652458</w:t>
      </w:r>
    </w:p>
    <w:p w14:paraId="763DACF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2、支付宝网上付款方式：登录我的淘宝-我的拍卖支付，付款教程：https://www.taobao.com/market/paimai/sf-helpcenter.php?path=sf-hc-right-content5#q8）</w:t>
      </w:r>
    </w:p>
    <w:p w14:paraId="37210B0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破产企业资产拍卖因标的物本身价值，其起拍价、保证金、竞拍成交价格相对较高的，竞买人参与竞拍，支付保证金及余款可能会碰到当天限额无法支付的情况，请竞买人根据自身情况选择网上充值银行。各大银行充值和支付的限额情况可上网查询，网址：https://www.taobao.com/market/paimai/sf-helpcenter.php?path=sf-hc-right-content5#q1</w:t>
      </w:r>
    </w:p>
    <w:p w14:paraId="09B18F5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4、拍卖成交后买受人悔拍（包括但不限于买受人未在拍卖成交后</w:t>
      </w:r>
      <w:r>
        <w:rPr>
          <w:rFonts w:hint="eastAsia" w:asciiTheme="minorEastAsia" w:hAnsiTheme="minorEastAsia"/>
          <w:sz w:val="24"/>
          <w:szCs w:val="24"/>
          <w:lang w:eastAsia="zh-CN"/>
        </w:rPr>
        <w:t>五日内</w:t>
      </w:r>
      <w:r>
        <w:rPr>
          <w:rFonts w:hint="eastAsia" w:asciiTheme="minorEastAsia" w:hAnsiTheme="minorEastAsia"/>
          <w:sz w:val="24"/>
          <w:szCs w:val="24"/>
        </w:rPr>
        <w:t>将拍卖成交全部余款缴入指定账户，以及买受人明示或暗示其悔拍等情形）的，</w:t>
      </w:r>
      <w:r>
        <w:rPr>
          <w:rFonts w:hint="eastAsia" w:asciiTheme="minorEastAsia" w:hAnsiTheme="minorEastAsia"/>
          <w:sz w:val="24"/>
          <w:szCs w:val="24"/>
          <w:lang w:eastAsia="zh-CN"/>
        </w:rPr>
        <w:t>管理人</w:t>
      </w:r>
      <w:r>
        <w:rPr>
          <w:rFonts w:hint="eastAsia" w:asciiTheme="minorEastAsia" w:hAnsiTheme="minorEastAsia"/>
          <w:sz w:val="24"/>
          <w:szCs w:val="24"/>
        </w:rPr>
        <w:t>可重新委托拍卖，买受人交纳的保证金不予退还，计入债务人财产。保证金数额不足以弥补拍卖费用损失以及重新拍卖价款低于原拍卖价款的差价的，</w:t>
      </w:r>
      <w:r>
        <w:rPr>
          <w:rFonts w:hint="eastAsia" w:asciiTheme="minorEastAsia" w:hAnsiTheme="minorEastAsia"/>
          <w:sz w:val="24"/>
          <w:szCs w:val="24"/>
          <w:lang w:eastAsia="zh-CN"/>
        </w:rPr>
        <w:t>管理人</w:t>
      </w:r>
      <w:r>
        <w:rPr>
          <w:rFonts w:hint="eastAsia" w:asciiTheme="minorEastAsia" w:hAnsiTheme="minorEastAsia"/>
          <w:sz w:val="24"/>
          <w:szCs w:val="24"/>
        </w:rPr>
        <w:t>可向悔拍人追索。重新拍卖时，原买受人不得参加竞买。</w:t>
      </w:r>
    </w:p>
    <w:p w14:paraId="7BD40CF6">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特别提示：</w:t>
      </w:r>
    </w:p>
    <w:p w14:paraId="110220D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1、综合服务费由拍卖辅助机构收取（按照成交价格的2%计算，封顶不超过200万元）买受人需在成交之后</w:t>
      </w:r>
      <w:r>
        <w:rPr>
          <w:rFonts w:hint="eastAsia" w:asciiTheme="minorEastAsia" w:hAnsiTheme="minorEastAsia"/>
          <w:sz w:val="24"/>
          <w:szCs w:val="24"/>
          <w:lang w:eastAsia="zh-CN"/>
        </w:rPr>
        <w:t>五日内</w:t>
      </w:r>
      <w:r>
        <w:rPr>
          <w:rFonts w:hint="eastAsia" w:asciiTheme="minorEastAsia" w:hAnsiTheme="minorEastAsia"/>
          <w:sz w:val="24"/>
          <w:szCs w:val="24"/>
        </w:rPr>
        <w:t>将综合服务费汇款至北京嘉运亨通拍卖有限公司指定账户【户名：北京嘉运亨通拍卖有限公司；开户行：招商银行股份有限公司北京崇文门支行；账号：110945693810201；以到账时间为准】。</w:t>
      </w:r>
    </w:p>
    <w:p w14:paraId="19B2D27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2、软件服务费由阿里拍卖平台收取，付费方式及软件服务费金额等请详见《阿里拍卖平台破产资产处置频道收费规则》。买受人须于成交后</w:t>
      </w:r>
      <w:r>
        <w:rPr>
          <w:rFonts w:hint="eastAsia" w:asciiTheme="minorEastAsia" w:hAnsiTheme="minorEastAsia"/>
          <w:sz w:val="24"/>
          <w:szCs w:val="24"/>
          <w:lang w:eastAsia="zh-CN"/>
        </w:rPr>
        <w:t>五日内</w:t>
      </w:r>
      <w:r>
        <w:rPr>
          <w:rFonts w:hint="eastAsia" w:asciiTheme="minorEastAsia" w:hAnsiTheme="minorEastAsia"/>
          <w:sz w:val="24"/>
          <w:szCs w:val="24"/>
        </w:rPr>
        <w:t>通过线上完成相应费用的支付后，保证金将转为部分成交价款转至</w:t>
      </w:r>
      <w:r>
        <w:rPr>
          <w:rFonts w:hint="eastAsia" w:asciiTheme="minorEastAsia" w:hAnsiTheme="minorEastAsia"/>
          <w:sz w:val="24"/>
          <w:szCs w:val="24"/>
          <w:lang w:eastAsia="zh-CN"/>
        </w:rPr>
        <w:t>管理人</w:t>
      </w:r>
      <w:r>
        <w:rPr>
          <w:rFonts w:hint="eastAsia" w:asciiTheme="minorEastAsia" w:hAnsiTheme="minorEastAsia"/>
          <w:sz w:val="24"/>
          <w:szCs w:val="24"/>
        </w:rPr>
        <w:t>的支付宝账户。</w:t>
      </w:r>
    </w:p>
    <w:p w14:paraId="7C40EA7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616F726E">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十、拍品交付</w:t>
      </w:r>
    </w:p>
    <w:p w14:paraId="7D9CF585">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1、买受人在缴纳完全部拍卖款项，持有效身份证明及签署好的拍卖成交文件前往</w:t>
      </w:r>
      <w:r>
        <w:rPr>
          <w:rFonts w:hint="eastAsia" w:asciiTheme="minorEastAsia" w:hAnsiTheme="minorEastAsia"/>
          <w:b/>
          <w:bCs/>
          <w:sz w:val="24"/>
          <w:szCs w:val="24"/>
          <w:u w:val="single"/>
          <w:lang w:eastAsia="zh-CN"/>
        </w:rPr>
        <w:t>管理人</w:t>
      </w:r>
      <w:r>
        <w:rPr>
          <w:rFonts w:hint="eastAsia" w:asciiTheme="minorEastAsia" w:hAnsiTheme="minorEastAsia"/>
          <w:b/>
          <w:bCs/>
          <w:sz w:val="24"/>
          <w:szCs w:val="24"/>
          <w:u w:val="single"/>
        </w:rPr>
        <w:t>处办理交割手续，由买受人自行前往相关部门办理股权转让手续，能否办理股权转让手续及办理股权转让手续的时间请竞买人在竞买前，自行到相关部门咨询确认，</w:t>
      </w:r>
      <w:r>
        <w:rPr>
          <w:rFonts w:hint="eastAsia" w:asciiTheme="minorEastAsia" w:hAnsiTheme="minorEastAsia"/>
          <w:b/>
          <w:bCs/>
          <w:sz w:val="24"/>
          <w:szCs w:val="24"/>
          <w:u w:val="single"/>
          <w:lang w:eastAsia="zh-CN"/>
        </w:rPr>
        <w:t>管理人</w:t>
      </w:r>
      <w:r>
        <w:rPr>
          <w:rFonts w:hint="eastAsia" w:asciiTheme="minorEastAsia" w:hAnsiTheme="minorEastAsia"/>
          <w:b/>
          <w:bCs/>
          <w:sz w:val="24"/>
          <w:szCs w:val="24"/>
          <w:u w:val="single"/>
        </w:rPr>
        <w:t>和拍卖辅助机构不做股权转让的任何承诺。拍品转让登记可能涉及的全部费用均由买受人自行负责，与</w:t>
      </w:r>
      <w:r>
        <w:rPr>
          <w:rFonts w:hint="eastAsia" w:asciiTheme="minorEastAsia" w:hAnsiTheme="minorEastAsia"/>
          <w:b/>
          <w:bCs/>
          <w:sz w:val="24"/>
          <w:szCs w:val="24"/>
          <w:u w:val="single"/>
          <w:lang w:eastAsia="zh-CN"/>
        </w:rPr>
        <w:t>管理人</w:t>
      </w:r>
      <w:r>
        <w:rPr>
          <w:rFonts w:hint="eastAsia" w:asciiTheme="minorEastAsia" w:hAnsiTheme="minorEastAsia"/>
          <w:b/>
          <w:bCs/>
          <w:sz w:val="24"/>
          <w:szCs w:val="24"/>
          <w:u w:val="single"/>
        </w:rPr>
        <w:t>和拍卖辅助机构无关。</w:t>
      </w:r>
    </w:p>
    <w:p w14:paraId="630AD3CB">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2、如标的物存在冻结、质押等权利限制、政策原因或存在隐性瑕疵导致股权变更手续办理延长或者受阻等情况的，</w:t>
      </w:r>
      <w:r>
        <w:rPr>
          <w:rFonts w:hint="eastAsia" w:asciiTheme="minorEastAsia" w:hAnsiTheme="minorEastAsia"/>
          <w:b/>
          <w:bCs/>
          <w:sz w:val="24"/>
          <w:szCs w:val="24"/>
          <w:u w:val="single"/>
          <w:lang w:eastAsia="zh-CN"/>
        </w:rPr>
        <w:t>管理人</w:t>
      </w:r>
      <w:r>
        <w:rPr>
          <w:rFonts w:hint="eastAsia" w:asciiTheme="minorEastAsia" w:hAnsiTheme="minorEastAsia"/>
          <w:b/>
          <w:bCs/>
          <w:sz w:val="24"/>
          <w:szCs w:val="24"/>
          <w:u w:val="single"/>
        </w:rPr>
        <w:t>和拍卖辅助机构不保证买受人可避免上述情况，亦不就上述情况的发生承担任何法律责任。</w:t>
      </w:r>
    </w:p>
    <w:p w14:paraId="560F1C1D">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依照相关法律规定，竞买人成功竞得网拍标的物后，淘宝网拍平台将生成相应《网络竞价成功确认书》，该材料仅为竞价成功确认书，载明实际买受人姓名、网拍竞买号信息，非《拍卖成交确认书》。</w:t>
      </w:r>
    </w:p>
    <w:p w14:paraId="1CB67441">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十二、</w:t>
      </w:r>
      <w:r>
        <w:rPr>
          <w:rFonts w:hint="eastAsia" w:asciiTheme="minorEastAsia" w:hAnsiTheme="minorEastAsia"/>
          <w:sz w:val="24"/>
          <w:szCs w:val="24"/>
        </w:rPr>
        <w:t>竞买人在拍卖竞价前请务必再仔细阅读《竞买须知》、《拍卖标的物调查情况表》。本《竞买公告》其他未尽事宜，请向</w:t>
      </w:r>
      <w:r>
        <w:rPr>
          <w:rFonts w:hint="eastAsia" w:asciiTheme="minorEastAsia" w:hAnsiTheme="minorEastAsia"/>
          <w:sz w:val="24"/>
          <w:szCs w:val="24"/>
          <w:lang w:eastAsia="zh-CN"/>
        </w:rPr>
        <w:t>管理人</w:t>
      </w:r>
      <w:r>
        <w:rPr>
          <w:rFonts w:hint="eastAsia" w:asciiTheme="minorEastAsia" w:hAnsiTheme="minorEastAsia"/>
          <w:sz w:val="24"/>
          <w:szCs w:val="24"/>
        </w:rPr>
        <w:t>咨询；拍卖标的物详情请咨询</w:t>
      </w:r>
      <w:r>
        <w:rPr>
          <w:rFonts w:hint="eastAsia" w:asciiTheme="minorEastAsia" w:hAnsiTheme="minorEastAsia"/>
          <w:sz w:val="24"/>
          <w:szCs w:val="24"/>
          <w:lang w:eastAsia="zh-CN"/>
        </w:rPr>
        <w:t>管理人</w:t>
      </w:r>
      <w:r>
        <w:rPr>
          <w:rFonts w:hint="eastAsia" w:asciiTheme="minorEastAsia" w:hAnsiTheme="minorEastAsia"/>
          <w:sz w:val="24"/>
          <w:szCs w:val="24"/>
        </w:rPr>
        <w:t>。</w:t>
      </w:r>
    </w:p>
    <w:p w14:paraId="5F0DD3F5">
      <w:pPr>
        <w:spacing w:line="360" w:lineRule="auto"/>
        <w:ind w:firstLine="482" w:firstLineChars="200"/>
        <w:rPr>
          <w:rFonts w:asciiTheme="minorEastAsia" w:hAnsiTheme="minorEastAsia"/>
          <w:bCs/>
          <w:sz w:val="24"/>
          <w:szCs w:val="24"/>
        </w:rPr>
      </w:pPr>
      <w:r>
        <w:rPr>
          <w:rFonts w:hint="eastAsia" w:asciiTheme="minorEastAsia" w:hAnsiTheme="minorEastAsia"/>
          <w:b/>
          <w:sz w:val="24"/>
          <w:szCs w:val="24"/>
        </w:rPr>
        <w:t>十三、</w:t>
      </w:r>
      <w:r>
        <w:rPr>
          <w:rFonts w:hint="eastAsia" w:asciiTheme="minorEastAsia" w:hAnsiTheme="minorEastAsia"/>
          <w:bCs/>
          <w:sz w:val="24"/>
          <w:szCs w:val="24"/>
        </w:rPr>
        <w:t>破产案件监督</w:t>
      </w:r>
      <w:r>
        <w:rPr>
          <w:rFonts w:hint="eastAsia" w:asciiTheme="minorEastAsia" w:hAnsiTheme="minorEastAsia"/>
          <w:bCs/>
          <w:sz w:val="24"/>
          <w:szCs w:val="24"/>
          <w:highlight w:val="none"/>
        </w:rPr>
        <w:t>单位：</w:t>
      </w:r>
      <w:r>
        <w:rPr>
          <w:rFonts w:hint="eastAsia" w:asciiTheme="minorEastAsia" w:hAnsiTheme="minorEastAsia"/>
          <w:bCs/>
          <w:sz w:val="24"/>
          <w:szCs w:val="24"/>
          <w:highlight w:val="none"/>
          <w:lang w:eastAsia="zh-CN"/>
        </w:rPr>
        <w:t>北京市第一中级人民法院</w:t>
      </w:r>
      <w:r>
        <w:rPr>
          <w:rFonts w:hint="eastAsia" w:asciiTheme="minorEastAsia" w:hAnsiTheme="minorEastAsia"/>
          <w:bCs/>
          <w:sz w:val="24"/>
          <w:szCs w:val="24"/>
        </w:rPr>
        <w:t>;</w:t>
      </w:r>
    </w:p>
    <w:p w14:paraId="1091F67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咨询电话：</w:t>
      </w:r>
      <w:r>
        <w:rPr>
          <w:rFonts w:hint="eastAsia" w:asciiTheme="minorEastAsia" w:hAnsiTheme="minorEastAsia"/>
          <w:sz w:val="24"/>
          <w:szCs w:val="24"/>
          <w:lang w:eastAsia="zh-CN"/>
        </w:rPr>
        <w:t>崔女士 18330353912</w:t>
      </w:r>
      <w:r>
        <w:rPr>
          <w:rFonts w:hint="eastAsia" w:asciiTheme="minorEastAsia" w:hAnsiTheme="minorEastAsia"/>
          <w:sz w:val="24"/>
          <w:szCs w:val="24"/>
        </w:rPr>
        <w:t>，</w:t>
      </w:r>
      <w:r>
        <w:rPr>
          <w:rFonts w:hint="eastAsia" w:asciiTheme="minorEastAsia" w:hAnsiTheme="minorEastAsia"/>
          <w:sz w:val="24"/>
          <w:szCs w:val="24"/>
          <w:lang w:eastAsia="zh-CN"/>
        </w:rPr>
        <w:t>刘先生：16601111018</w:t>
      </w:r>
      <w:r>
        <w:rPr>
          <w:rFonts w:hint="eastAsia" w:asciiTheme="minorEastAsia" w:hAnsiTheme="minorEastAsia"/>
          <w:sz w:val="24"/>
          <w:szCs w:val="24"/>
        </w:rPr>
        <w:t>；</w:t>
      </w:r>
      <w:r>
        <w:rPr>
          <w:rFonts w:asciiTheme="minorEastAsia" w:hAnsiTheme="minorEastAsia"/>
          <w:sz w:val="24"/>
          <w:szCs w:val="24"/>
        </w:rPr>
        <w:t xml:space="preserve"> </w:t>
      </w:r>
    </w:p>
    <w:p w14:paraId="645A8F2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淘宝技术咨询：400-822-2870；</w:t>
      </w:r>
    </w:p>
    <w:p w14:paraId="3F9B466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法院监督电话：</w:t>
      </w:r>
      <w:r>
        <w:rPr>
          <w:rFonts w:hint="eastAsia" w:asciiTheme="minorEastAsia" w:hAnsiTheme="minorEastAsia"/>
          <w:sz w:val="24"/>
          <w:szCs w:val="24"/>
          <w:lang w:eastAsia="zh-CN"/>
        </w:rPr>
        <w:t>010-68639038</w:t>
      </w:r>
      <w:r>
        <w:rPr>
          <w:rFonts w:hint="eastAsia" w:asciiTheme="minorEastAsia" w:hAnsiTheme="minorEastAsia"/>
          <w:sz w:val="24"/>
          <w:szCs w:val="24"/>
        </w:rPr>
        <w:t>。</w:t>
      </w:r>
    </w:p>
    <w:p w14:paraId="6BA38EAE">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本次拍卖活动最终解释权归</w:t>
      </w:r>
      <w:r>
        <w:rPr>
          <w:rFonts w:hint="eastAsia" w:asciiTheme="minorEastAsia" w:hAnsiTheme="minorEastAsia"/>
          <w:b/>
          <w:color w:val="FF0000"/>
          <w:sz w:val="24"/>
          <w:szCs w:val="24"/>
          <w:lang w:eastAsia="zh-CN"/>
        </w:rPr>
        <w:t>北京宝护科技有限公司管理人</w:t>
      </w:r>
      <w:r>
        <w:rPr>
          <w:rFonts w:hint="eastAsia" w:asciiTheme="minorEastAsia" w:hAnsiTheme="minorEastAsia"/>
          <w:b/>
          <w:color w:val="FF0000"/>
          <w:sz w:val="24"/>
          <w:szCs w:val="24"/>
        </w:rPr>
        <w:t>所有。</w:t>
      </w:r>
    </w:p>
    <w:p w14:paraId="7CA5A2D1">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796424A2">
      <w:pPr>
        <w:spacing w:line="360" w:lineRule="auto"/>
        <w:ind w:firstLine="480" w:firstLineChars="200"/>
        <w:jc w:val="right"/>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北京宝护科技有限公司管理人</w:t>
      </w:r>
    </w:p>
    <w:p w14:paraId="11DE4CAC">
      <w:pPr>
        <w:spacing w:line="360" w:lineRule="auto"/>
        <w:ind w:firstLine="480" w:firstLineChars="200"/>
        <w:jc w:val="right"/>
        <w:rPr>
          <w:rFonts w:asciiTheme="minorEastAsia" w:hAnsiTheme="minorEastAsia"/>
          <w:sz w:val="24"/>
          <w:szCs w:val="24"/>
        </w:rPr>
      </w:pPr>
    </w:p>
    <w:p w14:paraId="0748D5BC">
      <w:pPr>
        <w:spacing w:line="360" w:lineRule="auto"/>
        <w:jc w:val="right"/>
        <w:rPr>
          <w:rFonts w:hint="eastAsia" w:asciiTheme="minorEastAsia" w:hAnsiTheme="minorEastAsia"/>
          <w:sz w:val="24"/>
          <w:szCs w:val="24"/>
          <w:lang w:eastAsia="zh-CN"/>
        </w:rPr>
      </w:pPr>
      <w:bookmarkStart w:id="1" w:name="_GoBack"/>
      <w:r>
        <w:rPr>
          <w:rFonts w:hint="eastAsia" w:asciiTheme="minorEastAsia" w:hAnsiTheme="minorEastAsia"/>
          <w:sz w:val="24"/>
          <w:szCs w:val="24"/>
          <w:lang w:eastAsia="zh-CN"/>
        </w:rPr>
        <w:t>二〇二五年一月八日</w:t>
      </w:r>
    </w:p>
    <w:bookmarkEnd w:id="1"/>
    <w:p w14:paraId="2D0CED4B">
      <w:pPr>
        <w:spacing w:line="360" w:lineRule="auto"/>
        <w:rPr>
          <w:rFonts w:hint="eastAsia" w:asciiTheme="minorEastAsia" w:hAnsiTheme="minorEastAsia"/>
          <w:sz w:val="24"/>
          <w:szCs w:val="24"/>
          <w:lang w:eastAsia="zh-CN"/>
        </w:rPr>
      </w:pPr>
    </w:p>
    <w:p w14:paraId="103C35D6">
      <w:pPr>
        <w:spacing w:line="360" w:lineRule="auto"/>
        <w:jc w:val="center"/>
        <w:rPr>
          <w:rFonts w:asciiTheme="minorEastAsia" w:hAnsiTheme="minorEastAsia"/>
          <w:b/>
          <w:sz w:val="44"/>
          <w:szCs w:val="44"/>
        </w:rPr>
      </w:pPr>
    </w:p>
    <w:p w14:paraId="27EBC615">
      <w:pPr>
        <w:spacing w:line="360" w:lineRule="auto"/>
        <w:jc w:val="center"/>
        <w:rPr>
          <w:rFonts w:asciiTheme="minorEastAsia" w:hAnsiTheme="minorEastAsia"/>
          <w:b/>
          <w:sz w:val="44"/>
          <w:szCs w:val="44"/>
        </w:rPr>
      </w:pPr>
    </w:p>
    <w:p w14:paraId="70EA107B">
      <w:pPr>
        <w:spacing w:line="360" w:lineRule="auto"/>
        <w:jc w:val="center"/>
        <w:rPr>
          <w:rFonts w:asciiTheme="minorEastAsia" w:hAnsiTheme="minorEastAsia"/>
          <w:b/>
          <w:sz w:val="44"/>
          <w:szCs w:val="44"/>
        </w:rPr>
      </w:pPr>
      <w:r>
        <w:rPr>
          <w:rFonts w:hint="eastAsia" w:asciiTheme="minorEastAsia" w:hAnsiTheme="minorEastAsia"/>
          <w:b/>
          <w:sz w:val="44"/>
          <w:szCs w:val="44"/>
        </w:rPr>
        <w:t>竞 买 须 知</w:t>
      </w:r>
    </w:p>
    <w:p w14:paraId="5E87324C">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03A171F1">
      <w:pPr>
        <w:spacing w:line="360" w:lineRule="auto"/>
        <w:ind w:firstLine="480" w:firstLineChars="200"/>
        <w:rPr>
          <w:rFonts w:asciiTheme="minorEastAsia" w:hAnsiTheme="minorEastAsia"/>
          <w:sz w:val="24"/>
          <w:szCs w:val="24"/>
        </w:rPr>
      </w:pPr>
      <w:r>
        <w:rPr>
          <w:rFonts w:hint="eastAsia" w:asciiTheme="minorEastAsia" w:hAnsiTheme="minorEastAsia"/>
          <w:sz w:val="24"/>
          <w:szCs w:val="24"/>
          <w:lang w:eastAsia="zh-CN"/>
        </w:rPr>
        <w:t>北京宝护科技有限公司管理人</w:t>
      </w:r>
      <w:r>
        <w:rPr>
          <w:rFonts w:hint="eastAsia" w:asciiTheme="minorEastAsia" w:hAnsiTheme="minorEastAsia"/>
          <w:sz w:val="24"/>
          <w:szCs w:val="24"/>
        </w:rPr>
        <w:t>将</w:t>
      </w:r>
      <w:r>
        <w:rPr>
          <w:rFonts w:hint="eastAsia" w:asciiTheme="minorEastAsia" w:hAnsiTheme="minorEastAsia"/>
          <w:sz w:val="24"/>
          <w:szCs w:val="24"/>
          <w:lang w:eastAsia="zh-CN"/>
        </w:rPr>
        <w:t>于</w:t>
      </w:r>
      <w:r>
        <w:rPr>
          <w:rFonts w:hint="eastAsia" w:asciiTheme="minorEastAsia" w:hAnsiTheme="minorEastAsia"/>
          <w:sz w:val="24"/>
          <w:szCs w:val="24"/>
          <w:highlight w:val="none"/>
          <w:lang w:eastAsia="zh-CN"/>
        </w:rPr>
        <w:t>2025年1月16日10时至2025年1月17日10时止</w:t>
      </w:r>
      <w:r>
        <w:rPr>
          <w:rFonts w:hint="eastAsia" w:asciiTheme="minorEastAsia" w:hAnsiTheme="minorEastAsia"/>
          <w:sz w:val="24"/>
          <w:szCs w:val="24"/>
          <w:highlight w:val="none"/>
        </w:rPr>
        <w:t>（延时除外）在阿里资产·</w:t>
      </w:r>
      <w:r>
        <w:rPr>
          <w:rFonts w:hint="eastAsia" w:asciiTheme="minorEastAsia" w:hAnsiTheme="minorEastAsia"/>
          <w:sz w:val="24"/>
          <w:szCs w:val="24"/>
        </w:rPr>
        <w:t>破产网络拍卖平台进行公开拍卖活动，（网址：</w:t>
      </w:r>
      <w:r>
        <w:rPr>
          <w:rFonts w:asciiTheme="minorEastAsia" w:hAnsiTheme="minorEastAsia"/>
          <w:sz w:val="24"/>
          <w:szCs w:val="24"/>
        </w:rPr>
        <w:t xml:space="preserve"> https://susong.taobao.com/</w:t>
      </w:r>
      <w:r>
        <w:rPr>
          <w:rFonts w:hint="eastAsia" w:asciiTheme="minorEastAsia" w:hAnsiTheme="minorEastAsia"/>
          <w:sz w:val="24"/>
          <w:szCs w:val="24"/>
        </w:rPr>
        <w:t>）现就网上拍卖有关事宜敬告各位竞买人：</w:t>
      </w:r>
    </w:p>
    <w:p w14:paraId="639CE657">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一、</w:t>
      </w:r>
      <w:r>
        <w:rPr>
          <w:rFonts w:hint="eastAsia" w:asciiTheme="minorEastAsia" w:hAnsiTheme="minorEastAsia"/>
          <w:sz w:val="24"/>
          <w:szCs w:val="24"/>
        </w:rPr>
        <w:t>本《竞买须知》根据《中华人民共和国民事诉讼法》、《中华人民共和国企业破产法》、《最高人民法院关于人民法院网络司法拍卖若干问题的规定》【法释（2016）18号】等相关法律规定所制订，竞买人应认真仔细阅读，了解本须知的全部内容。</w:t>
      </w:r>
    </w:p>
    <w:p w14:paraId="153D95DD">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二、</w:t>
      </w:r>
      <w:r>
        <w:rPr>
          <w:rFonts w:hint="eastAsia" w:asciiTheme="minorEastAsia" w:hAnsiTheme="minorEastAsia"/>
          <w:sz w:val="24"/>
          <w:szCs w:val="24"/>
        </w:rPr>
        <w:t>本次拍卖活动遵循“公开、公平、公正、诚实守信”的原则，拍卖活动具备法律效力。参加本次拍卖活动的当事人和竞买人必须遵守本须知的各项条款，并对自己的行为承担法律责任。</w:t>
      </w:r>
    </w:p>
    <w:p w14:paraId="76AAF53B">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三、竞买人条件</w:t>
      </w:r>
    </w:p>
    <w:p w14:paraId="1CA0C1F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5E3F0E7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w:t>
      </w:r>
      <w:r>
        <w:rPr>
          <w:rFonts w:hint="eastAsia" w:asciiTheme="minorEastAsia" w:hAnsiTheme="minorEastAsia"/>
          <w:sz w:val="24"/>
          <w:szCs w:val="24"/>
          <w:lang w:eastAsia="zh-CN"/>
        </w:rPr>
        <w:t>管理人</w:t>
      </w:r>
      <w:r>
        <w:rPr>
          <w:rFonts w:hint="eastAsia" w:asciiTheme="minorEastAsia" w:hAnsiTheme="minorEastAsia"/>
          <w:sz w:val="24"/>
          <w:szCs w:val="24"/>
        </w:rPr>
        <w:t>沟通办理委托手续；竞买成功后，竞买人（公民、法人和其他组织）或其委托代理人应到</w:t>
      </w:r>
      <w:r>
        <w:rPr>
          <w:rFonts w:hint="eastAsia" w:asciiTheme="minorEastAsia" w:hAnsiTheme="minorEastAsia"/>
          <w:sz w:val="24"/>
          <w:szCs w:val="24"/>
          <w:lang w:eastAsia="zh-CN"/>
        </w:rPr>
        <w:t>管理人</w:t>
      </w:r>
      <w:r>
        <w:rPr>
          <w:rFonts w:hint="eastAsia" w:asciiTheme="minorEastAsia" w:hAnsiTheme="minorEastAsia"/>
          <w:sz w:val="24"/>
          <w:szCs w:val="24"/>
        </w:rPr>
        <w:t>处办理交付或权属转移手续。如委托手续不全，竞买活动认定为委托代理人的个人行为。因不符合条件参加竞买的，由竞买人自行承担相应的法律责任。</w:t>
      </w:r>
    </w:p>
    <w:p w14:paraId="341A688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3、负责承办本案件的人民法院、破产企业</w:t>
      </w:r>
      <w:r>
        <w:rPr>
          <w:rFonts w:hint="eastAsia" w:asciiTheme="minorEastAsia" w:hAnsiTheme="minorEastAsia"/>
          <w:sz w:val="24"/>
          <w:szCs w:val="24"/>
          <w:lang w:eastAsia="zh-CN"/>
        </w:rPr>
        <w:t>管理人</w:t>
      </w:r>
      <w:r>
        <w:rPr>
          <w:rFonts w:hint="eastAsia" w:asciiTheme="minorEastAsia" w:hAnsiTheme="minorEastAsia"/>
          <w:sz w:val="24"/>
          <w:szCs w:val="24"/>
        </w:rPr>
        <w:t>、网络服务提供者、承担拍卖辅助工作的社会机构或者组织的工作人员及其近亲属不得参与竞买，并不得委托他人代为竞买与其行为相关的拍卖标的物。</w:t>
      </w:r>
    </w:p>
    <w:p w14:paraId="742914ED">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147321F8">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四、优先购买权人</w:t>
      </w:r>
    </w:p>
    <w:p w14:paraId="1FEAD7A6">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1、本标的物优先购买权人：</w:t>
      </w:r>
    </w:p>
    <w:p w14:paraId="0F5FC9C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优先购买权人应于本公告发布之日起3日内向</w:t>
      </w:r>
      <w:r>
        <w:rPr>
          <w:rFonts w:hint="eastAsia" w:asciiTheme="minorEastAsia" w:hAnsiTheme="minorEastAsia"/>
          <w:sz w:val="24"/>
          <w:szCs w:val="24"/>
          <w:lang w:eastAsia="zh-CN"/>
        </w:rPr>
        <w:t>管理人</w:t>
      </w:r>
      <w:r>
        <w:rPr>
          <w:rFonts w:hint="eastAsia" w:asciiTheme="minorEastAsia" w:hAnsiTheme="minorEastAsia"/>
          <w:sz w:val="24"/>
          <w:szCs w:val="24"/>
        </w:rPr>
        <w:t>联系，提供相关证明材料，办理相关手续。逾期未提供材料或办理手续者，视为自动放弃优先购买权。</w:t>
      </w:r>
    </w:p>
    <w:p w14:paraId="68CBD1C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2、优先购买权人参加竞买的，应向</w:t>
      </w:r>
      <w:r>
        <w:rPr>
          <w:rFonts w:hint="eastAsia" w:asciiTheme="minorEastAsia" w:hAnsiTheme="minorEastAsia"/>
          <w:sz w:val="24"/>
          <w:szCs w:val="24"/>
          <w:lang w:eastAsia="zh-CN"/>
        </w:rPr>
        <w:t>管理人</w:t>
      </w:r>
      <w:r>
        <w:rPr>
          <w:rFonts w:hint="eastAsia" w:asciiTheme="minorEastAsia" w:hAnsiTheme="minorEastAsia"/>
          <w:sz w:val="24"/>
          <w:szCs w:val="24"/>
        </w:rPr>
        <w:t>提交合法有效的证明，经</w:t>
      </w:r>
      <w:r>
        <w:rPr>
          <w:rFonts w:hint="eastAsia" w:asciiTheme="minorEastAsia" w:hAnsiTheme="minorEastAsia"/>
          <w:sz w:val="24"/>
          <w:szCs w:val="24"/>
          <w:lang w:eastAsia="zh-CN"/>
        </w:rPr>
        <w:t>管理人</w:t>
      </w:r>
      <w:r>
        <w:rPr>
          <w:rFonts w:hint="eastAsia" w:asciiTheme="minorEastAsia" w:hAnsiTheme="minorEastAsia"/>
          <w:sz w:val="24"/>
          <w:szCs w:val="24"/>
        </w:rPr>
        <w:t>确认资格及顺位后才能参与竞买，逾期不提交的，视为放弃对标的物享有优先购买权。</w:t>
      </w:r>
      <w:r>
        <w:rPr>
          <w:rFonts w:hint="eastAsia" w:asciiTheme="minorEastAsia" w:hAnsiTheme="minorEastAsia"/>
          <w:sz w:val="24"/>
          <w:szCs w:val="24"/>
          <w:lang w:eastAsia="zh-CN"/>
        </w:rPr>
        <w:t>管理人</w:t>
      </w:r>
      <w:r>
        <w:rPr>
          <w:rFonts w:hint="eastAsia" w:asciiTheme="minorEastAsia" w:hAnsiTheme="minorEastAsia"/>
          <w:sz w:val="24"/>
          <w:szCs w:val="24"/>
        </w:rPr>
        <w:t>在正式拍卖日前将经确认的优先权购买人资格和顺位信息，审报网络平台技术部门，录入平台系统。</w:t>
      </w:r>
    </w:p>
    <w:p w14:paraId="6E3B588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75C0AE80">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4、顺序不同的优先购买权人申请参与竞买的，</w:t>
      </w:r>
      <w:r>
        <w:rPr>
          <w:rFonts w:hint="eastAsia" w:asciiTheme="minorEastAsia" w:hAnsiTheme="minorEastAsia"/>
          <w:sz w:val="24"/>
          <w:szCs w:val="24"/>
          <w:lang w:eastAsia="zh-CN"/>
        </w:rPr>
        <w:t>管理人</w:t>
      </w:r>
      <w:r>
        <w:rPr>
          <w:rFonts w:hint="eastAsia" w:asciiTheme="minorEastAsia" w:hAnsiTheme="minorEastAsia"/>
          <w:sz w:val="24"/>
          <w:szCs w:val="24"/>
        </w:rPr>
        <w:t>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7BF354D0">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五、</w:t>
      </w:r>
      <w:r>
        <w:rPr>
          <w:rFonts w:hint="eastAsia" w:asciiTheme="minorEastAsia" w:hAnsiTheme="minorEastAsia"/>
          <w:sz w:val="24"/>
          <w:szCs w:val="24"/>
        </w:rPr>
        <w:t>与本标的物有利害关系的当事人可参加竞拍，不参加竞拍的请关注本次拍卖活动的整个过程。</w:t>
      </w:r>
    </w:p>
    <w:p w14:paraId="4109BA8E">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六、</w:t>
      </w:r>
      <w:r>
        <w:rPr>
          <w:rFonts w:hint="eastAsia" w:asciiTheme="minorEastAsia" w:hAnsiTheme="minorEastAsia"/>
          <w:sz w:val="24"/>
          <w:szCs w:val="24"/>
        </w:rPr>
        <w:t>本次拍卖活动设置延时出价功能，在拍卖活动结束前，每最后5分钟如果有竞买人出价，就自动延迟5分钟。</w:t>
      </w:r>
    </w:p>
    <w:p w14:paraId="2D46B154">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七、</w:t>
      </w:r>
      <w:r>
        <w:rPr>
          <w:rFonts w:hint="eastAsia" w:asciiTheme="minorEastAsia" w:hAnsiTheme="minorEastAsia"/>
          <w:sz w:val="24"/>
          <w:szCs w:val="24"/>
        </w:rPr>
        <w:t>竞拍前竞买人应通过支付宝账户缴纳足额的拍卖保证金。竞买人在对拍卖标的物第一次确认出价竞拍前，按破产强清平台系统提示报名缴纳保证金，系统会自动锁定该笔款项。拍卖成交的，买受人锁定的保证金将在买受人支付软件服务费后24小时以内自动转入本</w:t>
      </w:r>
      <w:r>
        <w:rPr>
          <w:rFonts w:hint="eastAsia" w:asciiTheme="minorEastAsia" w:hAnsiTheme="minorEastAsia"/>
          <w:sz w:val="24"/>
          <w:szCs w:val="24"/>
          <w:lang w:eastAsia="zh-CN"/>
        </w:rPr>
        <w:t>管理人</w:t>
      </w:r>
      <w:r>
        <w:rPr>
          <w:rFonts w:hint="eastAsia" w:asciiTheme="minorEastAsia" w:hAnsiTheme="minorEastAsia"/>
          <w:sz w:val="24"/>
          <w:szCs w:val="24"/>
        </w:rPr>
        <w:t>指定账户，其他竞买人的保证金在拍卖结束以后24小时以内自动解锁。保证金锁定期间不计利息。</w:t>
      </w:r>
    </w:p>
    <w:p w14:paraId="285CBF9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保证金支付帮助：</w:t>
      </w:r>
      <w:r>
        <w:fldChar w:fldCharType="begin"/>
      </w:r>
      <w:r>
        <w:instrText xml:space="preserve"> HYPERLINK "https://www.taobao.com/market/paimai/sf-helpcenter.php?path=sf-hc-right-content5" \l "q1" </w:instrText>
      </w:r>
      <w:r>
        <w:fldChar w:fldCharType="separate"/>
      </w:r>
      <w:r>
        <w:rPr>
          <w:rStyle w:val="10"/>
          <w:rFonts w:hint="eastAsia" w:asciiTheme="minorEastAsia" w:hAnsiTheme="minorEastAsia"/>
          <w:sz w:val="24"/>
          <w:szCs w:val="24"/>
        </w:rPr>
        <w:t>https://www.taobao.com/market/paimai/sf-helpcenter.php?path=sf-hc-right-content5#q1</w:t>
      </w:r>
      <w:r>
        <w:rPr>
          <w:rStyle w:val="10"/>
          <w:rFonts w:hint="eastAsia" w:asciiTheme="minorEastAsia" w:hAnsiTheme="minorEastAsia"/>
          <w:sz w:val="24"/>
          <w:szCs w:val="24"/>
        </w:rPr>
        <w:fldChar w:fldCharType="end"/>
      </w:r>
      <w:r>
        <w:rPr>
          <w:rFonts w:hint="eastAsia" w:asciiTheme="minorEastAsia" w:hAnsiTheme="minorEastAsia"/>
          <w:sz w:val="24"/>
          <w:szCs w:val="24"/>
        </w:rPr>
        <w:t>。</w:t>
      </w:r>
    </w:p>
    <w:p w14:paraId="42394A50">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八、</w:t>
      </w:r>
      <w:bookmarkStart w:id="0" w:name="_Hlk90236605"/>
      <w:r>
        <w:rPr>
          <w:rFonts w:ascii="宋体" w:hAnsi="宋体"/>
          <w:sz w:val="24"/>
        </w:rPr>
        <w:t>本次拍卖是经法定公告期和展示期后才举行的，就拍卖标的物已知及可能存在的瑕疵已在本次拍</w:t>
      </w:r>
      <w:r>
        <w:rPr>
          <w:rFonts w:hint="eastAsia" w:ascii="宋体" w:hAnsi="宋体"/>
          <w:sz w:val="24"/>
        </w:rPr>
        <w:t>卖</w:t>
      </w:r>
      <w:r>
        <w:rPr>
          <w:rFonts w:ascii="宋体" w:hAnsi="宋体"/>
          <w:sz w:val="24"/>
        </w:rPr>
        <w:t>资料中作了详尽的说明。</w:t>
      </w:r>
      <w:r>
        <w:rPr>
          <w:rFonts w:hint="eastAsia" w:ascii="宋体" w:hAnsi="宋体"/>
          <w:sz w:val="24"/>
          <w:lang w:eastAsia="zh-CN"/>
        </w:rPr>
        <w:t>管理人</w:t>
      </w:r>
      <w:r>
        <w:rPr>
          <w:rFonts w:ascii="宋体" w:hAnsi="宋体"/>
          <w:sz w:val="24"/>
        </w:rPr>
        <w:t>对拍卖标的物所作的说明和提供的图片等，仅供竞买人参考，不构成对标的物的任何担保。所以请竞买人在拍卖前必须仔细审查拍卖标的物，前往相关部门调查是否存在瑕疵，认真研究查看所竞买标的物的实际情况，</w:t>
      </w:r>
      <w:r>
        <w:rPr>
          <w:rFonts w:ascii="宋体" w:hAnsi="宋体"/>
          <w:b/>
          <w:sz w:val="24"/>
        </w:rPr>
        <w:t>竞买人一旦作出竞买决定，即表明已完全了解，并接受标的物的现状和一切已知及未知的瑕疵。</w:t>
      </w:r>
    </w:p>
    <w:p w14:paraId="6C1AC490">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九、签署成交文件</w:t>
      </w:r>
    </w:p>
    <w:p w14:paraId="2F65366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买受人须在拍卖成交之日起三日内（遇节假日顺延）凭缴纳拍卖保证金平台生成的竞买号及相关身份材料到</w:t>
      </w:r>
      <w:r>
        <w:rPr>
          <w:rFonts w:hint="eastAsia" w:asciiTheme="minorEastAsia" w:hAnsiTheme="minorEastAsia"/>
          <w:sz w:val="24"/>
          <w:szCs w:val="24"/>
          <w:lang w:eastAsia="zh-CN"/>
        </w:rPr>
        <w:t>管理人</w:t>
      </w:r>
      <w:r>
        <w:rPr>
          <w:rFonts w:hint="eastAsia" w:asciiTheme="minorEastAsia" w:hAnsiTheme="minorEastAsia"/>
          <w:sz w:val="24"/>
          <w:szCs w:val="24"/>
        </w:rPr>
        <w:t>处签署拍卖成交确认文件。</w:t>
      </w:r>
    </w:p>
    <w:bookmarkEnd w:id="0"/>
    <w:p w14:paraId="173A1F0E">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w:t>
      </w:r>
      <w:r>
        <w:rPr>
          <w:rFonts w:hint="eastAsia" w:asciiTheme="minorEastAsia" w:hAnsiTheme="minorEastAsia"/>
          <w:sz w:val="24"/>
          <w:szCs w:val="24"/>
        </w:rPr>
        <w:t>买受人应在拍卖成交（即竞价成功日）后</w:t>
      </w:r>
      <w:r>
        <w:rPr>
          <w:rFonts w:hint="eastAsia" w:asciiTheme="minorEastAsia" w:hAnsiTheme="minorEastAsia"/>
          <w:b/>
          <w:bCs/>
          <w:color w:val="FF0000"/>
          <w:sz w:val="24"/>
          <w:szCs w:val="24"/>
          <w:lang w:eastAsia="zh-CN"/>
        </w:rPr>
        <w:t>五日内</w:t>
      </w:r>
      <w:r>
        <w:rPr>
          <w:rFonts w:hint="eastAsia" w:asciiTheme="minorEastAsia" w:hAnsiTheme="minorEastAsia"/>
          <w:sz w:val="24"/>
          <w:szCs w:val="24"/>
        </w:rPr>
        <w:t>将拍卖成交价余款（扣除保证金后的余款）缴纳至</w:t>
      </w:r>
      <w:r>
        <w:rPr>
          <w:rFonts w:hint="eastAsia" w:asciiTheme="minorEastAsia" w:hAnsiTheme="minorEastAsia"/>
          <w:sz w:val="24"/>
          <w:szCs w:val="24"/>
          <w:lang w:eastAsia="zh-CN"/>
        </w:rPr>
        <w:t>管理人</w:t>
      </w:r>
      <w:r>
        <w:rPr>
          <w:rFonts w:hint="eastAsia" w:asciiTheme="minorEastAsia" w:hAnsiTheme="minorEastAsia"/>
          <w:sz w:val="24"/>
          <w:szCs w:val="24"/>
        </w:rPr>
        <w:t>指定账户:</w:t>
      </w:r>
    </w:p>
    <w:p w14:paraId="1CE02197">
      <w:pPr>
        <w:spacing w:line="360" w:lineRule="auto"/>
        <w:ind w:firstLine="482" w:firstLineChars="200"/>
        <w:rPr>
          <w:rFonts w:hint="eastAsia" w:asciiTheme="minorEastAsia" w:hAnsiTheme="minorEastAsia" w:eastAsiaTheme="minorEastAsia"/>
          <w:b/>
          <w:color w:val="FF0000"/>
          <w:sz w:val="24"/>
          <w:szCs w:val="24"/>
          <w:highlight w:val="none"/>
          <w:lang w:eastAsia="zh-CN"/>
        </w:rPr>
      </w:pPr>
      <w:r>
        <w:rPr>
          <w:rFonts w:hint="eastAsia" w:asciiTheme="minorEastAsia" w:hAnsiTheme="minorEastAsia"/>
          <w:b/>
          <w:color w:val="FF0000"/>
          <w:sz w:val="24"/>
          <w:szCs w:val="24"/>
          <w:highlight w:val="none"/>
        </w:rPr>
        <w:t>户  名：</w:t>
      </w:r>
      <w:r>
        <w:rPr>
          <w:rFonts w:hint="eastAsia" w:asciiTheme="minorEastAsia" w:hAnsiTheme="minorEastAsia"/>
          <w:b/>
          <w:color w:val="FF0000"/>
          <w:sz w:val="24"/>
          <w:szCs w:val="24"/>
          <w:highlight w:val="none"/>
          <w:lang w:eastAsia="zh-CN"/>
        </w:rPr>
        <w:t>北京宝护科技有限公司管理人</w:t>
      </w:r>
    </w:p>
    <w:p w14:paraId="2E28329B">
      <w:pPr>
        <w:spacing w:line="360" w:lineRule="auto"/>
        <w:ind w:firstLine="482" w:firstLineChars="200"/>
        <w:rPr>
          <w:rFonts w:hint="eastAsia" w:asciiTheme="minorEastAsia" w:hAnsiTheme="minorEastAsia" w:eastAsiaTheme="minorEastAsia"/>
          <w:b/>
          <w:color w:val="FF0000"/>
          <w:sz w:val="24"/>
          <w:szCs w:val="24"/>
          <w:highlight w:val="none"/>
          <w:lang w:eastAsia="zh-CN"/>
        </w:rPr>
      </w:pPr>
      <w:r>
        <w:rPr>
          <w:rFonts w:hint="eastAsia" w:asciiTheme="minorEastAsia" w:hAnsiTheme="minorEastAsia"/>
          <w:b/>
          <w:color w:val="FF0000"/>
          <w:sz w:val="24"/>
          <w:szCs w:val="24"/>
          <w:highlight w:val="none"/>
        </w:rPr>
        <w:t>开户行：</w:t>
      </w:r>
      <w:r>
        <w:rPr>
          <w:rFonts w:hint="eastAsia" w:asciiTheme="minorEastAsia" w:hAnsiTheme="minorEastAsia"/>
          <w:b/>
          <w:color w:val="FF0000"/>
          <w:sz w:val="24"/>
          <w:szCs w:val="24"/>
          <w:highlight w:val="none"/>
          <w:lang w:eastAsia="zh-CN"/>
        </w:rPr>
        <w:t>北京银行股份有限公司中关村分行</w:t>
      </w:r>
    </w:p>
    <w:p w14:paraId="741C7306">
      <w:pPr>
        <w:spacing w:line="360" w:lineRule="auto"/>
        <w:ind w:firstLine="482" w:firstLineChars="200"/>
        <w:rPr>
          <w:rFonts w:hint="eastAsia" w:asciiTheme="minorEastAsia" w:hAnsiTheme="minorEastAsia" w:eastAsiaTheme="minorEastAsia"/>
          <w:b/>
          <w:color w:val="FF0000"/>
          <w:sz w:val="24"/>
          <w:szCs w:val="24"/>
          <w:highlight w:val="none"/>
          <w:lang w:eastAsia="zh-CN"/>
        </w:rPr>
      </w:pPr>
      <w:r>
        <w:rPr>
          <w:rFonts w:hint="eastAsia" w:asciiTheme="minorEastAsia" w:hAnsiTheme="minorEastAsia"/>
          <w:b/>
          <w:color w:val="FF0000"/>
          <w:sz w:val="24"/>
          <w:szCs w:val="24"/>
          <w:highlight w:val="none"/>
        </w:rPr>
        <w:t>账  户：</w:t>
      </w:r>
      <w:r>
        <w:rPr>
          <w:rFonts w:hint="eastAsia" w:asciiTheme="minorEastAsia" w:hAnsiTheme="minorEastAsia"/>
          <w:b/>
          <w:color w:val="FF0000"/>
          <w:sz w:val="24"/>
          <w:szCs w:val="24"/>
          <w:highlight w:val="none"/>
          <w:lang w:eastAsia="zh-CN"/>
        </w:rPr>
        <w:t>20000094664200162652458</w:t>
      </w:r>
    </w:p>
    <w:p w14:paraId="57E49E80">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特别注意：依照相关法律规定，竞买人成功竞得网拍标的物后，淘宝网拍平台将生成相应《网络竞价成功确认书》,该材料仅为竞价成功确认书，载明实际买受人姓名、网拍竞买号信息，非《拍卖成交确认书》。】</w:t>
      </w:r>
    </w:p>
    <w:p w14:paraId="04487687">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拍卖成交后买受人悔拍（包括但不限于买受人未在拍卖成交后</w:t>
      </w:r>
      <w:r>
        <w:rPr>
          <w:rFonts w:hint="eastAsia" w:asciiTheme="minorEastAsia" w:hAnsiTheme="minorEastAsia"/>
          <w:sz w:val="24"/>
          <w:szCs w:val="24"/>
          <w:lang w:eastAsia="zh-CN"/>
        </w:rPr>
        <w:t>五日内</w:t>
      </w:r>
      <w:r>
        <w:rPr>
          <w:rFonts w:hint="eastAsia" w:asciiTheme="minorEastAsia" w:hAnsiTheme="minorEastAsia"/>
          <w:sz w:val="24"/>
          <w:szCs w:val="24"/>
        </w:rPr>
        <w:t>将拍卖成交全部余款缴入指定账户，以及买受人明示或暗示其悔拍等情形）的，</w:t>
      </w:r>
      <w:r>
        <w:rPr>
          <w:rFonts w:hint="eastAsia" w:asciiTheme="minorEastAsia" w:hAnsiTheme="minorEastAsia"/>
          <w:sz w:val="24"/>
          <w:szCs w:val="24"/>
          <w:lang w:eastAsia="zh-CN"/>
        </w:rPr>
        <w:t>管理人</w:t>
      </w:r>
      <w:r>
        <w:rPr>
          <w:rFonts w:hint="eastAsia" w:asciiTheme="minorEastAsia" w:hAnsiTheme="minorEastAsia"/>
          <w:sz w:val="24"/>
          <w:szCs w:val="24"/>
        </w:rPr>
        <w:t>可重新委托拍卖，买受人交纳的保证金不予退还，计入债务人财产。保证金数额不足以弥补拍卖费用损失以及重新拍卖价款低于原拍卖价款的差价的，</w:t>
      </w:r>
      <w:r>
        <w:rPr>
          <w:rFonts w:hint="eastAsia" w:asciiTheme="minorEastAsia" w:hAnsiTheme="minorEastAsia"/>
          <w:sz w:val="24"/>
          <w:szCs w:val="24"/>
          <w:lang w:eastAsia="zh-CN"/>
        </w:rPr>
        <w:t>管理人</w:t>
      </w:r>
      <w:r>
        <w:rPr>
          <w:rFonts w:hint="eastAsia" w:asciiTheme="minorEastAsia" w:hAnsiTheme="minorEastAsia"/>
          <w:sz w:val="24"/>
          <w:szCs w:val="24"/>
        </w:rPr>
        <w:t>可向悔拍人追索。重新拍卖时，原买受人不得参加竞买。</w:t>
      </w:r>
    </w:p>
    <w:p w14:paraId="64914B96">
      <w:pPr>
        <w:spacing w:line="360" w:lineRule="auto"/>
        <w:ind w:firstLine="482" w:firstLineChars="200"/>
        <w:rPr>
          <w:rFonts w:asciiTheme="minorEastAsia" w:hAnsiTheme="minorEastAsia"/>
          <w:b/>
          <w:sz w:val="24"/>
          <w:szCs w:val="24"/>
        </w:rPr>
      </w:pPr>
      <w:r>
        <w:rPr>
          <w:rFonts w:hint="eastAsia" w:asciiTheme="minorEastAsia" w:hAnsiTheme="minorEastAsia"/>
          <w:b/>
          <w:color w:val="FF0000"/>
          <w:sz w:val="24"/>
          <w:szCs w:val="24"/>
        </w:rPr>
        <w:t>十二、拍品交付</w:t>
      </w:r>
    </w:p>
    <w:p w14:paraId="21D08B82">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1、买受人在缴纳完全部拍卖款项，持有效身份证明及签署好的拍卖成交文件前往</w:t>
      </w:r>
      <w:r>
        <w:rPr>
          <w:rFonts w:hint="eastAsia" w:asciiTheme="minorEastAsia" w:hAnsiTheme="minorEastAsia"/>
          <w:b/>
          <w:bCs/>
          <w:sz w:val="24"/>
          <w:szCs w:val="24"/>
          <w:u w:val="single"/>
          <w:lang w:eastAsia="zh-CN"/>
        </w:rPr>
        <w:t>管理人</w:t>
      </w:r>
      <w:r>
        <w:rPr>
          <w:rFonts w:hint="eastAsia" w:asciiTheme="minorEastAsia" w:hAnsiTheme="minorEastAsia"/>
          <w:b/>
          <w:bCs/>
          <w:sz w:val="24"/>
          <w:szCs w:val="24"/>
          <w:u w:val="single"/>
        </w:rPr>
        <w:t>处办理交割手续，由买受人自行前往相关部门办理股权转让手续，能否办理股权转让手续及办理股权转让手续的时间请竞买人在竞买前，自行到相关部门咨询确认，</w:t>
      </w:r>
      <w:r>
        <w:rPr>
          <w:rFonts w:hint="eastAsia" w:asciiTheme="minorEastAsia" w:hAnsiTheme="minorEastAsia"/>
          <w:b/>
          <w:bCs/>
          <w:sz w:val="24"/>
          <w:szCs w:val="24"/>
          <w:u w:val="single"/>
          <w:lang w:eastAsia="zh-CN"/>
        </w:rPr>
        <w:t>管理人</w:t>
      </w:r>
      <w:r>
        <w:rPr>
          <w:rFonts w:hint="eastAsia" w:asciiTheme="minorEastAsia" w:hAnsiTheme="minorEastAsia"/>
          <w:b/>
          <w:bCs/>
          <w:sz w:val="24"/>
          <w:szCs w:val="24"/>
          <w:u w:val="single"/>
        </w:rPr>
        <w:t>和拍卖辅助机构不做股权转让的任何承诺。股权转让登记可能涉及的全部费用均由买受人自行负责，与</w:t>
      </w:r>
      <w:r>
        <w:rPr>
          <w:rFonts w:hint="eastAsia" w:asciiTheme="minorEastAsia" w:hAnsiTheme="minorEastAsia"/>
          <w:b/>
          <w:bCs/>
          <w:sz w:val="24"/>
          <w:szCs w:val="24"/>
          <w:u w:val="single"/>
          <w:lang w:eastAsia="zh-CN"/>
        </w:rPr>
        <w:t>管理人</w:t>
      </w:r>
      <w:r>
        <w:rPr>
          <w:rFonts w:hint="eastAsia" w:asciiTheme="minorEastAsia" w:hAnsiTheme="minorEastAsia"/>
          <w:b/>
          <w:bCs/>
          <w:sz w:val="24"/>
          <w:szCs w:val="24"/>
          <w:u w:val="single"/>
        </w:rPr>
        <w:t>和拍卖辅助机构无关。</w:t>
      </w:r>
    </w:p>
    <w:p w14:paraId="5884BE09">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2、如标的物存在冻结、质押等权利限制、政策原因或存在隐性瑕疵导致股权变更手续办理延长或者受阻等情况的，</w:t>
      </w:r>
      <w:r>
        <w:rPr>
          <w:rFonts w:hint="eastAsia" w:asciiTheme="minorEastAsia" w:hAnsiTheme="minorEastAsia"/>
          <w:b/>
          <w:bCs/>
          <w:sz w:val="24"/>
          <w:szCs w:val="24"/>
          <w:u w:val="single"/>
          <w:lang w:eastAsia="zh-CN"/>
        </w:rPr>
        <w:t>管理人</w:t>
      </w:r>
      <w:r>
        <w:rPr>
          <w:rFonts w:hint="eastAsia" w:asciiTheme="minorEastAsia" w:hAnsiTheme="minorEastAsia"/>
          <w:b/>
          <w:bCs/>
          <w:sz w:val="24"/>
          <w:szCs w:val="24"/>
          <w:u w:val="single"/>
        </w:rPr>
        <w:t>和拍卖辅助机构不保证买受人可避免上述情况，亦不就上述情况的发生承担任何法律责任。</w:t>
      </w:r>
    </w:p>
    <w:p w14:paraId="5036512E">
      <w:pPr>
        <w:spacing w:line="360" w:lineRule="auto"/>
        <w:ind w:firstLine="482" w:firstLineChars="200"/>
        <w:rPr>
          <w:rFonts w:asciiTheme="minorEastAsia" w:hAnsiTheme="minorEastAsia"/>
          <w:b/>
          <w:color w:val="FF0000"/>
          <w:sz w:val="24"/>
          <w:szCs w:val="24"/>
        </w:rPr>
      </w:pPr>
      <w:r>
        <w:rPr>
          <w:rFonts w:hint="eastAsia" w:asciiTheme="minorEastAsia" w:hAnsiTheme="minorEastAsia"/>
          <w:b/>
          <w:sz w:val="24"/>
          <w:szCs w:val="24"/>
        </w:rPr>
        <w:t>十三、</w:t>
      </w:r>
      <w:r>
        <w:rPr>
          <w:rFonts w:hint="eastAsia" w:asciiTheme="minorEastAsia" w:hAnsiTheme="minorEastAsia"/>
          <w:b/>
          <w:color w:val="FF0000"/>
          <w:sz w:val="24"/>
          <w:szCs w:val="24"/>
        </w:rPr>
        <w:t>本次拍卖活动计价货币为人民币。本次拍卖成交价不含税费及其他费用。标的物转让登记手续由买受人办理，</w:t>
      </w:r>
      <w:r>
        <w:rPr>
          <w:rFonts w:hint="eastAsia" w:asciiTheme="minorEastAsia" w:hAnsiTheme="minorEastAsia"/>
          <w:b/>
          <w:color w:val="FF0000"/>
          <w:sz w:val="24"/>
          <w:szCs w:val="24"/>
          <w:lang w:eastAsia="zh-CN"/>
        </w:rPr>
        <w:t>管理人</w:t>
      </w:r>
      <w:r>
        <w:rPr>
          <w:rFonts w:hint="eastAsia" w:asciiTheme="minorEastAsia" w:hAnsiTheme="minorEastAsia"/>
          <w:b/>
          <w:color w:val="FF0000"/>
          <w:sz w:val="24"/>
          <w:szCs w:val="24"/>
        </w:rPr>
        <w:t>将给予必要的协助。标的物转让登记买卖双方所涉及的相关税、费等由买受人承担。如未明确缴费义务人的费用由买受人承担。买受人在竞买前应向所涉税务局部门确认成交后应缴纳的税费标准。</w:t>
      </w:r>
    </w:p>
    <w:p w14:paraId="79433446">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特别提示：</w:t>
      </w:r>
    </w:p>
    <w:p w14:paraId="223951F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1、综合服务费由拍卖辅助机构收取（按照成交价格的2%计算，封顶不超过200万元）买受人需在成交之后</w:t>
      </w:r>
      <w:r>
        <w:rPr>
          <w:rFonts w:hint="eastAsia" w:asciiTheme="minorEastAsia" w:hAnsiTheme="minorEastAsia"/>
          <w:sz w:val="24"/>
          <w:szCs w:val="24"/>
          <w:lang w:eastAsia="zh-CN"/>
        </w:rPr>
        <w:t>五日内</w:t>
      </w:r>
      <w:r>
        <w:rPr>
          <w:rFonts w:hint="eastAsia" w:asciiTheme="minorEastAsia" w:hAnsiTheme="minorEastAsia"/>
          <w:sz w:val="24"/>
          <w:szCs w:val="24"/>
        </w:rPr>
        <w:t>将综合服务费汇款至北京嘉运亨通拍卖有限公司指定账户【户名：北京嘉运亨通拍卖有限公司；开户行：招商银行股份有限公司北京崇文门支行；账号：110945693810201；以到账时间为准】。</w:t>
      </w:r>
    </w:p>
    <w:p w14:paraId="0C0A90B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2、软件服务费由阿里拍卖平台收取，付费方式及软件服务费金额等请详见《阿里拍卖平台破产资产处置频道收费规则》。买受人须于成交后</w:t>
      </w:r>
      <w:r>
        <w:rPr>
          <w:rFonts w:hint="eastAsia" w:asciiTheme="minorEastAsia" w:hAnsiTheme="minorEastAsia"/>
          <w:sz w:val="24"/>
          <w:szCs w:val="24"/>
          <w:lang w:eastAsia="zh-CN"/>
        </w:rPr>
        <w:t>五日内</w:t>
      </w:r>
      <w:r>
        <w:rPr>
          <w:rFonts w:hint="eastAsia" w:asciiTheme="minorEastAsia" w:hAnsiTheme="minorEastAsia"/>
          <w:sz w:val="24"/>
          <w:szCs w:val="24"/>
        </w:rPr>
        <w:t>通过线上完成相应费用的支付后，保证金将转为部分成交价款转至</w:t>
      </w:r>
      <w:r>
        <w:rPr>
          <w:rFonts w:hint="eastAsia" w:asciiTheme="minorEastAsia" w:hAnsiTheme="minorEastAsia"/>
          <w:sz w:val="24"/>
          <w:szCs w:val="24"/>
          <w:lang w:eastAsia="zh-CN"/>
        </w:rPr>
        <w:t>管理人</w:t>
      </w:r>
      <w:r>
        <w:rPr>
          <w:rFonts w:hint="eastAsia" w:asciiTheme="minorEastAsia" w:hAnsiTheme="minorEastAsia"/>
          <w:sz w:val="24"/>
          <w:szCs w:val="24"/>
        </w:rPr>
        <w:t>的支付宝账户。</w:t>
      </w:r>
    </w:p>
    <w:p w14:paraId="0C5E1BA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11580D2C">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十四、</w:t>
      </w:r>
      <w:r>
        <w:rPr>
          <w:rFonts w:hint="eastAsia" w:asciiTheme="minorEastAsia" w:hAnsiTheme="minor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79FDFE3D">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十五、</w:t>
      </w:r>
      <w:r>
        <w:rPr>
          <w:rFonts w:hint="eastAsia" w:asciiTheme="minorEastAsia" w:hAnsiTheme="minorEastAsia"/>
          <w:sz w:val="24"/>
          <w:szCs w:val="24"/>
        </w:rPr>
        <w:t>拍卖人根据法律规定有权在拍卖开始前中止拍卖或撤回拍卖。因网络或其他不可抗力导致拍卖无法正常进行的，拍卖人待以上因素消除后视情况决定重新拍卖，并不承担因此造成的损失。</w:t>
      </w:r>
    </w:p>
    <w:p w14:paraId="200F5F46">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十六、</w:t>
      </w:r>
      <w:r>
        <w:rPr>
          <w:rFonts w:hint="eastAsia" w:asciiTheme="minorEastAsia" w:hAnsiTheme="minorEastAsia"/>
          <w:sz w:val="24"/>
          <w:szCs w:val="24"/>
        </w:rPr>
        <w:t>为便于买受人及时收到拍卖相关的文书，竞买人在拍卖竞价前如实向阿里资产·破产网络拍卖平台提供确切的送达地址，上述地址确认为邮寄地址，如需更改，买受人应在拍卖活动结束时与</w:t>
      </w:r>
      <w:r>
        <w:rPr>
          <w:rFonts w:hint="eastAsia" w:asciiTheme="minorEastAsia" w:hAnsiTheme="minorEastAsia"/>
          <w:sz w:val="24"/>
          <w:szCs w:val="24"/>
          <w:lang w:eastAsia="zh-CN"/>
        </w:rPr>
        <w:t>管理人</w:t>
      </w:r>
      <w:r>
        <w:rPr>
          <w:rFonts w:hint="eastAsia" w:asciiTheme="minorEastAsia" w:hAnsiTheme="minorEastAsia"/>
          <w:sz w:val="24"/>
          <w:szCs w:val="24"/>
        </w:rPr>
        <w:t>联系确认更改。如果提供的送达地址不确切，或不及时告知变更后的地址，使有关法律文书无法送达或未能及时送达的，竞买人自行承担由此可能产生的法律后果。</w:t>
      </w:r>
    </w:p>
    <w:p w14:paraId="520F9968">
      <w:pPr>
        <w:spacing w:line="360" w:lineRule="auto"/>
        <w:ind w:firstLine="482" w:firstLineChars="200"/>
        <w:rPr>
          <w:rFonts w:asciiTheme="minorEastAsia" w:hAnsiTheme="minorEastAsia"/>
          <w:bCs/>
          <w:sz w:val="24"/>
          <w:szCs w:val="24"/>
          <w:highlight w:val="none"/>
        </w:rPr>
      </w:pPr>
      <w:r>
        <w:rPr>
          <w:rFonts w:hint="eastAsia" w:asciiTheme="minorEastAsia" w:hAnsiTheme="minorEastAsia"/>
          <w:b/>
          <w:sz w:val="24"/>
          <w:szCs w:val="24"/>
        </w:rPr>
        <w:t>十七、</w:t>
      </w:r>
      <w:r>
        <w:rPr>
          <w:rFonts w:hint="eastAsia" w:asciiTheme="minorEastAsia" w:hAnsiTheme="minorEastAsia"/>
          <w:bCs/>
          <w:sz w:val="24"/>
          <w:szCs w:val="24"/>
        </w:rPr>
        <w:t>破产案件监督单位：</w:t>
      </w:r>
      <w:r>
        <w:rPr>
          <w:rFonts w:hint="eastAsia" w:asciiTheme="minorEastAsia" w:hAnsiTheme="minorEastAsia"/>
          <w:bCs/>
          <w:sz w:val="24"/>
          <w:szCs w:val="24"/>
          <w:highlight w:val="none"/>
          <w:lang w:eastAsia="zh-CN"/>
        </w:rPr>
        <w:t>北京市第一中级人民法院</w:t>
      </w:r>
      <w:r>
        <w:rPr>
          <w:rFonts w:hint="eastAsia" w:asciiTheme="minorEastAsia" w:hAnsiTheme="minorEastAsia"/>
          <w:bCs/>
          <w:sz w:val="24"/>
          <w:szCs w:val="24"/>
          <w:highlight w:val="none"/>
        </w:rPr>
        <w:t>;</w:t>
      </w:r>
    </w:p>
    <w:p w14:paraId="7AD0A1E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咨询电话：</w:t>
      </w:r>
      <w:r>
        <w:rPr>
          <w:rFonts w:hint="eastAsia" w:asciiTheme="minorEastAsia" w:hAnsiTheme="minorEastAsia"/>
          <w:sz w:val="24"/>
          <w:szCs w:val="24"/>
          <w:lang w:eastAsia="zh-CN"/>
        </w:rPr>
        <w:t>崔女士 18330353912</w:t>
      </w:r>
      <w:r>
        <w:rPr>
          <w:rFonts w:hint="eastAsia" w:asciiTheme="minorEastAsia" w:hAnsiTheme="minorEastAsia"/>
          <w:sz w:val="24"/>
          <w:szCs w:val="24"/>
        </w:rPr>
        <w:t>，</w:t>
      </w:r>
      <w:r>
        <w:rPr>
          <w:rFonts w:hint="eastAsia" w:asciiTheme="minorEastAsia" w:hAnsiTheme="minorEastAsia"/>
          <w:sz w:val="24"/>
          <w:szCs w:val="24"/>
          <w:lang w:eastAsia="zh-CN"/>
        </w:rPr>
        <w:t>刘先生：16601111018</w:t>
      </w:r>
      <w:r>
        <w:rPr>
          <w:rFonts w:hint="eastAsia" w:asciiTheme="minorEastAsia" w:hAnsiTheme="minorEastAsia"/>
          <w:sz w:val="24"/>
          <w:szCs w:val="24"/>
        </w:rPr>
        <w:t>；</w:t>
      </w:r>
      <w:r>
        <w:rPr>
          <w:rFonts w:asciiTheme="minorEastAsia" w:hAnsiTheme="minorEastAsia"/>
          <w:sz w:val="24"/>
          <w:szCs w:val="24"/>
        </w:rPr>
        <w:t xml:space="preserve"> </w:t>
      </w:r>
    </w:p>
    <w:p w14:paraId="44C2E9A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淘宝技术咨询：400-822-2870；</w:t>
      </w:r>
    </w:p>
    <w:p w14:paraId="7290DA6E">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法院监督电话：</w:t>
      </w:r>
      <w:r>
        <w:rPr>
          <w:rFonts w:hint="eastAsia" w:asciiTheme="minorEastAsia" w:hAnsiTheme="minorEastAsia"/>
          <w:sz w:val="24"/>
          <w:szCs w:val="24"/>
          <w:lang w:eastAsia="zh-CN"/>
        </w:rPr>
        <w:t>010-68639038</w:t>
      </w:r>
      <w:r>
        <w:rPr>
          <w:rFonts w:hint="eastAsia" w:asciiTheme="minorEastAsia" w:hAnsiTheme="minorEastAsia"/>
          <w:sz w:val="24"/>
          <w:szCs w:val="24"/>
        </w:rPr>
        <w:t>。</w:t>
      </w:r>
    </w:p>
    <w:p w14:paraId="13A61E29">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本次拍卖活动最终解释权归</w:t>
      </w:r>
      <w:r>
        <w:rPr>
          <w:rFonts w:hint="eastAsia" w:asciiTheme="minorEastAsia" w:hAnsiTheme="minorEastAsia"/>
          <w:b/>
          <w:color w:val="FF0000"/>
          <w:sz w:val="24"/>
          <w:szCs w:val="24"/>
          <w:lang w:eastAsia="zh-CN"/>
        </w:rPr>
        <w:t>北京宝护科技有限公司管理人</w:t>
      </w:r>
      <w:r>
        <w:rPr>
          <w:rFonts w:hint="eastAsia" w:asciiTheme="minorEastAsia" w:hAnsiTheme="minorEastAsia"/>
          <w:b/>
          <w:color w:val="FF0000"/>
          <w:sz w:val="24"/>
          <w:szCs w:val="24"/>
        </w:rPr>
        <w:t>所有。</w:t>
      </w:r>
    </w:p>
    <w:p w14:paraId="66DFD333">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33B6303B">
      <w:pPr>
        <w:spacing w:line="360" w:lineRule="auto"/>
        <w:ind w:firstLine="480" w:firstLineChars="200"/>
        <w:jc w:val="right"/>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北京宝护科技有限公司管理人</w:t>
      </w:r>
    </w:p>
    <w:p w14:paraId="6F652611">
      <w:pPr>
        <w:spacing w:line="360" w:lineRule="auto"/>
        <w:ind w:firstLine="480" w:firstLineChars="200"/>
        <w:jc w:val="right"/>
        <w:rPr>
          <w:rFonts w:asciiTheme="minorEastAsia" w:hAnsiTheme="minorEastAsia"/>
          <w:sz w:val="24"/>
          <w:szCs w:val="24"/>
        </w:rPr>
      </w:pPr>
    </w:p>
    <w:p w14:paraId="5DF5AD36">
      <w:pPr>
        <w:spacing w:line="360" w:lineRule="auto"/>
        <w:ind w:firstLine="480" w:firstLineChars="200"/>
        <w:jc w:val="right"/>
        <w:rPr>
          <w:rFonts w:hint="eastAsia" w:asciiTheme="minorEastAsia" w:hAnsiTheme="minorEastAsia"/>
          <w:sz w:val="24"/>
          <w:szCs w:val="24"/>
          <w:lang w:eastAsia="zh-CN"/>
        </w:rPr>
      </w:pPr>
      <w:r>
        <w:rPr>
          <w:rFonts w:hint="eastAsia" w:asciiTheme="minorEastAsia" w:hAnsiTheme="minorEastAsia"/>
          <w:sz w:val="24"/>
          <w:szCs w:val="24"/>
          <w:lang w:eastAsia="zh-CN"/>
        </w:rPr>
        <w:t>二〇二五年一月八日</w:t>
      </w:r>
    </w:p>
    <w:p w14:paraId="30E87801">
      <w:pPr>
        <w:spacing w:line="360" w:lineRule="auto"/>
        <w:ind w:firstLine="480" w:firstLineChars="200"/>
        <w:rPr>
          <w:rFonts w:hint="eastAsia" w:asciiTheme="minorEastAsia" w:hAnsiTheme="minorEastAsia"/>
          <w:sz w:val="24"/>
          <w:szCs w:val="24"/>
          <w:lang w:eastAsia="zh-CN"/>
        </w:rPr>
      </w:pPr>
    </w:p>
    <w:p w14:paraId="47427126">
      <w:pPr>
        <w:spacing w:line="360" w:lineRule="auto"/>
        <w:ind w:firstLine="480" w:firstLineChars="200"/>
        <w:rPr>
          <w:rFonts w:asciiTheme="minorEastAsia" w:hAnsiTheme="minorEastAsia"/>
          <w:sz w:val="24"/>
          <w:szCs w:val="24"/>
        </w:rPr>
      </w:pPr>
    </w:p>
    <w:p w14:paraId="6D741F3E">
      <w:pPr>
        <w:spacing w:line="360" w:lineRule="auto"/>
        <w:ind w:firstLine="480" w:firstLineChars="200"/>
        <w:rPr>
          <w:rFonts w:asciiTheme="minorEastAsia" w:hAnsiTheme="minorEastAsia"/>
          <w:sz w:val="24"/>
          <w:szCs w:val="24"/>
        </w:rPr>
      </w:pPr>
    </w:p>
    <w:tbl>
      <w:tblPr>
        <w:tblStyle w:val="7"/>
        <w:tblW w:w="0" w:type="auto"/>
        <w:tblInd w:w="0" w:type="dxa"/>
        <w:tblLayout w:type="fixed"/>
        <w:tblCellMar>
          <w:top w:w="0" w:type="dxa"/>
          <w:left w:w="10" w:type="dxa"/>
          <w:bottom w:w="0" w:type="dxa"/>
          <w:right w:w="10" w:type="dxa"/>
        </w:tblCellMar>
      </w:tblPr>
      <w:tblGrid>
        <w:gridCol w:w="2985"/>
        <w:gridCol w:w="819"/>
        <w:gridCol w:w="1989"/>
        <w:gridCol w:w="1014"/>
        <w:gridCol w:w="1799"/>
      </w:tblGrid>
      <w:tr w14:paraId="0B520818">
        <w:tblPrEx>
          <w:tblCellMar>
            <w:top w:w="0" w:type="dxa"/>
            <w:left w:w="10" w:type="dxa"/>
            <w:bottom w:w="0" w:type="dxa"/>
            <w:right w:w="10" w:type="dxa"/>
          </w:tblCellMar>
        </w:tblPrEx>
        <w:tc>
          <w:tcPr>
            <w:tcW w:w="8606" w:type="dxa"/>
            <w:gridSpan w:val="5"/>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77CCEAA1">
            <w:pPr>
              <w:spacing w:line="360" w:lineRule="auto"/>
              <w:jc w:val="center"/>
              <w:rPr>
                <w:rFonts w:ascii="宋体" w:hAnsi="宋体"/>
              </w:rPr>
            </w:pPr>
            <w:r>
              <w:rPr>
                <w:rFonts w:ascii="宋体" w:hAnsi="宋体"/>
                <w:b/>
                <w:color w:val="000000"/>
                <w:sz w:val="24"/>
              </w:rPr>
              <w:t>标的物调查表</w:t>
            </w:r>
          </w:p>
        </w:tc>
      </w:tr>
      <w:tr w14:paraId="48589FA9">
        <w:tblPrEx>
          <w:tblCellMar>
            <w:top w:w="0" w:type="dxa"/>
            <w:left w:w="10" w:type="dxa"/>
            <w:bottom w:w="0" w:type="dxa"/>
            <w:right w:w="10" w:type="dxa"/>
          </w:tblCellMar>
        </w:tblPrEx>
        <w:tc>
          <w:tcPr>
            <w:tcW w:w="8606" w:type="dxa"/>
            <w:gridSpan w:val="5"/>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650D3FE2">
            <w:pPr>
              <w:spacing w:line="360" w:lineRule="auto"/>
              <w:ind w:firstLine="480"/>
              <w:jc w:val="center"/>
              <w:rPr>
                <w:rFonts w:ascii="宋体" w:hAnsi="宋体"/>
              </w:rPr>
            </w:pPr>
            <w:r>
              <w:rPr>
                <w:rFonts w:hint="eastAsia" w:ascii="宋体" w:hAnsi="宋体"/>
                <w:sz w:val="24"/>
                <w:lang w:eastAsia="zh-CN"/>
              </w:rPr>
              <w:t>北京宝护科技有限公司持有的天津家宝医疗器械有限公司100%的股份</w:t>
            </w:r>
          </w:p>
        </w:tc>
      </w:tr>
      <w:tr w14:paraId="7DF4AD66">
        <w:tblPrEx>
          <w:tblCellMar>
            <w:top w:w="0" w:type="dxa"/>
            <w:left w:w="10" w:type="dxa"/>
            <w:bottom w:w="0" w:type="dxa"/>
            <w:right w:w="10" w:type="dxa"/>
          </w:tblCellMar>
        </w:tblPrEx>
        <w:tc>
          <w:tcPr>
            <w:tcW w:w="3804" w:type="dxa"/>
            <w:gridSpan w:val="2"/>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0AF1F914">
            <w:pPr>
              <w:spacing w:line="360" w:lineRule="auto"/>
              <w:jc w:val="left"/>
              <w:rPr>
                <w:rFonts w:ascii="宋体" w:hAnsi="宋体"/>
              </w:rPr>
            </w:pPr>
            <w:r>
              <w:rPr>
                <w:rFonts w:ascii="宋体" w:hAnsi="宋体"/>
                <w:color w:val="000000"/>
                <w:sz w:val="24"/>
              </w:rPr>
              <w:t>企业名称</w:t>
            </w:r>
          </w:p>
        </w:tc>
        <w:tc>
          <w:tcPr>
            <w:tcW w:w="1989"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7FED3034">
            <w:pPr>
              <w:spacing w:line="360" w:lineRule="auto"/>
              <w:jc w:val="left"/>
              <w:rPr>
                <w:rFonts w:hint="eastAsia" w:ascii="宋体" w:hAnsi="宋体" w:eastAsiaTheme="minorEastAsia"/>
                <w:lang w:eastAsia="zh-CN"/>
              </w:rPr>
            </w:pPr>
            <w:r>
              <w:rPr>
                <w:rFonts w:hint="eastAsia" w:ascii="宋体" w:hAnsi="宋体"/>
                <w:sz w:val="24"/>
                <w:lang w:eastAsia="zh-CN"/>
              </w:rPr>
              <w:t>天津家宝医疗器械有限公司</w:t>
            </w:r>
          </w:p>
        </w:tc>
        <w:tc>
          <w:tcPr>
            <w:tcW w:w="1014"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495F4715">
            <w:pPr>
              <w:spacing w:line="360" w:lineRule="auto"/>
              <w:jc w:val="left"/>
              <w:rPr>
                <w:rFonts w:ascii="宋体" w:hAnsi="宋体"/>
              </w:rPr>
            </w:pPr>
            <w:r>
              <w:rPr>
                <w:rFonts w:ascii="宋体" w:hAnsi="宋体"/>
                <w:color w:val="000000"/>
                <w:sz w:val="24"/>
              </w:rPr>
              <w:t>人员规模</w:t>
            </w:r>
          </w:p>
        </w:tc>
        <w:tc>
          <w:tcPr>
            <w:tcW w:w="1799"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3B27B918">
            <w:pPr>
              <w:spacing w:line="360" w:lineRule="auto"/>
              <w:jc w:val="left"/>
              <w:rPr>
                <w:rFonts w:ascii="宋体" w:hAnsi="宋体"/>
                <w:color w:val="333333"/>
                <w:sz w:val="24"/>
              </w:rPr>
            </w:pPr>
            <w:r>
              <w:rPr>
                <w:rFonts w:ascii="宋体" w:hAnsi="宋体"/>
                <w:color w:val="000000"/>
                <w:sz w:val="24"/>
              </w:rPr>
              <w:t>-</w:t>
            </w:r>
          </w:p>
        </w:tc>
      </w:tr>
      <w:tr w14:paraId="42792142">
        <w:tblPrEx>
          <w:tblCellMar>
            <w:top w:w="0" w:type="dxa"/>
            <w:left w:w="10" w:type="dxa"/>
            <w:bottom w:w="0" w:type="dxa"/>
            <w:right w:w="10" w:type="dxa"/>
          </w:tblCellMar>
        </w:tblPrEx>
        <w:tc>
          <w:tcPr>
            <w:tcW w:w="3804" w:type="dxa"/>
            <w:gridSpan w:val="2"/>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2EAD2089">
            <w:pPr>
              <w:spacing w:line="360" w:lineRule="auto"/>
              <w:jc w:val="left"/>
              <w:rPr>
                <w:rFonts w:ascii="宋体" w:hAnsi="宋体"/>
              </w:rPr>
            </w:pPr>
            <w:r>
              <w:rPr>
                <w:rFonts w:ascii="宋体" w:hAnsi="宋体"/>
                <w:color w:val="000000"/>
                <w:sz w:val="24"/>
              </w:rPr>
              <w:t>法定代表人</w:t>
            </w:r>
          </w:p>
        </w:tc>
        <w:tc>
          <w:tcPr>
            <w:tcW w:w="1989"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3EF9A936">
            <w:pPr>
              <w:jc w:val="left"/>
              <w:rPr>
                <w:rFonts w:hint="eastAsia" w:ascii="宋体" w:hAnsi="宋体" w:eastAsiaTheme="minorEastAsia"/>
                <w:color w:val="333333"/>
                <w:sz w:val="24"/>
                <w:lang w:eastAsia="zh-CN"/>
              </w:rPr>
            </w:pPr>
            <w:r>
              <w:rPr>
                <w:rFonts w:hint="eastAsia" w:ascii="宋体" w:hAnsi="宋体"/>
                <w:color w:val="333333"/>
                <w:sz w:val="24"/>
                <w:lang w:eastAsia="zh-CN"/>
              </w:rPr>
              <w:t>陈海亮</w:t>
            </w:r>
          </w:p>
        </w:tc>
        <w:tc>
          <w:tcPr>
            <w:tcW w:w="1014"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0ADD423B">
            <w:pPr>
              <w:spacing w:line="360" w:lineRule="auto"/>
              <w:jc w:val="left"/>
              <w:rPr>
                <w:rFonts w:hint="eastAsia" w:ascii="宋体" w:hAnsi="宋体" w:eastAsiaTheme="minorEastAsia"/>
                <w:lang w:eastAsia="zh-CN"/>
              </w:rPr>
            </w:pPr>
            <w:r>
              <w:rPr>
                <w:rFonts w:hint="eastAsia" w:ascii="宋体" w:hAnsi="宋体"/>
                <w:color w:val="000000"/>
                <w:sz w:val="24"/>
                <w:lang w:val="en-US" w:eastAsia="zh-CN"/>
              </w:rPr>
              <w:t>营业日期</w:t>
            </w:r>
          </w:p>
        </w:tc>
        <w:tc>
          <w:tcPr>
            <w:tcW w:w="1799"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65427B17">
            <w:pPr>
              <w:spacing w:line="360" w:lineRule="auto"/>
              <w:jc w:val="left"/>
              <w:rPr>
                <w:rFonts w:ascii="宋体" w:hAnsi="宋体"/>
              </w:rPr>
            </w:pPr>
            <w:r>
              <w:rPr>
                <w:rFonts w:hint="eastAsia" w:ascii="宋体" w:hAnsi="宋体"/>
              </w:rPr>
              <w:t>2016-08-10至2046-08-09</w:t>
            </w:r>
          </w:p>
        </w:tc>
      </w:tr>
      <w:tr w14:paraId="146E5A96">
        <w:tblPrEx>
          <w:tblCellMar>
            <w:top w:w="0" w:type="dxa"/>
            <w:left w:w="10" w:type="dxa"/>
            <w:bottom w:w="0" w:type="dxa"/>
            <w:right w:w="10" w:type="dxa"/>
          </w:tblCellMar>
        </w:tblPrEx>
        <w:tc>
          <w:tcPr>
            <w:tcW w:w="3804" w:type="dxa"/>
            <w:gridSpan w:val="2"/>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3BFDBD24">
            <w:pPr>
              <w:spacing w:line="360" w:lineRule="auto"/>
              <w:jc w:val="left"/>
              <w:rPr>
                <w:rFonts w:ascii="宋体" w:hAnsi="宋体"/>
              </w:rPr>
            </w:pPr>
            <w:r>
              <w:rPr>
                <w:rFonts w:ascii="宋体" w:hAnsi="宋体"/>
                <w:color w:val="000000"/>
                <w:sz w:val="24"/>
              </w:rPr>
              <w:t>注册资本</w:t>
            </w:r>
          </w:p>
        </w:tc>
        <w:tc>
          <w:tcPr>
            <w:tcW w:w="4802" w:type="dxa"/>
            <w:gridSpan w:val="3"/>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104DD197">
            <w:pPr>
              <w:spacing w:line="360" w:lineRule="auto"/>
              <w:jc w:val="left"/>
              <w:rPr>
                <w:rFonts w:hint="eastAsia" w:ascii="宋体" w:hAnsi="宋体" w:eastAsiaTheme="minorEastAsia"/>
                <w:lang w:eastAsia="zh-CN"/>
              </w:rPr>
            </w:pPr>
            <w:r>
              <w:rPr>
                <w:rFonts w:hint="eastAsia" w:ascii="宋体" w:hAnsi="宋体"/>
                <w:lang w:eastAsia="zh-CN"/>
              </w:rPr>
              <w:t>100万人民币</w:t>
            </w:r>
          </w:p>
        </w:tc>
      </w:tr>
      <w:tr w14:paraId="0BE37E99">
        <w:tblPrEx>
          <w:tblCellMar>
            <w:top w:w="0" w:type="dxa"/>
            <w:left w:w="10" w:type="dxa"/>
            <w:bottom w:w="0" w:type="dxa"/>
            <w:right w:w="10" w:type="dxa"/>
          </w:tblCellMar>
        </w:tblPrEx>
        <w:tc>
          <w:tcPr>
            <w:tcW w:w="3804" w:type="dxa"/>
            <w:gridSpan w:val="2"/>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6895DFF7">
            <w:pPr>
              <w:spacing w:line="360" w:lineRule="auto"/>
              <w:jc w:val="left"/>
              <w:rPr>
                <w:rFonts w:ascii="宋体" w:hAnsi="宋体"/>
              </w:rPr>
            </w:pPr>
            <w:r>
              <w:rPr>
                <w:rFonts w:ascii="宋体" w:hAnsi="宋体"/>
                <w:color w:val="000000"/>
                <w:sz w:val="24"/>
              </w:rPr>
              <w:t>统一社会信用代码</w:t>
            </w:r>
          </w:p>
        </w:tc>
        <w:tc>
          <w:tcPr>
            <w:tcW w:w="4802" w:type="dxa"/>
            <w:gridSpan w:val="3"/>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58BDFEC4">
            <w:pPr>
              <w:spacing w:line="360" w:lineRule="auto"/>
              <w:jc w:val="left"/>
              <w:rPr>
                <w:rFonts w:hint="eastAsia" w:ascii="宋体" w:hAnsi="宋体" w:eastAsiaTheme="minorEastAsia"/>
                <w:lang w:eastAsia="zh-CN"/>
              </w:rPr>
            </w:pPr>
            <w:r>
              <w:rPr>
                <w:rFonts w:hint="eastAsia" w:ascii="宋体" w:hAnsi="宋体"/>
                <w:lang w:eastAsia="zh-CN"/>
              </w:rPr>
              <w:t>91120116MA05KN521H</w:t>
            </w:r>
          </w:p>
        </w:tc>
      </w:tr>
      <w:tr w14:paraId="0454075B">
        <w:tblPrEx>
          <w:tblCellMar>
            <w:top w:w="0" w:type="dxa"/>
            <w:left w:w="10" w:type="dxa"/>
            <w:bottom w:w="0" w:type="dxa"/>
            <w:right w:w="10" w:type="dxa"/>
          </w:tblCellMar>
        </w:tblPrEx>
        <w:trPr>
          <w:trHeight w:val="3542" w:hRule="atLeast"/>
        </w:trPr>
        <w:tc>
          <w:tcPr>
            <w:tcW w:w="8606" w:type="dxa"/>
            <w:gridSpan w:val="5"/>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77916254">
            <w:pPr>
              <w:spacing w:line="360" w:lineRule="auto"/>
              <w:jc w:val="center"/>
              <w:rPr>
                <w:rFonts w:ascii="宋体" w:hAnsi="宋体"/>
                <w:color w:val="000000"/>
                <w:sz w:val="24"/>
              </w:rPr>
            </w:pPr>
            <w:r>
              <w:rPr>
                <w:rFonts w:hint="eastAsia" w:ascii="宋体" w:hAnsi="宋体"/>
                <w:color w:val="000000"/>
                <w:sz w:val="24"/>
              </w:rPr>
              <w:t>股东及出资信息</w:t>
            </w:r>
          </w:p>
          <w:tbl>
            <w:tblPr>
              <w:tblStyle w:val="7"/>
              <w:tblW w:w="7836" w:type="dxa"/>
              <w:tblInd w:w="0" w:type="dxa"/>
              <w:tblLayout w:type="fixed"/>
              <w:tblCellMar>
                <w:top w:w="0" w:type="dxa"/>
                <w:left w:w="108" w:type="dxa"/>
                <w:bottom w:w="0" w:type="dxa"/>
                <w:right w:w="108" w:type="dxa"/>
              </w:tblCellMar>
            </w:tblPr>
            <w:tblGrid>
              <w:gridCol w:w="573"/>
              <w:gridCol w:w="1662"/>
              <w:gridCol w:w="1394"/>
              <w:gridCol w:w="2238"/>
              <w:gridCol w:w="1969"/>
            </w:tblGrid>
            <w:tr w14:paraId="34697704">
              <w:tblPrEx>
                <w:tblCellMar>
                  <w:top w:w="0" w:type="dxa"/>
                  <w:left w:w="108" w:type="dxa"/>
                  <w:bottom w:w="0" w:type="dxa"/>
                  <w:right w:w="108" w:type="dxa"/>
                </w:tblCellMar>
              </w:tblPrEx>
              <w:trPr>
                <w:trHeight w:val="800" w:hRule="atLeast"/>
              </w:trPr>
              <w:tc>
                <w:tcPr>
                  <w:tcW w:w="57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347678">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序号</w:t>
                  </w:r>
                </w:p>
              </w:tc>
              <w:tc>
                <w:tcPr>
                  <w:tcW w:w="1662" w:type="dxa"/>
                  <w:tcBorders>
                    <w:top w:val="single" w:color="auto" w:sz="4" w:space="0"/>
                    <w:left w:val="nil"/>
                    <w:bottom w:val="single" w:color="auto" w:sz="4" w:space="0"/>
                    <w:right w:val="single" w:color="auto" w:sz="4" w:space="0"/>
                  </w:tcBorders>
                  <w:shd w:val="clear" w:color="auto" w:fill="auto"/>
                  <w:noWrap/>
                  <w:vAlign w:val="center"/>
                </w:tcPr>
                <w:p w14:paraId="0C60A729">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股东名称</w:t>
                  </w:r>
                </w:p>
              </w:tc>
              <w:tc>
                <w:tcPr>
                  <w:tcW w:w="1394" w:type="dxa"/>
                  <w:tcBorders>
                    <w:top w:val="single" w:color="auto" w:sz="4" w:space="0"/>
                    <w:left w:val="nil"/>
                    <w:bottom w:val="single" w:color="auto" w:sz="4" w:space="0"/>
                    <w:right w:val="single" w:color="auto" w:sz="4" w:space="0"/>
                  </w:tcBorders>
                  <w:shd w:val="clear" w:color="auto" w:fill="auto"/>
                  <w:noWrap/>
                  <w:vAlign w:val="center"/>
                </w:tcPr>
                <w:p w14:paraId="47798CB2">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持股比例</w:t>
                  </w:r>
                </w:p>
              </w:tc>
              <w:tc>
                <w:tcPr>
                  <w:tcW w:w="2238" w:type="dxa"/>
                  <w:tcBorders>
                    <w:top w:val="single" w:color="auto" w:sz="4" w:space="0"/>
                    <w:left w:val="nil"/>
                    <w:bottom w:val="single" w:color="auto" w:sz="4" w:space="0"/>
                    <w:right w:val="single" w:color="auto" w:sz="4" w:space="0"/>
                  </w:tcBorders>
                  <w:shd w:val="clear" w:color="auto" w:fill="auto"/>
                  <w:noWrap/>
                  <w:vAlign w:val="center"/>
                </w:tcPr>
                <w:p w14:paraId="6BED9F36">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认缴出资额</w:t>
                  </w:r>
                </w:p>
              </w:tc>
              <w:tc>
                <w:tcPr>
                  <w:tcW w:w="1969" w:type="dxa"/>
                  <w:tcBorders>
                    <w:top w:val="single" w:color="auto" w:sz="4" w:space="0"/>
                    <w:left w:val="nil"/>
                    <w:bottom w:val="single" w:color="auto" w:sz="4" w:space="0"/>
                    <w:right w:val="single" w:color="auto" w:sz="4" w:space="0"/>
                  </w:tcBorders>
                  <w:shd w:val="clear" w:color="auto" w:fill="auto"/>
                  <w:noWrap/>
                  <w:vAlign w:val="center"/>
                </w:tcPr>
                <w:p w14:paraId="764A25D3">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认缴出资日期</w:t>
                  </w:r>
                </w:p>
              </w:tc>
            </w:tr>
            <w:tr w14:paraId="1CE9E80E">
              <w:tblPrEx>
                <w:tblCellMar>
                  <w:top w:w="0" w:type="dxa"/>
                  <w:left w:w="108" w:type="dxa"/>
                  <w:bottom w:w="0" w:type="dxa"/>
                  <w:right w:w="108" w:type="dxa"/>
                </w:tblCellMar>
              </w:tblPrEx>
              <w:trPr>
                <w:trHeight w:val="820" w:hRule="atLeast"/>
              </w:trPr>
              <w:tc>
                <w:tcPr>
                  <w:tcW w:w="573" w:type="dxa"/>
                  <w:tcBorders>
                    <w:top w:val="nil"/>
                    <w:left w:val="single" w:color="auto" w:sz="4" w:space="0"/>
                    <w:bottom w:val="single" w:color="auto" w:sz="4" w:space="0"/>
                    <w:right w:val="single" w:color="auto" w:sz="4" w:space="0"/>
                  </w:tcBorders>
                  <w:shd w:val="clear" w:color="auto" w:fill="auto"/>
                  <w:noWrap/>
                  <w:vAlign w:val="center"/>
                </w:tcPr>
                <w:p w14:paraId="732BE209">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1662" w:type="dxa"/>
                  <w:tcBorders>
                    <w:top w:val="nil"/>
                    <w:left w:val="nil"/>
                    <w:bottom w:val="single" w:color="auto" w:sz="4" w:space="0"/>
                    <w:right w:val="single" w:color="auto" w:sz="4" w:space="0"/>
                  </w:tcBorders>
                  <w:shd w:val="clear" w:color="auto" w:fill="auto"/>
                  <w:noWrap/>
                  <w:vAlign w:val="center"/>
                </w:tcPr>
                <w:p w14:paraId="0E54D908">
                  <w:pPr>
                    <w:widowControl/>
                    <w:jc w:val="left"/>
                    <w:textAlignment w:val="center"/>
                    <w:rPr>
                      <w:rFonts w:hint="eastAsia" w:ascii="宋体" w:hAnsi="宋体" w:eastAsia="宋体" w:cs="宋体"/>
                      <w:color w:val="000000"/>
                      <w:sz w:val="24"/>
                      <w:szCs w:val="24"/>
                      <w:lang w:eastAsia="zh-CN"/>
                    </w:rPr>
                  </w:pPr>
                  <w:r>
                    <w:rPr>
                      <w:rFonts w:hint="eastAsia" w:ascii="宋体" w:hAnsi="宋体" w:eastAsia="宋体" w:cs="宋体"/>
                      <w:color w:val="000000"/>
                      <w:kern w:val="0"/>
                      <w:sz w:val="24"/>
                      <w:szCs w:val="24"/>
                      <w:lang w:eastAsia="zh-CN" w:bidi="ar"/>
                    </w:rPr>
                    <w:t>北京宝护科技有限公司</w:t>
                  </w:r>
                </w:p>
              </w:tc>
              <w:tc>
                <w:tcPr>
                  <w:tcW w:w="1394" w:type="dxa"/>
                  <w:tcBorders>
                    <w:top w:val="nil"/>
                    <w:left w:val="nil"/>
                    <w:bottom w:val="single" w:color="auto" w:sz="4" w:space="0"/>
                    <w:right w:val="single" w:color="auto" w:sz="4" w:space="0"/>
                  </w:tcBorders>
                  <w:shd w:val="clear" w:color="auto" w:fill="auto"/>
                  <w:noWrap/>
                  <w:vAlign w:val="center"/>
                </w:tcPr>
                <w:p w14:paraId="2732946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100</w:t>
                  </w:r>
                  <w:r>
                    <w:rPr>
                      <w:rFonts w:hint="eastAsia" w:ascii="宋体" w:hAnsi="宋体" w:eastAsia="宋体" w:cs="宋体"/>
                      <w:color w:val="000000"/>
                      <w:kern w:val="0"/>
                      <w:sz w:val="24"/>
                      <w:szCs w:val="24"/>
                      <w:lang w:bidi="ar"/>
                    </w:rPr>
                    <w:t>%</w:t>
                  </w:r>
                </w:p>
              </w:tc>
              <w:tc>
                <w:tcPr>
                  <w:tcW w:w="2238" w:type="dxa"/>
                  <w:tcBorders>
                    <w:top w:val="nil"/>
                    <w:left w:val="nil"/>
                    <w:bottom w:val="single" w:color="auto" w:sz="4" w:space="0"/>
                    <w:right w:val="single" w:color="auto" w:sz="4" w:space="0"/>
                  </w:tcBorders>
                  <w:shd w:val="clear" w:color="auto" w:fill="auto"/>
                  <w:noWrap/>
                  <w:vAlign w:val="center"/>
                </w:tcPr>
                <w:p w14:paraId="4B28E08F">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100</w:t>
                  </w:r>
                  <w:r>
                    <w:rPr>
                      <w:rFonts w:hint="eastAsia" w:ascii="宋体" w:hAnsi="宋体" w:eastAsia="宋体" w:cs="宋体"/>
                      <w:color w:val="000000"/>
                      <w:kern w:val="0"/>
                      <w:sz w:val="24"/>
                      <w:szCs w:val="24"/>
                      <w:lang w:bidi="ar"/>
                    </w:rPr>
                    <w:t>万元人民币</w:t>
                  </w:r>
                </w:p>
              </w:tc>
              <w:tc>
                <w:tcPr>
                  <w:tcW w:w="1969" w:type="dxa"/>
                  <w:tcBorders>
                    <w:top w:val="nil"/>
                    <w:left w:val="nil"/>
                    <w:bottom w:val="single" w:color="auto" w:sz="4" w:space="0"/>
                    <w:right w:val="single" w:color="auto" w:sz="4" w:space="0"/>
                  </w:tcBorders>
                  <w:shd w:val="clear" w:color="auto" w:fill="auto"/>
                  <w:noWrap/>
                  <w:vAlign w:val="center"/>
                </w:tcPr>
                <w:p w14:paraId="2BD61E26">
                  <w:pPr>
                    <w:widowControl/>
                    <w:jc w:val="left"/>
                    <w:textAlignment w:val="center"/>
                    <w:rPr>
                      <w:rFonts w:hint="default" w:ascii="宋体" w:hAnsi="宋体" w:eastAsia="宋体" w:cs="宋体"/>
                      <w:color w:val="000000"/>
                      <w:sz w:val="24"/>
                      <w:szCs w:val="24"/>
                      <w:lang w:val="en-US" w:eastAsia="zh-CN"/>
                    </w:rPr>
                  </w:pPr>
                  <w:r>
                    <w:rPr>
                      <w:rFonts w:hint="default" w:ascii="宋体" w:hAnsi="宋体" w:eastAsia="宋体" w:cs="宋体"/>
                      <w:color w:val="000000"/>
                      <w:sz w:val="24"/>
                      <w:szCs w:val="24"/>
                      <w:lang w:val="en-US" w:eastAsia="zh-CN"/>
                    </w:rPr>
                    <w:t>2045-08-10</w:t>
                  </w:r>
                </w:p>
              </w:tc>
            </w:tr>
          </w:tbl>
          <w:p w14:paraId="53E3D5A6">
            <w:pPr>
              <w:spacing w:line="360" w:lineRule="auto"/>
              <w:jc w:val="center"/>
              <w:rPr>
                <w:rFonts w:ascii="宋体" w:hAnsi="宋体"/>
                <w:color w:val="000000"/>
                <w:sz w:val="24"/>
              </w:rPr>
            </w:pPr>
          </w:p>
          <w:p w14:paraId="1028B27C">
            <w:pPr>
              <w:spacing w:line="360" w:lineRule="auto"/>
              <w:jc w:val="center"/>
              <w:rPr>
                <w:rFonts w:ascii="宋体" w:hAnsi="宋体"/>
              </w:rPr>
            </w:pPr>
          </w:p>
        </w:tc>
      </w:tr>
      <w:tr w14:paraId="73266D98">
        <w:tblPrEx>
          <w:tblCellMar>
            <w:top w:w="0" w:type="dxa"/>
            <w:left w:w="10" w:type="dxa"/>
            <w:bottom w:w="0" w:type="dxa"/>
            <w:right w:w="10" w:type="dxa"/>
          </w:tblCellMar>
        </w:tblPrEx>
        <w:tc>
          <w:tcPr>
            <w:tcW w:w="2985"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317C5B72">
            <w:pPr>
              <w:spacing w:line="360" w:lineRule="auto"/>
              <w:jc w:val="left"/>
              <w:rPr>
                <w:rFonts w:ascii="宋体" w:hAnsi="宋体"/>
              </w:rPr>
            </w:pPr>
            <w:r>
              <w:rPr>
                <w:rFonts w:ascii="宋体" w:hAnsi="宋体"/>
                <w:color w:val="000000"/>
                <w:sz w:val="24"/>
              </w:rPr>
              <w:t>所属行业</w:t>
            </w:r>
          </w:p>
        </w:tc>
        <w:tc>
          <w:tcPr>
            <w:tcW w:w="5621" w:type="dxa"/>
            <w:gridSpan w:val="4"/>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0ACCF02C">
            <w:pPr>
              <w:spacing w:line="360" w:lineRule="auto"/>
              <w:jc w:val="left"/>
              <w:rPr>
                <w:rFonts w:hint="eastAsia" w:ascii="宋体" w:hAnsi="宋体" w:eastAsiaTheme="minorEastAsia"/>
                <w:lang w:eastAsia="zh-CN"/>
              </w:rPr>
            </w:pPr>
            <w:r>
              <w:rPr>
                <w:rFonts w:hint="eastAsia" w:ascii="宋体" w:hAnsi="宋体"/>
                <w:lang w:eastAsia="zh-CN"/>
              </w:rPr>
              <w:t>专用设备制造业</w:t>
            </w:r>
          </w:p>
        </w:tc>
      </w:tr>
      <w:tr w14:paraId="0E80BF44">
        <w:tblPrEx>
          <w:tblCellMar>
            <w:top w:w="0" w:type="dxa"/>
            <w:left w:w="10" w:type="dxa"/>
            <w:bottom w:w="0" w:type="dxa"/>
            <w:right w:w="10" w:type="dxa"/>
          </w:tblCellMar>
        </w:tblPrEx>
        <w:tc>
          <w:tcPr>
            <w:tcW w:w="2985"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24476777">
            <w:pPr>
              <w:spacing w:line="360" w:lineRule="auto"/>
              <w:jc w:val="left"/>
              <w:rPr>
                <w:rFonts w:ascii="宋体" w:hAnsi="宋体"/>
              </w:rPr>
            </w:pPr>
            <w:r>
              <w:rPr>
                <w:rFonts w:ascii="宋体" w:hAnsi="宋体"/>
                <w:color w:val="000000"/>
                <w:sz w:val="24"/>
              </w:rPr>
              <w:t>注册地址</w:t>
            </w:r>
          </w:p>
        </w:tc>
        <w:tc>
          <w:tcPr>
            <w:tcW w:w="5621" w:type="dxa"/>
            <w:gridSpan w:val="4"/>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625914D3">
            <w:pPr>
              <w:spacing w:line="360" w:lineRule="auto"/>
              <w:jc w:val="left"/>
              <w:rPr>
                <w:rFonts w:hint="eastAsia" w:ascii="宋体" w:hAnsi="宋体" w:eastAsiaTheme="minorEastAsia"/>
                <w:lang w:eastAsia="zh-CN"/>
              </w:rPr>
            </w:pPr>
            <w:r>
              <w:rPr>
                <w:rFonts w:hint="eastAsia" w:ascii="宋体" w:hAnsi="宋体"/>
                <w:lang w:eastAsia="zh-CN"/>
              </w:rPr>
              <w:t>天津市滨海新区临港经济区海港创业园1-3,4-402</w:t>
            </w:r>
          </w:p>
        </w:tc>
      </w:tr>
      <w:tr w14:paraId="6FD4F1B6">
        <w:tblPrEx>
          <w:tblCellMar>
            <w:top w:w="0" w:type="dxa"/>
            <w:left w:w="10" w:type="dxa"/>
            <w:bottom w:w="0" w:type="dxa"/>
            <w:right w:w="10" w:type="dxa"/>
          </w:tblCellMar>
        </w:tblPrEx>
        <w:tc>
          <w:tcPr>
            <w:tcW w:w="2985"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7C365AA8">
            <w:pPr>
              <w:spacing w:line="360" w:lineRule="auto"/>
              <w:jc w:val="left"/>
              <w:rPr>
                <w:rFonts w:ascii="宋体" w:hAnsi="宋体"/>
              </w:rPr>
            </w:pPr>
            <w:r>
              <w:rPr>
                <w:rFonts w:ascii="宋体" w:hAnsi="宋体"/>
                <w:color w:val="000000"/>
                <w:sz w:val="24"/>
              </w:rPr>
              <w:t>经营范围</w:t>
            </w:r>
          </w:p>
        </w:tc>
        <w:tc>
          <w:tcPr>
            <w:tcW w:w="5621" w:type="dxa"/>
            <w:gridSpan w:val="4"/>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4C40DFC2">
            <w:pPr>
              <w:spacing w:line="360" w:lineRule="auto"/>
              <w:jc w:val="left"/>
              <w:rPr>
                <w:rFonts w:ascii="宋体" w:hAnsi="宋体"/>
              </w:rPr>
            </w:pPr>
            <w:r>
              <w:rPr>
                <w:rFonts w:hint="eastAsia" w:ascii="宋体" w:hAnsi="宋体"/>
                <w:lang w:eastAsia="zh-CN"/>
              </w:rPr>
              <w:t>一、二类医疗器械生产；一、二类医疗器械零售；电子产品的生产；电子产品技术开发、技术转让、技术咨询、技术服务；通讯设备、计算机软硬件及辅助设备销售；软件设计；软件开发；基础软件服务；应用软件服务；计算机系统服务；数据处理。（依法须经批准的项目，经相关部门批准后方可开展经营活动）</w:t>
            </w:r>
            <w:r>
              <w:rPr>
                <w:rFonts w:hint="eastAsia" w:ascii="宋体" w:hAnsi="宋体"/>
              </w:rPr>
              <w:t>准的项目，经相关部门批准后方可开展经营活动）</w:t>
            </w:r>
          </w:p>
        </w:tc>
      </w:tr>
      <w:tr w14:paraId="43EF7D1F">
        <w:tblPrEx>
          <w:tblCellMar>
            <w:top w:w="0" w:type="dxa"/>
            <w:left w:w="10" w:type="dxa"/>
            <w:bottom w:w="0" w:type="dxa"/>
            <w:right w:w="10" w:type="dxa"/>
          </w:tblCellMar>
        </w:tblPrEx>
        <w:tc>
          <w:tcPr>
            <w:tcW w:w="8606" w:type="dxa"/>
            <w:gridSpan w:val="5"/>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5749C3F5">
            <w:pPr>
              <w:spacing w:line="360" w:lineRule="auto"/>
              <w:jc w:val="center"/>
              <w:rPr>
                <w:rFonts w:ascii="宋体" w:hAnsi="宋体"/>
              </w:rPr>
            </w:pPr>
            <w:r>
              <w:rPr>
                <w:rFonts w:ascii="宋体" w:hAnsi="宋体"/>
                <w:b/>
                <w:color w:val="FF0000"/>
                <w:sz w:val="24"/>
              </w:rPr>
              <w:t>（该信息仅供参考，具体以标的物现状为准。）</w:t>
            </w:r>
          </w:p>
        </w:tc>
      </w:tr>
      <w:tr w14:paraId="3E69804F">
        <w:tblPrEx>
          <w:tblCellMar>
            <w:top w:w="0" w:type="dxa"/>
            <w:left w:w="10" w:type="dxa"/>
            <w:bottom w:w="0" w:type="dxa"/>
            <w:right w:w="10" w:type="dxa"/>
          </w:tblCellMar>
        </w:tblPrEx>
        <w:tc>
          <w:tcPr>
            <w:tcW w:w="8606" w:type="dxa"/>
            <w:gridSpan w:val="5"/>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7BA4E04D">
            <w:pPr>
              <w:spacing w:line="360" w:lineRule="auto"/>
              <w:jc w:val="center"/>
              <w:rPr>
                <w:rFonts w:asciiTheme="minorEastAsia" w:hAnsiTheme="minorEastAsia"/>
                <w:b/>
                <w:bCs/>
                <w:color w:val="FF0000"/>
                <w:sz w:val="24"/>
                <w:szCs w:val="24"/>
              </w:rPr>
            </w:pPr>
            <w:r>
              <w:rPr>
                <w:rFonts w:hint="eastAsia" w:asciiTheme="minorEastAsia" w:hAnsiTheme="minorEastAsia"/>
                <w:b/>
                <w:bCs/>
                <w:color w:val="FF0000"/>
                <w:sz w:val="24"/>
                <w:szCs w:val="24"/>
              </w:rPr>
              <w:t>标的物特别情况说明：</w:t>
            </w:r>
          </w:p>
          <w:p w14:paraId="649790E1">
            <w:pPr>
              <w:spacing w:before="100" w:after="100" w:line="360" w:lineRule="auto"/>
              <w:ind w:firstLine="480"/>
              <w:jc w:val="left"/>
              <w:rPr>
                <w:rFonts w:ascii="宋体" w:hAnsi="宋体"/>
                <w:color w:val="FF0000"/>
                <w:sz w:val="24"/>
                <w:shd w:val="clear" w:color="auto" w:fill="FFFFFF"/>
              </w:rPr>
            </w:pPr>
            <w:r>
              <w:rPr>
                <w:rFonts w:hint="eastAsia" w:ascii="宋体" w:hAnsi="宋体"/>
                <w:color w:val="FF0000"/>
                <w:sz w:val="24"/>
                <w:shd w:val="clear" w:color="auto" w:fill="FFFFFF"/>
              </w:rPr>
              <w:t>1</w:t>
            </w:r>
            <w:r>
              <w:rPr>
                <w:rFonts w:ascii="宋体" w:hAnsi="宋体"/>
                <w:color w:val="FF0000"/>
                <w:sz w:val="24"/>
                <w:shd w:val="clear" w:color="auto" w:fill="FFFFFF"/>
              </w:rPr>
              <w:t>、本次拍卖为</w:t>
            </w:r>
            <w:r>
              <w:rPr>
                <w:rFonts w:hint="eastAsia" w:ascii="宋体" w:hAnsi="宋体"/>
                <w:color w:val="FF0000"/>
                <w:sz w:val="24"/>
                <w:shd w:val="clear" w:color="auto" w:fill="FFFFFF"/>
                <w:lang w:eastAsia="zh-CN"/>
              </w:rPr>
              <w:t>北京宝护科技有限公司持有的天津家宝医疗器械有限公司100%的股份</w:t>
            </w:r>
            <w:r>
              <w:rPr>
                <w:rFonts w:ascii="宋体" w:hAnsi="宋体"/>
                <w:color w:val="FF0000"/>
                <w:sz w:val="24"/>
                <w:shd w:val="clear" w:color="auto" w:fill="FFFFFF"/>
              </w:rPr>
              <w:t>。请竞买人自行了解</w:t>
            </w:r>
            <w:r>
              <w:rPr>
                <w:rFonts w:hint="eastAsia" w:ascii="宋体" w:hAnsi="宋体"/>
                <w:color w:val="FF0000"/>
                <w:sz w:val="24"/>
                <w:shd w:val="clear" w:color="auto" w:fill="FFFFFF"/>
                <w:lang w:eastAsia="zh-CN"/>
              </w:rPr>
              <w:t>天津家宝医疗器械有限公司</w:t>
            </w:r>
            <w:r>
              <w:rPr>
                <w:rFonts w:ascii="宋体" w:hAnsi="宋体"/>
                <w:color w:val="FF0000"/>
                <w:sz w:val="24"/>
                <w:shd w:val="clear" w:color="auto" w:fill="FFFFFF"/>
              </w:rPr>
              <w:t>的经营状况，自行查证拍卖标的物现状，慎重决定竞买行为，竞买人一旦作出竞买决定，即表明已完全了解并接受标的物的现状和一切已知及未知的</w:t>
            </w:r>
            <w:r>
              <w:rPr>
                <w:rFonts w:hint="eastAsia" w:ascii="宋体" w:hAnsi="宋体"/>
                <w:color w:val="FF0000"/>
                <w:sz w:val="24"/>
                <w:shd w:val="clear" w:color="auto" w:fill="FFFFFF"/>
              </w:rPr>
              <w:t>风险、</w:t>
            </w:r>
            <w:r>
              <w:rPr>
                <w:rFonts w:ascii="宋体" w:hAnsi="宋体"/>
                <w:color w:val="FF0000"/>
                <w:sz w:val="24"/>
                <w:shd w:val="clear" w:color="auto" w:fill="FFFFFF"/>
              </w:rPr>
              <w:t>瑕疵，并愿意承担一切法律风险（该等风险包括但不限于</w:t>
            </w:r>
            <w:r>
              <w:rPr>
                <w:rFonts w:hint="eastAsia" w:ascii="宋体" w:hAnsi="宋体"/>
                <w:color w:val="FF0000"/>
                <w:sz w:val="24"/>
                <w:shd w:val="clear" w:color="auto" w:fill="FFFFFF"/>
                <w:lang w:eastAsia="zh-CN"/>
              </w:rPr>
              <w:t>天津家宝医疗器械有限公司</w:t>
            </w:r>
            <w:r>
              <w:rPr>
                <w:rFonts w:hint="eastAsia" w:ascii="宋体" w:hAnsi="宋体"/>
                <w:color w:val="FF0000"/>
                <w:sz w:val="24"/>
                <w:shd w:val="clear" w:color="auto" w:fill="FFFFFF"/>
              </w:rPr>
              <w:t>可能存在的</w:t>
            </w:r>
            <w:r>
              <w:rPr>
                <w:rFonts w:hint="eastAsia" w:ascii="宋体" w:hAnsi="宋体"/>
                <w:color w:val="FF0000"/>
                <w:sz w:val="24"/>
                <w:shd w:val="clear" w:color="auto" w:fill="FFFFFF"/>
                <w:lang w:eastAsia="zh-CN"/>
              </w:rPr>
              <w:t>积</w:t>
            </w:r>
            <w:r>
              <w:rPr>
                <w:rFonts w:ascii="宋体" w:hAnsi="宋体"/>
                <w:color w:val="FF0000"/>
                <w:sz w:val="24"/>
                <w:shd w:val="clear" w:color="auto" w:fill="FFFFFF"/>
              </w:rPr>
              <w:t>欠的各种税费、</w:t>
            </w:r>
            <w:r>
              <w:rPr>
                <w:rFonts w:hint="eastAsia" w:ascii="宋体" w:hAnsi="宋体"/>
                <w:color w:val="FF0000"/>
                <w:sz w:val="24"/>
                <w:shd w:val="clear" w:color="auto" w:fill="FFFFFF"/>
              </w:rPr>
              <w:t>资不抵债</w:t>
            </w:r>
            <w:r>
              <w:rPr>
                <w:rFonts w:ascii="宋体" w:hAnsi="宋体"/>
                <w:color w:val="FF0000"/>
                <w:sz w:val="24"/>
                <w:shd w:val="clear" w:color="auto" w:fill="FFFFFF"/>
              </w:rPr>
              <w:t>、</w:t>
            </w:r>
            <w:r>
              <w:rPr>
                <w:rFonts w:hint="eastAsia" w:ascii="宋体" w:hAnsi="宋体"/>
                <w:color w:val="FF0000"/>
                <w:sz w:val="24"/>
                <w:shd w:val="clear" w:color="auto" w:fill="FFFFFF"/>
              </w:rPr>
              <w:t>诉讼纠纷、</w:t>
            </w:r>
            <w:r>
              <w:rPr>
                <w:rFonts w:ascii="宋体" w:hAnsi="宋体"/>
                <w:color w:val="FF0000"/>
                <w:sz w:val="24"/>
                <w:shd w:val="clear" w:color="auto" w:fill="FFFFFF"/>
              </w:rPr>
              <w:t>股东未实际出资</w:t>
            </w:r>
            <w:r>
              <w:rPr>
                <w:rFonts w:hint="eastAsia" w:ascii="宋体" w:hAnsi="宋体"/>
                <w:color w:val="FF0000"/>
                <w:sz w:val="24"/>
                <w:shd w:val="clear" w:color="auto" w:fill="FFFFFF"/>
              </w:rPr>
              <w:t>或出资不足</w:t>
            </w:r>
            <w:r>
              <w:rPr>
                <w:rFonts w:ascii="宋体" w:hAnsi="宋体"/>
                <w:color w:val="FF0000"/>
                <w:sz w:val="24"/>
                <w:shd w:val="clear" w:color="auto" w:fill="FFFFFF"/>
              </w:rPr>
              <w:t>、</w:t>
            </w:r>
            <w:r>
              <w:rPr>
                <w:rFonts w:hint="eastAsia" w:ascii="宋体" w:hAnsi="宋体"/>
                <w:color w:val="FF0000"/>
                <w:sz w:val="24"/>
                <w:shd w:val="clear" w:color="auto" w:fill="FFFFFF"/>
              </w:rPr>
              <w:t>停止经营、空壳、公司法定代表人及高管等任何人员失联</w:t>
            </w:r>
            <w:r>
              <w:rPr>
                <w:rFonts w:ascii="宋体" w:hAnsi="宋体"/>
                <w:color w:val="FF0000"/>
                <w:sz w:val="24"/>
                <w:shd w:val="clear" w:color="auto" w:fill="FFFFFF"/>
              </w:rPr>
              <w:t>、</w:t>
            </w:r>
            <w:r>
              <w:rPr>
                <w:rFonts w:hint="eastAsia" w:ascii="宋体" w:hAnsi="宋体"/>
                <w:color w:val="FF0000"/>
                <w:sz w:val="24"/>
                <w:shd w:val="clear" w:color="auto" w:fill="FFFFFF"/>
              </w:rPr>
              <w:t>行政</w:t>
            </w:r>
            <w:r>
              <w:rPr>
                <w:rFonts w:ascii="宋体" w:hAnsi="宋体"/>
                <w:color w:val="FF0000"/>
                <w:sz w:val="24"/>
                <w:shd w:val="clear" w:color="auto" w:fill="FFFFFF"/>
              </w:rPr>
              <w:t>处罚</w:t>
            </w:r>
            <w:r>
              <w:rPr>
                <w:rFonts w:hint="eastAsia" w:ascii="宋体" w:hAnsi="宋体"/>
                <w:color w:val="FF0000"/>
                <w:sz w:val="24"/>
                <w:shd w:val="clear" w:color="auto" w:fill="FFFFFF"/>
              </w:rPr>
              <w:t>、司法罚款、</w:t>
            </w:r>
            <w:r>
              <w:rPr>
                <w:rFonts w:ascii="宋体" w:hAnsi="宋体"/>
                <w:color w:val="FF0000"/>
                <w:sz w:val="24"/>
                <w:shd w:val="clear" w:color="auto" w:fill="FFFFFF"/>
              </w:rPr>
              <w:t>印章证照遗失、财务账册遗失、文件资料遗失、</w:t>
            </w:r>
            <w:r>
              <w:rPr>
                <w:rFonts w:hint="eastAsia" w:ascii="宋体" w:hAnsi="宋体"/>
                <w:color w:val="FF0000"/>
                <w:sz w:val="24"/>
                <w:shd w:val="clear" w:color="auto" w:fill="FFFFFF"/>
              </w:rPr>
              <w:t>股权无法转让</w:t>
            </w:r>
            <w:r>
              <w:rPr>
                <w:rFonts w:ascii="宋体" w:hAnsi="宋体"/>
                <w:color w:val="FF0000"/>
                <w:sz w:val="24"/>
                <w:shd w:val="clear" w:color="auto" w:fill="FFFFFF"/>
              </w:rPr>
              <w:t>过户</w:t>
            </w:r>
            <w:r>
              <w:rPr>
                <w:rFonts w:hint="eastAsia" w:ascii="宋体" w:hAnsi="宋体"/>
                <w:color w:val="FF0000"/>
                <w:sz w:val="24"/>
                <w:shd w:val="clear" w:color="auto" w:fill="FFFFFF"/>
              </w:rPr>
              <w:t>，等</w:t>
            </w:r>
            <w:r>
              <w:rPr>
                <w:rFonts w:ascii="宋体" w:hAnsi="宋体"/>
                <w:color w:val="FF0000"/>
                <w:sz w:val="24"/>
                <w:shd w:val="clear" w:color="auto" w:fill="FFFFFF"/>
              </w:rPr>
              <w:t>等</w:t>
            </w:r>
            <w:r>
              <w:rPr>
                <w:rFonts w:hint="eastAsia" w:ascii="宋体" w:hAnsi="宋体"/>
                <w:color w:val="FF0000"/>
                <w:sz w:val="24"/>
                <w:shd w:val="clear" w:color="auto" w:fill="FFFFFF"/>
              </w:rPr>
              <w:t>风险，此处无法穷尽</w:t>
            </w:r>
            <w:r>
              <w:rPr>
                <w:rFonts w:ascii="宋体" w:hAnsi="宋体"/>
                <w:color w:val="FF0000"/>
                <w:sz w:val="24"/>
                <w:shd w:val="clear" w:color="auto" w:fill="FFFFFF"/>
              </w:rPr>
              <w:t>）。</w:t>
            </w:r>
            <w:r>
              <w:rPr>
                <w:rFonts w:hint="eastAsia" w:ascii="宋体" w:hAnsi="宋体"/>
                <w:color w:val="FF0000"/>
                <w:sz w:val="24"/>
                <w:shd w:val="clear" w:color="auto" w:fill="FFFFFF"/>
                <w:lang w:eastAsia="zh-CN"/>
              </w:rPr>
              <w:t>管理人</w:t>
            </w:r>
            <w:r>
              <w:rPr>
                <w:rFonts w:ascii="宋体" w:hAnsi="宋体"/>
                <w:color w:val="FF0000"/>
                <w:sz w:val="24"/>
                <w:shd w:val="clear" w:color="auto" w:fill="FFFFFF"/>
              </w:rPr>
              <w:t>对前述风险</w:t>
            </w:r>
            <w:r>
              <w:rPr>
                <w:rFonts w:hint="eastAsia" w:ascii="宋体" w:hAnsi="宋体"/>
                <w:color w:val="FF0000"/>
                <w:sz w:val="24"/>
                <w:shd w:val="clear" w:color="auto" w:fill="FFFFFF"/>
              </w:rPr>
              <w:t>是否存在并不了解，不承担，也</w:t>
            </w:r>
            <w:r>
              <w:rPr>
                <w:rFonts w:ascii="宋体" w:hAnsi="宋体"/>
                <w:color w:val="FF0000"/>
                <w:sz w:val="24"/>
                <w:shd w:val="clear" w:color="auto" w:fill="FFFFFF"/>
              </w:rPr>
              <w:t>不做任何保证</w:t>
            </w:r>
            <w:r>
              <w:rPr>
                <w:rFonts w:hint="eastAsia" w:ascii="宋体" w:hAnsi="宋体"/>
                <w:color w:val="FF0000"/>
                <w:sz w:val="24"/>
                <w:shd w:val="clear" w:color="auto" w:fill="FFFFFF"/>
              </w:rPr>
              <w:t>，请竞买人自行调查判断，但凡参与竞买即表明自愿承担以上风险</w:t>
            </w:r>
            <w:r>
              <w:rPr>
                <w:rFonts w:ascii="宋体" w:hAnsi="宋体"/>
                <w:color w:val="FF0000"/>
                <w:sz w:val="24"/>
                <w:shd w:val="clear" w:color="auto" w:fill="FFFFFF"/>
              </w:rPr>
              <w:t>。拍卖标的物如涉及违法，由买受人自行与相关部门沟通并依照有关规定进行处理，</w:t>
            </w:r>
            <w:r>
              <w:rPr>
                <w:rFonts w:hint="eastAsia" w:ascii="宋体" w:hAnsi="宋体"/>
                <w:color w:val="FF0000"/>
                <w:sz w:val="24"/>
                <w:shd w:val="clear" w:color="auto" w:fill="FFFFFF"/>
                <w:lang w:eastAsia="zh-CN"/>
              </w:rPr>
              <w:t>管理人</w:t>
            </w:r>
            <w:r>
              <w:rPr>
                <w:rFonts w:ascii="宋体" w:hAnsi="宋体"/>
                <w:color w:val="FF0000"/>
                <w:sz w:val="24"/>
                <w:shd w:val="clear" w:color="auto" w:fill="FFFFFF"/>
              </w:rPr>
              <w:t>不协助买受人处理前述违法问题，买受人不得向</w:t>
            </w:r>
            <w:r>
              <w:rPr>
                <w:rFonts w:hint="eastAsia" w:ascii="宋体" w:hAnsi="宋体"/>
                <w:color w:val="FF0000"/>
                <w:sz w:val="24"/>
                <w:shd w:val="clear" w:color="auto" w:fill="FFFFFF"/>
                <w:lang w:eastAsia="zh-CN"/>
              </w:rPr>
              <w:t>管理人</w:t>
            </w:r>
            <w:r>
              <w:rPr>
                <w:rFonts w:ascii="宋体" w:hAnsi="宋体"/>
                <w:color w:val="FF0000"/>
                <w:sz w:val="24"/>
                <w:shd w:val="clear" w:color="auto" w:fill="FFFFFF"/>
              </w:rPr>
              <w:t>索偿。</w:t>
            </w:r>
          </w:p>
          <w:p w14:paraId="259DF6DC">
            <w:pPr>
              <w:spacing w:before="100" w:after="100" w:line="360" w:lineRule="auto"/>
              <w:ind w:firstLine="480"/>
              <w:jc w:val="left"/>
              <w:rPr>
                <w:rFonts w:ascii="宋体" w:hAnsi="宋体"/>
                <w:color w:val="FF0000"/>
                <w:sz w:val="24"/>
                <w:shd w:val="clear" w:color="auto" w:fill="FFFFFF"/>
              </w:rPr>
            </w:pPr>
            <w:r>
              <w:rPr>
                <w:rFonts w:hint="eastAsia" w:ascii="宋体" w:hAnsi="宋体"/>
                <w:color w:val="FF0000"/>
                <w:sz w:val="24"/>
                <w:shd w:val="clear" w:color="auto" w:fill="FFFFFF"/>
              </w:rPr>
              <w:t>2</w:t>
            </w:r>
            <w:r>
              <w:rPr>
                <w:rFonts w:ascii="宋体" w:hAnsi="宋体"/>
                <w:color w:val="FF0000"/>
                <w:sz w:val="24"/>
                <w:shd w:val="clear" w:color="auto" w:fill="FFFFFF"/>
              </w:rPr>
              <w:t>、</w:t>
            </w:r>
            <w:r>
              <w:rPr>
                <w:rFonts w:hint="eastAsia" w:ascii="宋体" w:hAnsi="宋体"/>
                <w:color w:val="FF0000"/>
                <w:sz w:val="24"/>
                <w:shd w:val="clear" w:color="auto" w:fill="FFFFFF"/>
              </w:rPr>
              <w:t>涉及标的物的各项转让手续由买受人自行办理并承担相应费用及风险，该等风险包括但不限于因股权解封、法律、法规及行业规定、政策原因、目标公司不配合办理股权转让变更登记等原因导致股权变更手续办理时间延长或者不能办理的。因相关规定或相关限制导致股东身份变更手续办理时间延长或无法变更等等。因政策原因或存在隐性瑕疵、拍卖过程中产生权利限制等原因导致股权变更手续办理延长或者受阻等的，优先权人行使优先权导致竞买失败及无法变更股权，等等任何与标的股权有关的风险，</w:t>
            </w:r>
            <w:r>
              <w:rPr>
                <w:rFonts w:hint="eastAsia" w:ascii="宋体" w:hAnsi="宋体"/>
                <w:color w:val="FF0000"/>
                <w:sz w:val="24"/>
                <w:shd w:val="clear" w:color="auto" w:fill="FFFFFF"/>
                <w:lang w:eastAsia="zh-CN"/>
              </w:rPr>
              <w:t>管理人</w:t>
            </w:r>
            <w:r>
              <w:rPr>
                <w:rFonts w:hint="eastAsia" w:ascii="宋体" w:hAnsi="宋体"/>
                <w:color w:val="FF0000"/>
                <w:sz w:val="24"/>
                <w:shd w:val="clear" w:color="auto" w:fill="FFFFFF"/>
              </w:rPr>
              <w:t>及拍卖辅助机构不承担任何保证。</w:t>
            </w:r>
          </w:p>
          <w:p w14:paraId="381417B6">
            <w:pPr>
              <w:spacing w:before="100" w:after="100" w:line="360" w:lineRule="auto"/>
              <w:ind w:firstLine="480"/>
              <w:jc w:val="left"/>
              <w:rPr>
                <w:rFonts w:ascii="宋体" w:hAnsi="宋体"/>
                <w:color w:val="FF0000"/>
                <w:sz w:val="24"/>
                <w:shd w:val="clear" w:color="auto" w:fill="FFFFFF"/>
              </w:rPr>
            </w:pPr>
            <w:r>
              <w:rPr>
                <w:rFonts w:hint="eastAsia" w:ascii="宋体" w:hAnsi="宋体"/>
                <w:color w:val="FF0000"/>
                <w:sz w:val="24"/>
                <w:shd w:val="clear" w:color="auto" w:fill="FFFFFF"/>
              </w:rPr>
              <w:t>3</w:t>
            </w:r>
            <w:r>
              <w:rPr>
                <w:rFonts w:ascii="宋体" w:hAnsi="宋体"/>
                <w:color w:val="FF0000"/>
                <w:sz w:val="24"/>
                <w:shd w:val="clear" w:color="auto" w:fill="FFFFFF"/>
              </w:rPr>
              <w:t>、拍卖公告所作的情况说明，仅为竞买人参与竞买提供参考，不能作为竞买人判断、权衡价值的最终依据。竞买人在竞拍前请务必自行确认是否具备持股资格，能否办理股权转让登记</w:t>
            </w:r>
            <w:r>
              <w:rPr>
                <w:rFonts w:hint="eastAsia" w:ascii="宋体" w:hAnsi="宋体"/>
                <w:color w:val="FF0000"/>
                <w:sz w:val="24"/>
                <w:shd w:val="clear" w:color="auto" w:fill="FFFFFF"/>
              </w:rPr>
              <w:t>及办理股权转让登记所需时间，</w:t>
            </w:r>
            <w:r>
              <w:rPr>
                <w:rFonts w:ascii="宋体" w:hAnsi="宋体"/>
                <w:color w:val="FF0000"/>
                <w:sz w:val="24"/>
                <w:shd w:val="clear" w:color="auto" w:fill="FFFFFF"/>
              </w:rPr>
              <w:t>请竞买人自行到有关部门咨询核实。一旦参加竞拍，即视为对本标的物投资入股条件的确认，如不符合条件参加竞拍或者拍卖成交后不能过户的，买受人自行承担风险。</w:t>
            </w:r>
          </w:p>
          <w:p w14:paraId="75DE6706">
            <w:pPr>
              <w:spacing w:before="100" w:after="100" w:line="360" w:lineRule="auto"/>
              <w:ind w:firstLine="480"/>
              <w:jc w:val="left"/>
              <w:rPr>
                <w:rFonts w:ascii="宋体" w:hAnsi="宋体"/>
                <w:color w:val="FF0000"/>
                <w:sz w:val="24"/>
                <w:shd w:val="clear" w:color="auto" w:fill="FFFFFF"/>
              </w:rPr>
            </w:pPr>
            <w:r>
              <w:rPr>
                <w:rFonts w:hint="eastAsia" w:ascii="宋体" w:hAnsi="宋体"/>
                <w:color w:val="FF0000"/>
                <w:sz w:val="24"/>
                <w:shd w:val="clear" w:color="auto" w:fill="FFFFFF"/>
              </w:rPr>
              <w:t>4</w:t>
            </w:r>
            <w:r>
              <w:rPr>
                <w:rFonts w:ascii="宋体" w:hAnsi="宋体"/>
                <w:color w:val="FF0000"/>
                <w:sz w:val="24"/>
                <w:shd w:val="clear" w:color="auto" w:fill="FFFFFF"/>
              </w:rPr>
              <w:t>、拍卖成交之日起，买受人须承担标的物</w:t>
            </w:r>
            <w:r>
              <w:rPr>
                <w:rFonts w:hint="eastAsia" w:ascii="宋体" w:hAnsi="宋体"/>
                <w:color w:val="FF0000"/>
                <w:sz w:val="24"/>
                <w:shd w:val="clear" w:color="auto" w:fill="FFFFFF"/>
              </w:rPr>
              <w:t>已发生的和</w:t>
            </w:r>
            <w:r>
              <w:rPr>
                <w:rFonts w:ascii="宋体" w:hAnsi="宋体"/>
                <w:color w:val="FF0000"/>
                <w:sz w:val="24"/>
                <w:shd w:val="clear" w:color="auto" w:fill="FFFFFF"/>
              </w:rPr>
              <w:t>可能发生的一切风险。</w:t>
            </w:r>
          </w:p>
          <w:p w14:paraId="70233D13">
            <w:pPr>
              <w:spacing w:before="100" w:after="100" w:line="360" w:lineRule="auto"/>
              <w:ind w:firstLine="480"/>
              <w:jc w:val="left"/>
              <w:rPr>
                <w:rFonts w:ascii="宋体" w:hAnsi="宋体"/>
                <w:color w:val="FF0000"/>
                <w:sz w:val="24"/>
                <w:shd w:val="clear" w:color="auto" w:fill="FFFFFF"/>
              </w:rPr>
            </w:pPr>
            <w:r>
              <w:rPr>
                <w:rFonts w:hint="eastAsia" w:ascii="宋体" w:hAnsi="宋体"/>
                <w:color w:val="FF0000"/>
                <w:sz w:val="24"/>
                <w:shd w:val="clear" w:color="auto" w:fill="FFFFFF"/>
              </w:rPr>
              <w:t>5</w:t>
            </w:r>
            <w:r>
              <w:rPr>
                <w:rFonts w:ascii="宋体" w:hAnsi="宋体"/>
                <w:color w:val="FF0000"/>
                <w:sz w:val="24"/>
                <w:shd w:val="clear" w:color="auto" w:fill="FFFFFF"/>
              </w:rPr>
              <w:t>、</w:t>
            </w:r>
            <w:r>
              <w:rPr>
                <w:rFonts w:hint="eastAsia" w:ascii="宋体" w:hAnsi="宋体"/>
                <w:color w:val="FF0000"/>
                <w:sz w:val="24"/>
                <w:shd w:val="clear" w:color="auto" w:fill="FFFFFF"/>
              </w:rPr>
              <w:t>本次拍卖</w:t>
            </w:r>
            <w:r>
              <w:rPr>
                <w:rFonts w:hint="eastAsia" w:ascii="宋体" w:hAnsi="宋体"/>
                <w:color w:val="FF0000"/>
                <w:sz w:val="24"/>
                <w:shd w:val="clear" w:color="auto" w:fill="FFFFFF"/>
                <w:lang w:eastAsia="zh-CN"/>
              </w:rPr>
              <w:t>管理人</w:t>
            </w:r>
            <w:r>
              <w:rPr>
                <w:rFonts w:hint="eastAsia" w:ascii="宋体" w:hAnsi="宋体"/>
                <w:color w:val="FF0000"/>
                <w:sz w:val="24"/>
                <w:shd w:val="clear" w:color="auto" w:fill="FFFFFF"/>
              </w:rPr>
              <w:t>披露的相关信息不视为</w:t>
            </w:r>
            <w:r>
              <w:rPr>
                <w:rFonts w:hint="eastAsia" w:ascii="宋体" w:hAnsi="宋体"/>
                <w:color w:val="FF0000"/>
                <w:sz w:val="24"/>
                <w:shd w:val="clear" w:color="auto" w:fill="FFFFFF"/>
                <w:lang w:eastAsia="zh-CN"/>
              </w:rPr>
              <w:t>天津家宝医疗器械有限公司</w:t>
            </w:r>
            <w:r>
              <w:rPr>
                <w:rFonts w:hint="eastAsia" w:ascii="宋体" w:hAnsi="宋体"/>
                <w:color w:val="FF0000"/>
                <w:sz w:val="24"/>
                <w:shd w:val="clear" w:color="auto" w:fill="FFFFFF"/>
              </w:rPr>
              <w:t>相关信息的全部披露，</w:t>
            </w:r>
            <w:r>
              <w:rPr>
                <w:rFonts w:ascii="宋体" w:hAnsi="宋体"/>
                <w:color w:val="FF0000"/>
                <w:sz w:val="24"/>
                <w:shd w:val="clear" w:color="auto" w:fill="FFFFFF"/>
              </w:rPr>
              <w:t>请竞买人自行咨询股权相关政策及规定，并承担相应的风险。因标的物无法实际看样，详细情况意向竞买人可向相关部门了解或自行进行调查，参加拍卖的竞买人视为对本标的物实物现状的确认，责任自负。请谨慎参拍。</w:t>
            </w:r>
          </w:p>
          <w:p w14:paraId="12EAF153">
            <w:pPr>
              <w:spacing w:before="100" w:after="100" w:line="360" w:lineRule="auto"/>
              <w:ind w:firstLine="480"/>
              <w:jc w:val="left"/>
              <w:rPr>
                <w:rFonts w:ascii="宋体" w:hAnsi="宋体"/>
                <w:color w:val="FF0000"/>
                <w:sz w:val="24"/>
                <w:shd w:val="clear" w:color="auto" w:fill="FFFFFF"/>
              </w:rPr>
            </w:pPr>
            <w:r>
              <w:rPr>
                <w:rFonts w:hint="eastAsia" w:ascii="宋体" w:hAnsi="宋体"/>
                <w:color w:val="FF0000"/>
                <w:sz w:val="24"/>
                <w:shd w:val="clear" w:color="auto" w:fill="FFFFFF"/>
              </w:rPr>
              <w:t>6、其他未尽事宜由买受人自行了解。</w:t>
            </w:r>
          </w:p>
          <w:p w14:paraId="5A38B486">
            <w:pPr>
              <w:spacing w:before="100" w:after="100" w:line="360" w:lineRule="auto"/>
              <w:ind w:firstLine="480"/>
              <w:jc w:val="left"/>
              <w:rPr>
                <w:rFonts w:ascii="宋体" w:hAnsi="宋体"/>
                <w:color w:val="FF0000"/>
                <w:sz w:val="24"/>
                <w:shd w:val="clear" w:color="auto" w:fill="FFFFFF"/>
              </w:rPr>
            </w:pPr>
            <w:r>
              <w:rPr>
                <w:rFonts w:ascii="宋体" w:hAnsi="宋体"/>
                <w:color w:val="FF0000"/>
                <w:sz w:val="24"/>
                <w:shd w:val="clear" w:color="auto" w:fill="FFFFFF"/>
              </w:rPr>
              <w:t>因上述问题发生费用及造成的股权不能变更的风险由买受人自行承担。</w:t>
            </w:r>
          </w:p>
          <w:p w14:paraId="4CED15C8">
            <w:pPr>
              <w:spacing w:line="360" w:lineRule="auto"/>
              <w:jc w:val="left"/>
              <w:rPr>
                <w:rFonts w:ascii="宋体" w:hAnsi="宋体"/>
              </w:rPr>
            </w:pPr>
          </w:p>
        </w:tc>
      </w:tr>
    </w:tbl>
    <w:p w14:paraId="5B6CCBA2">
      <w:pPr>
        <w:spacing w:line="360" w:lineRule="auto"/>
        <w:ind w:firstLine="480" w:firstLineChars="200"/>
        <w:jc w:val="right"/>
        <w:rPr>
          <w:rFonts w:asciiTheme="minorEastAsia" w:hAnsiTheme="minorEastAsia"/>
          <w:sz w:val="24"/>
          <w:szCs w:val="24"/>
        </w:rPr>
      </w:pPr>
    </w:p>
    <w:p w14:paraId="4AFA8FB0">
      <w:pPr>
        <w:spacing w:line="360" w:lineRule="auto"/>
        <w:ind w:firstLine="480" w:firstLineChars="200"/>
        <w:jc w:val="right"/>
        <w:rPr>
          <w:rFonts w:asciiTheme="minorEastAsia" w:hAnsiTheme="minorEastAsia"/>
          <w:sz w:val="24"/>
          <w:szCs w:val="24"/>
        </w:rPr>
      </w:pPr>
    </w:p>
    <w:p w14:paraId="0C30B380">
      <w:pPr>
        <w:spacing w:line="360" w:lineRule="auto"/>
        <w:ind w:firstLine="480" w:firstLineChars="200"/>
        <w:jc w:val="right"/>
        <w:rPr>
          <w:rFonts w:asciiTheme="minorEastAsia" w:hAnsiTheme="minorEastAsia"/>
          <w:sz w:val="24"/>
          <w:szCs w:val="24"/>
        </w:rPr>
      </w:pPr>
    </w:p>
    <w:p w14:paraId="0DB8AF36">
      <w:pPr>
        <w:spacing w:line="360" w:lineRule="auto"/>
        <w:jc w:val="left"/>
        <w:rPr>
          <w:rFonts w:asciiTheme="minorEastAsia" w:hAnsiTheme="minorEastAsia"/>
          <w:sz w:val="24"/>
          <w:szCs w:val="24"/>
        </w:rPr>
      </w:pPr>
      <w:r>
        <w:rPr>
          <w:rFonts w:hint="eastAsia" w:asciiTheme="minorEastAsia" w:hAnsiTheme="minorEastAsia"/>
          <w:sz w:val="24"/>
          <w:szCs w:val="24"/>
        </w:rPr>
        <w:t>照片：</w:t>
      </w:r>
    </w:p>
    <w:p w14:paraId="00E18F70">
      <w:pPr>
        <w:spacing w:line="360" w:lineRule="auto"/>
        <w:jc w:val="left"/>
        <w:rPr>
          <w:rFonts w:asciiTheme="minorEastAsia" w:hAnsiTheme="minorEastAsia"/>
          <w:sz w:val="24"/>
          <w:szCs w:val="24"/>
        </w:rPr>
      </w:pPr>
    </w:p>
    <w:p w14:paraId="4838E2A6">
      <w:pPr>
        <w:spacing w:line="360" w:lineRule="auto"/>
        <w:jc w:val="left"/>
        <w:rPr>
          <w:rFonts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2808A5"/>
    <w:multiLevelType w:val="singleLevel"/>
    <w:tmpl w:val="332808A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iZWQzYzYwYWM5NDc0N2VkYjNkZjc2NjQ2NTQ3MjYifQ=="/>
  </w:docVars>
  <w:rsids>
    <w:rsidRoot w:val="006705CC"/>
    <w:rsid w:val="000134B2"/>
    <w:rsid w:val="0002393B"/>
    <w:rsid w:val="000345F8"/>
    <w:rsid w:val="000502B6"/>
    <w:rsid w:val="000505EB"/>
    <w:rsid w:val="00051E02"/>
    <w:rsid w:val="0005677F"/>
    <w:rsid w:val="00061D2E"/>
    <w:rsid w:val="00087E11"/>
    <w:rsid w:val="0009418A"/>
    <w:rsid w:val="000A0642"/>
    <w:rsid w:val="000A33CA"/>
    <w:rsid w:val="000A527A"/>
    <w:rsid w:val="000D5FB3"/>
    <w:rsid w:val="000D639B"/>
    <w:rsid w:val="00104AEB"/>
    <w:rsid w:val="001206E4"/>
    <w:rsid w:val="00122E94"/>
    <w:rsid w:val="001360AA"/>
    <w:rsid w:val="00142839"/>
    <w:rsid w:val="00151626"/>
    <w:rsid w:val="00156667"/>
    <w:rsid w:val="00170893"/>
    <w:rsid w:val="001B3F75"/>
    <w:rsid w:val="001B706C"/>
    <w:rsid w:val="001C7094"/>
    <w:rsid w:val="001D7A05"/>
    <w:rsid w:val="001E37E7"/>
    <w:rsid w:val="001F211A"/>
    <w:rsid w:val="001F53A3"/>
    <w:rsid w:val="002053EF"/>
    <w:rsid w:val="0021232E"/>
    <w:rsid w:val="00224C38"/>
    <w:rsid w:val="002556C1"/>
    <w:rsid w:val="00266827"/>
    <w:rsid w:val="002749EF"/>
    <w:rsid w:val="00281631"/>
    <w:rsid w:val="00286172"/>
    <w:rsid w:val="00286D8E"/>
    <w:rsid w:val="00294F47"/>
    <w:rsid w:val="002B6F1B"/>
    <w:rsid w:val="002C1198"/>
    <w:rsid w:val="002C2F87"/>
    <w:rsid w:val="002E2F48"/>
    <w:rsid w:val="002E4FD4"/>
    <w:rsid w:val="00305174"/>
    <w:rsid w:val="003159B6"/>
    <w:rsid w:val="003242AB"/>
    <w:rsid w:val="00325429"/>
    <w:rsid w:val="00326BBB"/>
    <w:rsid w:val="00326FEE"/>
    <w:rsid w:val="00330FEA"/>
    <w:rsid w:val="003571DB"/>
    <w:rsid w:val="003651DB"/>
    <w:rsid w:val="00365E3C"/>
    <w:rsid w:val="00371CA4"/>
    <w:rsid w:val="00381D25"/>
    <w:rsid w:val="00387D3D"/>
    <w:rsid w:val="003A6E3E"/>
    <w:rsid w:val="003B0D10"/>
    <w:rsid w:val="003B17D2"/>
    <w:rsid w:val="003B3810"/>
    <w:rsid w:val="003C1925"/>
    <w:rsid w:val="003C3D69"/>
    <w:rsid w:val="003C6B6C"/>
    <w:rsid w:val="003E0A6E"/>
    <w:rsid w:val="003E3A56"/>
    <w:rsid w:val="00401A4D"/>
    <w:rsid w:val="004070B4"/>
    <w:rsid w:val="00422112"/>
    <w:rsid w:val="00424632"/>
    <w:rsid w:val="00426B1C"/>
    <w:rsid w:val="00432721"/>
    <w:rsid w:val="004405BB"/>
    <w:rsid w:val="00447E03"/>
    <w:rsid w:val="004562F8"/>
    <w:rsid w:val="00460443"/>
    <w:rsid w:val="00462220"/>
    <w:rsid w:val="00463AAE"/>
    <w:rsid w:val="004668BC"/>
    <w:rsid w:val="00472277"/>
    <w:rsid w:val="00482372"/>
    <w:rsid w:val="0049611D"/>
    <w:rsid w:val="004A1BD2"/>
    <w:rsid w:val="004B3A26"/>
    <w:rsid w:val="004C24D2"/>
    <w:rsid w:val="004E2BC3"/>
    <w:rsid w:val="00500AEE"/>
    <w:rsid w:val="0050228E"/>
    <w:rsid w:val="00503173"/>
    <w:rsid w:val="00515436"/>
    <w:rsid w:val="005425B1"/>
    <w:rsid w:val="005545E2"/>
    <w:rsid w:val="0055574E"/>
    <w:rsid w:val="00566AEA"/>
    <w:rsid w:val="0057271C"/>
    <w:rsid w:val="00572BF7"/>
    <w:rsid w:val="00573892"/>
    <w:rsid w:val="00574E32"/>
    <w:rsid w:val="005A10DA"/>
    <w:rsid w:val="005A6E8D"/>
    <w:rsid w:val="005B0D5B"/>
    <w:rsid w:val="005C6CF4"/>
    <w:rsid w:val="005D0597"/>
    <w:rsid w:val="005D0905"/>
    <w:rsid w:val="005D6FFF"/>
    <w:rsid w:val="005E1744"/>
    <w:rsid w:val="005F6202"/>
    <w:rsid w:val="00602FC9"/>
    <w:rsid w:val="00607854"/>
    <w:rsid w:val="00614A9B"/>
    <w:rsid w:val="00614ADA"/>
    <w:rsid w:val="00630929"/>
    <w:rsid w:val="00634749"/>
    <w:rsid w:val="00640E85"/>
    <w:rsid w:val="00642EF7"/>
    <w:rsid w:val="00647971"/>
    <w:rsid w:val="00660A2C"/>
    <w:rsid w:val="00660E79"/>
    <w:rsid w:val="006705CC"/>
    <w:rsid w:val="00681EB6"/>
    <w:rsid w:val="006A08CE"/>
    <w:rsid w:val="006C4FC7"/>
    <w:rsid w:val="006D518E"/>
    <w:rsid w:val="00712119"/>
    <w:rsid w:val="00722D29"/>
    <w:rsid w:val="00725E01"/>
    <w:rsid w:val="0074136A"/>
    <w:rsid w:val="00752568"/>
    <w:rsid w:val="0075364A"/>
    <w:rsid w:val="00760756"/>
    <w:rsid w:val="00771872"/>
    <w:rsid w:val="0077240D"/>
    <w:rsid w:val="00783FD0"/>
    <w:rsid w:val="00785D6A"/>
    <w:rsid w:val="00797413"/>
    <w:rsid w:val="007A6F25"/>
    <w:rsid w:val="007B0CB7"/>
    <w:rsid w:val="007B2110"/>
    <w:rsid w:val="007B4810"/>
    <w:rsid w:val="007B5604"/>
    <w:rsid w:val="007B7150"/>
    <w:rsid w:val="007E5167"/>
    <w:rsid w:val="007F1380"/>
    <w:rsid w:val="007F4012"/>
    <w:rsid w:val="007F6DE8"/>
    <w:rsid w:val="00801D79"/>
    <w:rsid w:val="008075C1"/>
    <w:rsid w:val="00813D61"/>
    <w:rsid w:val="00826999"/>
    <w:rsid w:val="00842B8B"/>
    <w:rsid w:val="00855563"/>
    <w:rsid w:val="00857293"/>
    <w:rsid w:val="00865D20"/>
    <w:rsid w:val="00867981"/>
    <w:rsid w:val="00875907"/>
    <w:rsid w:val="008948BB"/>
    <w:rsid w:val="008B73C2"/>
    <w:rsid w:val="008C7C40"/>
    <w:rsid w:val="008D07BD"/>
    <w:rsid w:val="008D4415"/>
    <w:rsid w:val="008D6C43"/>
    <w:rsid w:val="008F5105"/>
    <w:rsid w:val="009055FB"/>
    <w:rsid w:val="00905E85"/>
    <w:rsid w:val="00924B2A"/>
    <w:rsid w:val="00925CD2"/>
    <w:rsid w:val="0093506B"/>
    <w:rsid w:val="009662BA"/>
    <w:rsid w:val="00982A85"/>
    <w:rsid w:val="009A415F"/>
    <w:rsid w:val="009A44B4"/>
    <w:rsid w:val="009A710C"/>
    <w:rsid w:val="009C0090"/>
    <w:rsid w:val="009E1E20"/>
    <w:rsid w:val="009F4B58"/>
    <w:rsid w:val="00A07CA1"/>
    <w:rsid w:val="00A116C6"/>
    <w:rsid w:val="00A13D27"/>
    <w:rsid w:val="00A16097"/>
    <w:rsid w:val="00A26F86"/>
    <w:rsid w:val="00A53B7E"/>
    <w:rsid w:val="00A66EC9"/>
    <w:rsid w:val="00A86A9F"/>
    <w:rsid w:val="00A95637"/>
    <w:rsid w:val="00AB1824"/>
    <w:rsid w:val="00AD6809"/>
    <w:rsid w:val="00AE2C2D"/>
    <w:rsid w:val="00AE53BD"/>
    <w:rsid w:val="00B13EC3"/>
    <w:rsid w:val="00B16476"/>
    <w:rsid w:val="00B30199"/>
    <w:rsid w:val="00B410CE"/>
    <w:rsid w:val="00B50838"/>
    <w:rsid w:val="00B51292"/>
    <w:rsid w:val="00B55EB3"/>
    <w:rsid w:val="00B82C27"/>
    <w:rsid w:val="00B83D57"/>
    <w:rsid w:val="00B84CC5"/>
    <w:rsid w:val="00B87A8D"/>
    <w:rsid w:val="00B90A49"/>
    <w:rsid w:val="00BA3FBE"/>
    <w:rsid w:val="00BA588D"/>
    <w:rsid w:val="00BC3120"/>
    <w:rsid w:val="00BC43EC"/>
    <w:rsid w:val="00BD53F6"/>
    <w:rsid w:val="00BE6F9A"/>
    <w:rsid w:val="00BF4C0F"/>
    <w:rsid w:val="00BF6406"/>
    <w:rsid w:val="00C01ABA"/>
    <w:rsid w:val="00C02618"/>
    <w:rsid w:val="00C14E9A"/>
    <w:rsid w:val="00C33D08"/>
    <w:rsid w:val="00C42247"/>
    <w:rsid w:val="00C43086"/>
    <w:rsid w:val="00C6555E"/>
    <w:rsid w:val="00C664F4"/>
    <w:rsid w:val="00C93046"/>
    <w:rsid w:val="00CA014A"/>
    <w:rsid w:val="00CA12D9"/>
    <w:rsid w:val="00CB1753"/>
    <w:rsid w:val="00CB42BA"/>
    <w:rsid w:val="00CC1726"/>
    <w:rsid w:val="00CE7370"/>
    <w:rsid w:val="00CF00C1"/>
    <w:rsid w:val="00D0736B"/>
    <w:rsid w:val="00D11000"/>
    <w:rsid w:val="00D314EA"/>
    <w:rsid w:val="00D36A24"/>
    <w:rsid w:val="00D50DDA"/>
    <w:rsid w:val="00D5502D"/>
    <w:rsid w:val="00D6015C"/>
    <w:rsid w:val="00D75774"/>
    <w:rsid w:val="00DA05EE"/>
    <w:rsid w:val="00DB2B6D"/>
    <w:rsid w:val="00DB2F04"/>
    <w:rsid w:val="00DC7749"/>
    <w:rsid w:val="00E0090F"/>
    <w:rsid w:val="00E03910"/>
    <w:rsid w:val="00E12626"/>
    <w:rsid w:val="00E151E1"/>
    <w:rsid w:val="00E41F53"/>
    <w:rsid w:val="00E42BF5"/>
    <w:rsid w:val="00E43526"/>
    <w:rsid w:val="00E517D1"/>
    <w:rsid w:val="00E5365D"/>
    <w:rsid w:val="00E65D57"/>
    <w:rsid w:val="00E6636D"/>
    <w:rsid w:val="00E663A6"/>
    <w:rsid w:val="00E80C3E"/>
    <w:rsid w:val="00E907D9"/>
    <w:rsid w:val="00E97254"/>
    <w:rsid w:val="00F15297"/>
    <w:rsid w:val="00F42605"/>
    <w:rsid w:val="00F4643F"/>
    <w:rsid w:val="00F47517"/>
    <w:rsid w:val="00F5403D"/>
    <w:rsid w:val="00F71480"/>
    <w:rsid w:val="00F76566"/>
    <w:rsid w:val="00F87DBF"/>
    <w:rsid w:val="00FA529A"/>
    <w:rsid w:val="00FD257E"/>
    <w:rsid w:val="00FD420B"/>
    <w:rsid w:val="00FD6FD4"/>
    <w:rsid w:val="00FE0B68"/>
    <w:rsid w:val="00FF77F3"/>
    <w:rsid w:val="01286562"/>
    <w:rsid w:val="01311D17"/>
    <w:rsid w:val="01AE5688"/>
    <w:rsid w:val="01E70628"/>
    <w:rsid w:val="03FA6D38"/>
    <w:rsid w:val="0506170D"/>
    <w:rsid w:val="05143FCE"/>
    <w:rsid w:val="057335C1"/>
    <w:rsid w:val="05FB7E4D"/>
    <w:rsid w:val="068C5C42"/>
    <w:rsid w:val="06EC66E0"/>
    <w:rsid w:val="07464042"/>
    <w:rsid w:val="07526A91"/>
    <w:rsid w:val="07943000"/>
    <w:rsid w:val="07FC0BA5"/>
    <w:rsid w:val="0854278F"/>
    <w:rsid w:val="092B7994"/>
    <w:rsid w:val="09A514F4"/>
    <w:rsid w:val="09F064E7"/>
    <w:rsid w:val="09F935EE"/>
    <w:rsid w:val="0A0B0D13"/>
    <w:rsid w:val="0A206DCD"/>
    <w:rsid w:val="0B1526A9"/>
    <w:rsid w:val="0C0E77A3"/>
    <w:rsid w:val="0C547201"/>
    <w:rsid w:val="0CB35CD6"/>
    <w:rsid w:val="0D074274"/>
    <w:rsid w:val="0D6214AA"/>
    <w:rsid w:val="0D7E7B62"/>
    <w:rsid w:val="0DA900B3"/>
    <w:rsid w:val="0E034A3B"/>
    <w:rsid w:val="0E10441A"/>
    <w:rsid w:val="0E7F45D4"/>
    <w:rsid w:val="0EC71F0D"/>
    <w:rsid w:val="0EE24651"/>
    <w:rsid w:val="0F4E1E08"/>
    <w:rsid w:val="0F8C0A60"/>
    <w:rsid w:val="1008458B"/>
    <w:rsid w:val="104F3F68"/>
    <w:rsid w:val="10635C65"/>
    <w:rsid w:val="107F4121"/>
    <w:rsid w:val="11001706"/>
    <w:rsid w:val="11A42091"/>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7CD5765"/>
    <w:rsid w:val="185A794E"/>
    <w:rsid w:val="188744BB"/>
    <w:rsid w:val="189B7B03"/>
    <w:rsid w:val="18A1557C"/>
    <w:rsid w:val="19185113"/>
    <w:rsid w:val="19406B43"/>
    <w:rsid w:val="197E766C"/>
    <w:rsid w:val="198729C4"/>
    <w:rsid w:val="1A613215"/>
    <w:rsid w:val="1BAD248A"/>
    <w:rsid w:val="1C181028"/>
    <w:rsid w:val="1D882867"/>
    <w:rsid w:val="1DC03AB1"/>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AC577B"/>
    <w:rsid w:val="21DA1AFF"/>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A36B07"/>
    <w:rsid w:val="27F422C9"/>
    <w:rsid w:val="28836A4D"/>
    <w:rsid w:val="290F02E0"/>
    <w:rsid w:val="297B3BC8"/>
    <w:rsid w:val="298C1931"/>
    <w:rsid w:val="29CE021D"/>
    <w:rsid w:val="2A697EC4"/>
    <w:rsid w:val="2ABC535A"/>
    <w:rsid w:val="2B2A7653"/>
    <w:rsid w:val="2B6568DD"/>
    <w:rsid w:val="2B717030"/>
    <w:rsid w:val="2B7D3C27"/>
    <w:rsid w:val="2B844FB6"/>
    <w:rsid w:val="2C7E1B56"/>
    <w:rsid w:val="2C8C39F6"/>
    <w:rsid w:val="2C9C632F"/>
    <w:rsid w:val="2CE60A95"/>
    <w:rsid w:val="2D546C0A"/>
    <w:rsid w:val="2D915768"/>
    <w:rsid w:val="2DCC71AE"/>
    <w:rsid w:val="2E1450B0"/>
    <w:rsid w:val="2E2B38E3"/>
    <w:rsid w:val="2E352597"/>
    <w:rsid w:val="2EC67693"/>
    <w:rsid w:val="2EDC2A13"/>
    <w:rsid w:val="2F3F11F4"/>
    <w:rsid w:val="2F7470EF"/>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87AF3"/>
    <w:rsid w:val="36203B2D"/>
    <w:rsid w:val="36471C4E"/>
    <w:rsid w:val="36581D34"/>
    <w:rsid w:val="366538CF"/>
    <w:rsid w:val="366A124C"/>
    <w:rsid w:val="37677539"/>
    <w:rsid w:val="37977E1F"/>
    <w:rsid w:val="37FC2378"/>
    <w:rsid w:val="38A547BD"/>
    <w:rsid w:val="38CA7D80"/>
    <w:rsid w:val="39047736"/>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67D7524"/>
    <w:rsid w:val="47217705"/>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490D18"/>
    <w:rsid w:val="56E55F4F"/>
    <w:rsid w:val="57802226"/>
    <w:rsid w:val="57AD28EF"/>
    <w:rsid w:val="57D63BF4"/>
    <w:rsid w:val="583D0117"/>
    <w:rsid w:val="58B8779D"/>
    <w:rsid w:val="590D7AE9"/>
    <w:rsid w:val="59101387"/>
    <w:rsid w:val="598A113A"/>
    <w:rsid w:val="59AF0BA0"/>
    <w:rsid w:val="5A731BCE"/>
    <w:rsid w:val="5AA4622B"/>
    <w:rsid w:val="5AE26D53"/>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960B4F"/>
    <w:rsid w:val="62966DA1"/>
    <w:rsid w:val="63D646CA"/>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F920E8"/>
    <w:rsid w:val="6D800432"/>
    <w:rsid w:val="6D8A1C25"/>
    <w:rsid w:val="6DBB590E"/>
    <w:rsid w:val="6E35746E"/>
    <w:rsid w:val="6E8C1058"/>
    <w:rsid w:val="6ED00F45"/>
    <w:rsid w:val="6EDC3D8E"/>
    <w:rsid w:val="70B7060E"/>
    <w:rsid w:val="70CB230C"/>
    <w:rsid w:val="71662149"/>
    <w:rsid w:val="71CF1988"/>
    <w:rsid w:val="723143F0"/>
    <w:rsid w:val="72824C4C"/>
    <w:rsid w:val="72994DC2"/>
    <w:rsid w:val="72B648F6"/>
    <w:rsid w:val="733F0D8F"/>
    <w:rsid w:val="73B8604B"/>
    <w:rsid w:val="74145D78"/>
    <w:rsid w:val="74213FF1"/>
    <w:rsid w:val="74343D24"/>
    <w:rsid w:val="74505DF9"/>
    <w:rsid w:val="745443C6"/>
    <w:rsid w:val="75232716"/>
    <w:rsid w:val="75271ADB"/>
    <w:rsid w:val="75F06371"/>
    <w:rsid w:val="760B4F58"/>
    <w:rsid w:val="76497D1C"/>
    <w:rsid w:val="7691250C"/>
    <w:rsid w:val="76A01B45"/>
    <w:rsid w:val="76AA4771"/>
    <w:rsid w:val="76CE249E"/>
    <w:rsid w:val="76F8372F"/>
    <w:rsid w:val="77112A42"/>
    <w:rsid w:val="77244524"/>
    <w:rsid w:val="778B00FF"/>
    <w:rsid w:val="779C055E"/>
    <w:rsid w:val="77EF68E0"/>
    <w:rsid w:val="780F6F82"/>
    <w:rsid w:val="784B19A6"/>
    <w:rsid w:val="791D56CF"/>
    <w:rsid w:val="794B223C"/>
    <w:rsid w:val="7A344A7E"/>
    <w:rsid w:val="7AB43E11"/>
    <w:rsid w:val="7B7F61CD"/>
    <w:rsid w:val="7BFF10BB"/>
    <w:rsid w:val="7C09018C"/>
    <w:rsid w:val="7C5C02BC"/>
    <w:rsid w:val="7DED1B13"/>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unhideWhenUsed/>
    <w:qFormat/>
    <w:uiPriority w:val="99"/>
    <w:pPr>
      <w:ind w:left="100" w:leftChars="2500"/>
    </w:pPr>
  </w:style>
  <w:style w:type="paragraph" w:styleId="3">
    <w:name w:val="Balloon Text"/>
    <w:basedOn w:val="1"/>
    <w:link w:val="15"/>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unhideWhenUsed/>
    <w:qFormat/>
    <w:uiPriority w:val="99"/>
    <w:rPr>
      <w:color w:val="0000FF" w:themeColor="hyperlink"/>
      <w:u w:val="single"/>
      <w14:textFill>
        <w14:solidFill>
          <w14:schemeClr w14:val="hlink"/>
        </w14:solidFill>
      </w14:textFill>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character" w:customStyle="1" w:styleId="13">
    <w:name w:val="日期 Char"/>
    <w:basedOn w:val="9"/>
    <w:link w:val="2"/>
    <w:semiHidden/>
    <w:qFormat/>
    <w:uiPriority w:val="99"/>
  </w:style>
  <w:style w:type="paragraph" w:styleId="14">
    <w:name w:val="List Paragraph"/>
    <w:basedOn w:val="1"/>
    <w:qFormat/>
    <w:uiPriority w:val="99"/>
    <w:pPr>
      <w:ind w:firstLine="420" w:firstLineChars="200"/>
    </w:pPr>
  </w:style>
  <w:style w:type="character" w:customStyle="1" w:styleId="15">
    <w:name w:val="批注框文本 Char"/>
    <w:basedOn w:val="9"/>
    <w:link w:val="3"/>
    <w:semiHidden/>
    <w:qFormat/>
    <w:uiPriority w:val="99"/>
    <w:rPr>
      <w:kern w:val="2"/>
      <w:sz w:val="18"/>
      <w:szCs w:val="18"/>
    </w:rPr>
  </w:style>
  <w:style w:type="character" w:customStyle="1" w:styleId="16">
    <w:name w:val="Unresolved Mention"/>
    <w:basedOn w:val="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13</Pages>
  <Words>9003</Words>
  <Characters>9642</Characters>
  <Lines>75</Lines>
  <Paragraphs>21</Paragraphs>
  <TotalTime>54</TotalTime>
  <ScaleCrop>false</ScaleCrop>
  <LinksUpToDate>false</LinksUpToDate>
  <CharactersWithSpaces>9810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2023-03-23T05:29:00Z</dcterms:created>
  <dc:creator>Administrator</dc:creator>
  <cp:lastModifiedBy>cwzt</cp:lastModifiedBy>
  <dcterms:modified xsi:type="dcterms:W3CDTF">2025-01-08T08:10:36Z</dcterms:modified>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BF6CE43F8B384A83B5208220DCF6E8A8_13</vt:lpwstr>
  </property>
  <property fmtid="{D5CDD505-2E9C-101B-9397-08002B2CF9AE}" pid="4" name="KSOTemplateDocerSaveRecord">
    <vt:lpwstr>eyJoZGlkIjoiMmRiZWQzYzYwYWM5NDc0N2VkYjNkZjc2NjQ2NTQ3MjYifQ==</vt:lpwstr>
  </property>
</Properties>
</file>