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2A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7" w:afterLines="50" w:line="240" w:lineRule="auto"/>
        <w:jc w:val="center"/>
        <w:textAlignment w:val="auto"/>
        <w:outlineLvl w:val="0"/>
        <w:rPr>
          <w:rFonts w:hint="eastAsia" w:ascii="仿宋_GB2312" w:hAnsi="仿宋" w:eastAsia="仿宋_GB2312"/>
          <w:sz w:val="4"/>
          <w:szCs w:val="4"/>
        </w:rPr>
      </w:pPr>
      <w:r>
        <w:rPr>
          <w:rFonts w:hint="eastAsia" w:ascii="黑体" w:hAnsi="黑体" w:eastAsia="黑体"/>
          <w:sz w:val="32"/>
          <w:szCs w:val="32"/>
        </w:rPr>
        <w:t>债权申报说明</w:t>
      </w:r>
    </w:p>
    <w:p w14:paraId="7915C7F3">
      <w:pPr>
        <w:spacing w:before="156" w:beforeLines="50" w:line="400" w:lineRule="exact"/>
        <w:ind w:firstLine="480"/>
        <w:jc w:val="left"/>
        <w:outlineLvl w:val="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依据《中华人民共和国企业破产法》 （以下简称《企业破产法》）及相关法律、法规和司法解释的规定，就债权人在申报债权时的相关注意事项说明如下：</w:t>
      </w:r>
    </w:p>
    <w:p w14:paraId="75C3D604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</w:rPr>
        <w:t>1.申报债权的范围</w:t>
      </w:r>
    </w:p>
    <w:p w14:paraId="17CDFBE1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1.1时间界限：人民法院受理破产申请时对债务人享有债权的债权人，均有权向管理人申报债权。</w:t>
      </w:r>
    </w:p>
    <w:p w14:paraId="47AC00FC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1.2连带债权人可以由其中一人代表全体连带债权人申报债权，也可以共同申报债权。</w:t>
      </w:r>
    </w:p>
    <w:p w14:paraId="209AABA0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1.3债务人的保证人或者其他连带债务人已经代替债务人清偿债务的，以其对债务人的求偿权申报债权。债务人的保证人或者其他连带债务人尚未代替债务人清偿债务的，以其对债务人的将来求偿权申报债权。但是，债权人已经向管理人申报全部债权的除外。</w:t>
      </w:r>
    </w:p>
    <w:p w14:paraId="57D09CE8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1.4连带债务人数人被裁定适用《企业破产法》规定的程序的，其债权人有权就全部债权分别在各破产案件中申报债权。</w:t>
      </w:r>
    </w:p>
    <w:p w14:paraId="3622CF72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1.5管理人或者债务人依照《企业破产法》规定解除合同的，对方当事人以因合同解除所产生的损害赔偿请求权申报债权。</w:t>
      </w:r>
    </w:p>
    <w:p w14:paraId="04EB59E2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1.6债务人是委托合同的委托人，被裁定适用《企业破产法》规定的程序，受托人不知该事实，继续处理委托事务的，受托人以由此产生的请求权申报债权。</w:t>
      </w:r>
    </w:p>
    <w:p w14:paraId="398D8EB8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1.7债务人是票据的出票人，被裁定适用《企业破产法》规定的程序，该票据的付款人继续付款或者承兑的，付款人以由此产生的请求权申报债权。</w:t>
      </w:r>
    </w:p>
    <w:p w14:paraId="1A233250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 w:cs="Tahoma"/>
          <w:sz w:val="24"/>
        </w:rPr>
        <w:t>1.8</w:t>
      </w:r>
      <w:r>
        <w:rPr>
          <w:rFonts w:hint="eastAsia" w:ascii="仿宋_GB2312" w:hAnsi="仿宋" w:eastAsia="仿宋_GB2312"/>
          <w:sz w:val="24"/>
        </w:rPr>
        <w:t>附条件、附期限的债权和诉讼、仲裁未决的债权，债权人可以申报。</w:t>
      </w:r>
    </w:p>
    <w:p w14:paraId="24C72269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1.9未到期债权，在破产申请受理时视为已到期；附利息的债权自破产申请受理时停止计息。</w:t>
      </w:r>
    </w:p>
    <w:p w14:paraId="54E37155">
      <w:pPr>
        <w:spacing w:before="50" w:line="400" w:lineRule="exact"/>
        <w:ind w:firstLine="480"/>
        <w:jc w:val="left"/>
        <w:outlineLvl w:val="0"/>
        <w:rPr>
          <w:rFonts w:hint="default" w:ascii="仿宋_GB2312" w:hAnsi="仿宋" w:eastAsia="仿宋_GB2312"/>
          <w:b/>
          <w:bCs/>
          <w:sz w:val="24"/>
          <w:u w:val="single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  <w:u w:val="single"/>
          <w:lang w:eastAsia="zh-CN"/>
        </w:rPr>
        <w:t>特别提示：债权利息计算至</w:t>
      </w:r>
      <w:r>
        <w:rPr>
          <w:rFonts w:hint="eastAsia" w:ascii="仿宋_GB2312" w:hAnsi="仿宋" w:eastAsia="仿宋_GB2312"/>
          <w:b/>
          <w:bCs/>
          <w:sz w:val="24"/>
          <w:u w:val="single"/>
          <w:lang w:val="en-US" w:eastAsia="zh-CN"/>
        </w:rPr>
        <w:t>2025年1月7日，2025年1月8日停止计息</w:t>
      </w:r>
    </w:p>
    <w:p w14:paraId="53C26BA6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/>
          <w:sz w:val="24"/>
        </w:rPr>
      </w:pPr>
    </w:p>
    <w:p w14:paraId="5D3EA467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</w:rPr>
        <w:t>2.申报债权的要求</w:t>
      </w:r>
    </w:p>
    <w:p w14:paraId="02A59172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b/>
          <w:sz w:val="24"/>
        </w:rPr>
      </w:pPr>
      <w:r>
        <w:rPr>
          <w:rFonts w:hint="eastAsia" w:ascii="仿宋_GB2312" w:hAnsi="仿宋" w:eastAsia="仿宋_GB2312"/>
          <w:sz w:val="24"/>
        </w:rPr>
        <w:t>2.1</w:t>
      </w:r>
      <w:r>
        <w:rPr>
          <w:rFonts w:hint="eastAsia" w:ascii="仿宋_GB2312" w:hAnsi="仿宋" w:eastAsia="仿宋_GB2312" w:cs="Tahoma"/>
          <w:b/>
          <w:sz w:val="24"/>
        </w:rPr>
        <w:t>债权人应当在人民法院确定的债权申报期限内向管理人申报债权</w:t>
      </w:r>
      <w:r>
        <w:rPr>
          <w:rFonts w:hint="eastAsia" w:ascii="仿宋_GB2312" w:hAnsi="仿宋" w:eastAsia="仿宋_GB2312" w:cs="Tahoma"/>
          <w:sz w:val="24"/>
        </w:rPr>
        <w:t>。</w:t>
      </w:r>
    </w:p>
    <w:p w14:paraId="36685BB1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2.2在人民法院确定的债权申报期限内，债权人未申报债权的，可以在破产财产最后分配前补充申报；但是，此前已进行的分配，不再对其补充分配。为审查和确认补充申报债权的费用，由补充申报人承担。</w:t>
      </w:r>
    </w:p>
    <w:p w14:paraId="1A2AD951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2.3债权人未依照《企业破产法》规定申报债权的，不得依照该法规定的程序行使权利。</w:t>
      </w:r>
    </w:p>
    <w:p w14:paraId="0455331F">
      <w:pPr>
        <w:spacing w:before="50" w:line="400" w:lineRule="exact"/>
        <w:ind w:firstLine="470"/>
        <w:jc w:val="left"/>
        <w:outlineLvl w:val="0"/>
        <w:rPr>
          <w:rFonts w:hint="eastAsia"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</w:rPr>
        <w:t>3.申报债权的条件</w:t>
      </w:r>
    </w:p>
    <w:p w14:paraId="07D0BD68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/>
          <w:sz w:val="24"/>
        </w:rPr>
        <w:t>3.1</w:t>
      </w:r>
      <w:r>
        <w:rPr>
          <w:rFonts w:hint="eastAsia" w:ascii="仿宋_GB2312" w:hAnsi="仿宋" w:eastAsia="仿宋_GB2312" w:cs="Tahoma"/>
          <w:sz w:val="24"/>
        </w:rPr>
        <w:t>债权人申报债权时，应当</w:t>
      </w:r>
      <w:r>
        <w:rPr>
          <w:rFonts w:hint="eastAsia" w:ascii="仿宋_GB2312" w:hAnsi="仿宋" w:eastAsia="仿宋_GB2312" w:cs="Tahoma"/>
          <w:b/>
          <w:bCs/>
          <w:sz w:val="24"/>
        </w:rPr>
        <w:t>书面说明债权的数额</w:t>
      </w:r>
      <w:r>
        <w:rPr>
          <w:rFonts w:hint="eastAsia" w:ascii="仿宋_GB2312" w:hAnsi="仿宋" w:eastAsia="仿宋_GB2312" w:cs="Tahoma"/>
          <w:b/>
          <w:bCs/>
          <w:sz w:val="24"/>
          <w:lang w:eastAsia="zh-CN"/>
        </w:rPr>
        <w:t>，</w:t>
      </w:r>
      <w:r>
        <w:rPr>
          <w:rFonts w:hint="eastAsia" w:ascii="仿宋_GB2312" w:hAnsi="仿宋" w:eastAsia="仿宋_GB2312" w:cs="Tahoma"/>
          <w:b/>
          <w:bCs/>
          <w:sz w:val="24"/>
        </w:rPr>
        <w:t>有无财产担保</w:t>
      </w:r>
      <w:r>
        <w:rPr>
          <w:rFonts w:hint="eastAsia" w:ascii="仿宋_GB2312" w:hAnsi="仿宋" w:eastAsia="仿宋_GB2312" w:cs="Tahoma"/>
          <w:b/>
          <w:bCs/>
          <w:sz w:val="24"/>
          <w:lang w:eastAsia="zh-CN"/>
        </w:rPr>
        <w:t>，工程款债权要</w:t>
      </w:r>
      <w:bookmarkStart w:id="0" w:name="_GoBack"/>
      <w:bookmarkEnd w:id="0"/>
      <w:r>
        <w:rPr>
          <w:rFonts w:hint="eastAsia" w:ascii="仿宋_GB2312" w:hAnsi="仿宋" w:eastAsia="仿宋_GB2312" w:cs="Tahoma"/>
          <w:b/>
          <w:bCs/>
          <w:sz w:val="24"/>
          <w:lang w:eastAsia="zh-CN"/>
        </w:rPr>
        <w:t>说明是否主张优先权</w:t>
      </w:r>
      <w:r>
        <w:rPr>
          <w:rFonts w:hint="eastAsia" w:ascii="仿宋_GB2312" w:hAnsi="仿宋" w:eastAsia="仿宋_GB2312" w:cs="Tahoma"/>
          <w:sz w:val="24"/>
        </w:rPr>
        <w:t>，并提交有关证据。申报的债权是连带债权的，应当说明。</w:t>
      </w:r>
    </w:p>
    <w:p w14:paraId="44B1B69F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3.2债权人在申报债权时应同时提交债权申报表、债权申报文件清单，并由债权人签章确认。</w:t>
      </w:r>
    </w:p>
    <w:p w14:paraId="67C06E72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3.3债权人在申报债权时应同时提交债权人的主体资格文件，包括身份证明或企业法人营业执照等。</w:t>
      </w:r>
    </w:p>
    <w:p w14:paraId="53B4C618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3.4债权人委托他人申报债权的应提交书面授权委托书。</w:t>
      </w:r>
    </w:p>
    <w:p w14:paraId="49989B53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3.5债权人申报债权时应提交相关文件材料以证明债权存在以及金额，管理人如认为其提交文件材料不完整，可要求债权人补充提交文件材料。</w:t>
      </w:r>
    </w:p>
    <w:p w14:paraId="62860C76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  <w:r>
        <w:rPr>
          <w:rFonts w:hint="eastAsia" w:ascii="仿宋_GB2312" w:hAnsi="仿宋" w:eastAsia="仿宋_GB2312" w:cs="Tahoma"/>
          <w:sz w:val="24"/>
        </w:rPr>
        <w:t>3.6</w:t>
      </w:r>
      <w:r>
        <w:rPr>
          <w:rFonts w:hint="eastAsia" w:ascii="仿宋_GB2312" w:hAnsi="仿宋" w:eastAsia="仿宋_GB2312" w:cs="Tahoma"/>
          <w:b/>
          <w:sz w:val="24"/>
        </w:rPr>
        <w:t>债权人提交的申报材料复印件在申报同时提供原件供核对</w:t>
      </w:r>
      <w:r>
        <w:rPr>
          <w:rFonts w:hint="eastAsia" w:ascii="仿宋_GB2312" w:hAnsi="仿宋" w:eastAsia="仿宋_GB2312" w:cs="Tahoma"/>
          <w:sz w:val="24"/>
        </w:rPr>
        <w:t>，债权人有义务保证其提交的文件资料与原件相一致，并在其提交的复印件上由债权人或其受托人签名或盖章。</w:t>
      </w:r>
    </w:p>
    <w:p w14:paraId="011C931B">
      <w:pPr>
        <w:spacing w:before="50" w:line="400" w:lineRule="exact"/>
        <w:ind w:firstLine="480"/>
        <w:jc w:val="left"/>
        <w:outlineLvl w:val="0"/>
        <w:rPr>
          <w:rFonts w:hint="eastAsia" w:ascii="仿宋_GB2312" w:hAnsi="仿宋" w:eastAsia="仿宋_GB2312" w:cs="Tahoma"/>
          <w:sz w:val="24"/>
        </w:rPr>
      </w:pPr>
    </w:p>
    <w:p w14:paraId="1CE15692">
      <w:pPr>
        <w:spacing w:before="50" w:line="400" w:lineRule="exact"/>
        <w:ind w:firstLine="470"/>
        <w:jc w:val="left"/>
        <w:outlineLvl w:val="0"/>
        <w:rPr>
          <w:rFonts w:hint="eastAsia" w:ascii="仿宋_GB2312" w:hAnsi="仿宋" w:eastAsia="仿宋_GB2312" w:cs="Tahoma"/>
          <w:b/>
          <w:sz w:val="24"/>
        </w:rPr>
      </w:pPr>
      <w:r>
        <w:rPr>
          <w:rFonts w:hint="eastAsia" w:ascii="仿宋_GB2312" w:hAnsi="仿宋" w:eastAsia="仿宋_GB2312" w:cs="Tahoma"/>
          <w:b/>
          <w:sz w:val="24"/>
        </w:rPr>
        <w:t>4.特别提示</w:t>
      </w:r>
    </w:p>
    <w:p w14:paraId="4D0B58C3">
      <w:pPr>
        <w:spacing w:before="50" w:line="400" w:lineRule="exact"/>
        <w:ind w:firstLine="470"/>
        <w:jc w:val="left"/>
        <w:outlineLvl w:val="0"/>
        <w:rPr>
          <w:rFonts w:hint="eastAsia" w:ascii="仿宋_GB2312" w:hAnsi="仿宋" w:eastAsia="仿宋_GB2312" w:cs="Tahoma"/>
          <w:b/>
          <w:sz w:val="24"/>
        </w:rPr>
      </w:pPr>
      <w:r>
        <w:rPr>
          <w:rFonts w:hint="eastAsia" w:ascii="仿宋_GB2312" w:hAnsi="仿宋" w:eastAsia="仿宋_GB2312" w:cs="Tahoma"/>
          <w:b/>
          <w:sz w:val="24"/>
        </w:rPr>
        <w:t>4.1本《债权申报说明》只是针对债权人申报债权时注意事项及风险告知的特别提示，文本中加粗字体请债权人予以合理关注。本须知不视为出具给债权人的法律意见。</w:t>
      </w:r>
    </w:p>
    <w:p w14:paraId="0B0A7282">
      <w:pPr>
        <w:spacing w:before="50" w:line="400" w:lineRule="exact"/>
        <w:ind w:firstLine="470"/>
        <w:jc w:val="left"/>
        <w:outlineLvl w:val="0"/>
        <w:rPr>
          <w:rFonts w:hint="eastAsia" w:ascii="仿宋_GB2312" w:hAnsi="仿宋" w:eastAsia="仿宋_GB2312" w:cs="Tahoma"/>
          <w:b/>
          <w:sz w:val="24"/>
        </w:rPr>
      </w:pPr>
      <w:r>
        <w:rPr>
          <w:rFonts w:hint="eastAsia" w:ascii="仿宋_GB2312" w:hAnsi="仿宋" w:eastAsia="仿宋_GB2312" w:cs="Tahoma"/>
          <w:b/>
          <w:sz w:val="24"/>
        </w:rPr>
        <w:t>4.2债权人应考虑必要时在法律专业人士的协助下申报债权和/或寻求法律帮助。</w:t>
      </w:r>
    </w:p>
    <w:p w14:paraId="7865EA8E">
      <w:pPr>
        <w:spacing w:before="50" w:line="400" w:lineRule="exact"/>
        <w:ind w:firstLine="470"/>
        <w:jc w:val="left"/>
        <w:outlineLvl w:val="0"/>
        <w:rPr>
          <w:rFonts w:hint="eastAsia" w:ascii="仿宋_GB2312" w:hAnsi="仿宋" w:eastAsia="仿宋_GB2312" w:cs="Tahoma"/>
          <w:b/>
          <w:sz w:val="24"/>
          <w:u w:val="single"/>
        </w:rPr>
      </w:pPr>
      <w:r>
        <w:rPr>
          <w:rFonts w:hint="eastAsia" w:ascii="仿宋_GB2312" w:hAnsi="仿宋" w:eastAsia="仿宋_GB2312" w:cs="Tahoma"/>
          <w:b/>
          <w:sz w:val="24"/>
          <w:u w:val="single"/>
        </w:rPr>
        <w:t>4.3债权人虚假申报债权或提供虚假申报材料，损害其他债权人利益的，管理人将依法移送公安机关或人民法院追究其法律责任。</w:t>
      </w:r>
    </w:p>
    <w:p w14:paraId="14C8A319">
      <w:pPr>
        <w:spacing w:before="50" w:line="400" w:lineRule="exact"/>
        <w:ind w:firstLine="470"/>
        <w:jc w:val="left"/>
        <w:outlineLvl w:val="0"/>
        <w:rPr>
          <w:rFonts w:ascii="仿宋_GB2312" w:hAnsi="仿宋" w:eastAsia="仿宋_GB2312" w:cs="Tahoma"/>
          <w:b/>
          <w:sz w:val="24"/>
        </w:rPr>
      </w:pPr>
      <w:r>
        <w:rPr>
          <w:rFonts w:hint="eastAsia" w:ascii="仿宋_GB2312" w:hAnsi="仿宋" w:eastAsia="仿宋_GB2312" w:cs="Tahoma"/>
          <w:b/>
          <w:sz w:val="24"/>
        </w:rPr>
        <w:t>4.4 本须知及风险告知书内容与现行法律、法规、司法解释及人民法院司法文件不一致的，以后者为准。</w:t>
      </w:r>
    </w:p>
    <w:p w14:paraId="07A8CF54">
      <w:pPr>
        <w:spacing w:before="50" w:line="400" w:lineRule="exact"/>
        <w:jc w:val="left"/>
        <w:outlineLvl w:val="0"/>
        <w:rPr>
          <w:rFonts w:ascii="仿宋_GB2312" w:hAnsi="仿宋" w:eastAsia="仿宋_GB2312" w:cs="Tahoma"/>
          <w:b/>
          <w:sz w:val="24"/>
          <w:u w:val="dotDotDash"/>
        </w:rPr>
      </w:pPr>
      <w:r>
        <w:rPr>
          <w:rFonts w:ascii="仿宋_GB2312" w:hAnsi="仿宋" w:eastAsia="仿宋_GB2312" w:cs="Tahoma"/>
          <w:b/>
          <w:sz w:val="24"/>
          <w:u w:val="dotDotDash"/>
        </w:rPr>
        <w:t xml:space="preserve">                                                                    </w:t>
      </w:r>
    </w:p>
    <w:p w14:paraId="19DADD6A">
      <w:pPr>
        <w:spacing w:before="50" w:line="400" w:lineRule="exact"/>
        <w:jc w:val="center"/>
        <w:outlineLvl w:val="0"/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申报</w:t>
      </w:r>
      <w:r>
        <w:rPr>
          <w:rFonts w:ascii="楷体" w:hAnsi="楷体" w:eastAsia="楷体"/>
          <w:b/>
          <w:sz w:val="24"/>
        </w:rPr>
        <w:t>人</w:t>
      </w:r>
      <w:r>
        <w:rPr>
          <w:rFonts w:hint="eastAsia" w:ascii="楷体" w:hAnsi="楷体" w:eastAsia="楷体"/>
          <w:b/>
          <w:sz w:val="24"/>
        </w:rPr>
        <w:t>声明</w:t>
      </w:r>
    </w:p>
    <w:p w14:paraId="44D2050C">
      <w:pPr>
        <w:pStyle w:val="3"/>
        <w:spacing w:before="156" w:beforeLines="50" w:line="400" w:lineRule="exact"/>
        <w:ind w:firstLine="238"/>
        <w:rPr>
          <w:rFonts w:hint="eastAsia" w:ascii="楷体" w:hAnsi="楷体" w:eastAsia="楷体"/>
          <w:b/>
          <w:sz w:val="24"/>
          <w:szCs w:val="24"/>
        </w:rPr>
      </w:pPr>
      <w:r>
        <w:rPr>
          <w:rFonts w:ascii="楷体" w:hAnsi="楷体" w:eastAsia="楷体"/>
          <w:b/>
          <w:sz w:val="24"/>
          <w:szCs w:val="24"/>
        </w:rPr>
        <w:t xml:space="preserve">  </w:t>
      </w:r>
      <w:r>
        <w:rPr>
          <w:rFonts w:hint="eastAsia" w:ascii="楷体" w:hAnsi="楷体" w:eastAsia="楷体"/>
          <w:b/>
          <w:sz w:val="24"/>
          <w:szCs w:val="24"/>
        </w:rPr>
        <w:t>本人</w:t>
      </w:r>
      <w:r>
        <w:rPr>
          <w:rFonts w:ascii="楷体" w:hAnsi="楷体" w:eastAsia="楷体"/>
          <w:b/>
          <w:sz w:val="24"/>
          <w:szCs w:val="24"/>
        </w:rPr>
        <w:t>/</w:t>
      </w:r>
      <w:r>
        <w:rPr>
          <w:rFonts w:hint="eastAsia" w:ascii="楷体" w:hAnsi="楷体" w:eastAsia="楷体"/>
          <w:b/>
          <w:sz w:val="24"/>
          <w:szCs w:val="24"/>
        </w:rPr>
        <w:t>单位已认真、仔细阅读</w:t>
      </w:r>
      <w:r>
        <w:rPr>
          <w:rFonts w:ascii="楷体" w:hAnsi="楷体" w:eastAsia="楷体"/>
          <w:b/>
          <w:sz w:val="24"/>
          <w:szCs w:val="24"/>
        </w:rPr>
        <w:t>《债权申报</w:t>
      </w:r>
      <w:r>
        <w:rPr>
          <w:rFonts w:hint="eastAsia" w:ascii="楷体" w:hAnsi="楷体" w:eastAsia="楷体"/>
          <w:b/>
          <w:sz w:val="24"/>
          <w:szCs w:val="24"/>
        </w:rPr>
        <w:t>说明</w:t>
      </w:r>
      <w:r>
        <w:rPr>
          <w:rFonts w:ascii="楷体" w:hAnsi="楷体" w:eastAsia="楷体"/>
          <w:b/>
          <w:sz w:val="24"/>
          <w:szCs w:val="24"/>
        </w:rPr>
        <w:t>》</w:t>
      </w:r>
      <w:r>
        <w:rPr>
          <w:rFonts w:hint="eastAsia" w:ascii="楷体" w:hAnsi="楷体" w:eastAsia="楷体"/>
          <w:b/>
          <w:sz w:val="24"/>
          <w:szCs w:val="24"/>
        </w:rPr>
        <w:t>，对其意思表示已清楚明白。</w:t>
      </w:r>
      <w:r>
        <w:rPr>
          <w:rFonts w:ascii="楷体" w:hAnsi="楷体" w:eastAsia="楷体"/>
          <w:b/>
          <w:sz w:val="24"/>
          <w:szCs w:val="24"/>
        </w:rPr>
        <w:t>同时本次</w:t>
      </w:r>
      <w:r>
        <w:rPr>
          <w:rFonts w:hint="eastAsia" w:ascii="楷体" w:hAnsi="楷体" w:eastAsia="楷体"/>
          <w:b/>
          <w:sz w:val="24"/>
          <w:szCs w:val="24"/>
        </w:rPr>
        <w:t>申报</w:t>
      </w:r>
      <w:r>
        <w:rPr>
          <w:rFonts w:ascii="楷体" w:hAnsi="楷体" w:eastAsia="楷体"/>
          <w:b/>
          <w:sz w:val="24"/>
          <w:szCs w:val="24"/>
        </w:rPr>
        <w:t>已将本人享有的全部债权申报</w:t>
      </w:r>
      <w:r>
        <w:rPr>
          <w:rFonts w:hint="eastAsia" w:ascii="楷体" w:hAnsi="楷体" w:eastAsia="楷体"/>
          <w:b/>
          <w:sz w:val="24"/>
          <w:szCs w:val="24"/>
        </w:rPr>
        <w:t>完毕</w:t>
      </w:r>
      <w:r>
        <w:rPr>
          <w:rFonts w:ascii="楷体" w:hAnsi="楷体" w:eastAsia="楷体"/>
          <w:b/>
          <w:sz w:val="24"/>
          <w:szCs w:val="24"/>
        </w:rPr>
        <w:t>。</w:t>
      </w:r>
      <w:r>
        <w:rPr>
          <w:rFonts w:hint="eastAsia" w:ascii="楷体" w:hAnsi="楷体" w:eastAsia="楷体"/>
          <w:b/>
          <w:sz w:val="24"/>
          <w:szCs w:val="24"/>
        </w:rPr>
        <w:t>特此签字确认。</w:t>
      </w:r>
    </w:p>
    <w:p w14:paraId="60BB8075">
      <w:pPr>
        <w:pStyle w:val="3"/>
        <w:spacing w:before="50" w:line="400" w:lineRule="exact"/>
        <w:jc w:val="center"/>
        <w:rPr>
          <w:rFonts w:hint="eastAsia" w:ascii="楷体" w:hAnsi="楷体" w:eastAsia="楷体"/>
          <w:b/>
          <w:sz w:val="24"/>
          <w:szCs w:val="24"/>
        </w:rPr>
      </w:pPr>
    </w:p>
    <w:p w14:paraId="786749C0">
      <w:pPr>
        <w:pStyle w:val="3"/>
        <w:spacing w:before="50" w:line="400" w:lineRule="exact"/>
        <w:jc w:val="center"/>
        <w:rPr>
          <w:rFonts w:hint="eastAsia"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 xml:space="preserve">        申报人（签名或盖章）：</w:t>
      </w:r>
    </w:p>
    <w:p w14:paraId="13ABD17B">
      <w:pPr>
        <w:pStyle w:val="3"/>
        <w:spacing w:before="50" w:line="400" w:lineRule="exact"/>
        <w:jc w:val="center"/>
        <w:rPr>
          <w:rFonts w:hint="eastAsia" w:ascii="楷体" w:hAnsi="楷体" w:eastAsia="楷体"/>
          <w:b/>
          <w:sz w:val="24"/>
          <w:szCs w:val="24"/>
        </w:rPr>
      </w:pPr>
    </w:p>
    <w:p w14:paraId="0ADAD6CC">
      <w:pPr>
        <w:spacing w:before="50" w:line="400" w:lineRule="exact"/>
        <w:ind w:firstLine="470"/>
        <w:jc w:val="left"/>
        <w:outlineLvl w:val="0"/>
        <w:rPr>
          <w:rFonts w:hint="eastAsia" w:ascii="仿宋_GB2312" w:hAnsi="仿宋" w:eastAsia="仿宋_GB2312" w:cs="Tahoma"/>
          <w:b/>
          <w:sz w:val="24"/>
        </w:rPr>
      </w:pPr>
      <w:r>
        <w:rPr>
          <w:rFonts w:hint="eastAsia" w:ascii="楷体" w:hAnsi="楷体" w:eastAsia="楷体"/>
          <w:b/>
          <w:sz w:val="24"/>
        </w:rPr>
        <w:t xml:space="preserve">                                    </w:t>
      </w:r>
      <w:r>
        <w:rPr>
          <w:rFonts w:hint="eastAsia" w:ascii="楷体" w:hAnsi="楷体" w:eastAsia="楷体"/>
          <w:b/>
          <w:sz w:val="24"/>
          <w:lang w:val="en-US" w:eastAsia="zh-CN"/>
        </w:rPr>
        <w:t xml:space="preserve">        </w:t>
      </w:r>
      <w:r>
        <w:rPr>
          <w:rFonts w:hint="eastAsia" w:ascii="楷体" w:hAnsi="楷体" w:eastAsia="楷体"/>
          <w:b/>
          <w:sz w:val="24"/>
        </w:rPr>
        <w:t xml:space="preserve">   年   月  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091" w:right="1800" w:bottom="109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D6674">
    <w:pPr>
      <w:pStyle w:val="3"/>
      <w:framePr w:wrap="around" w:vAnchor="text" w:hAnchor="margin" w:xAlign="center" w:y="1"/>
      <w:rPr>
        <w:rStyle w:val="7"/>
      </w:rPr>
    </w:pPr>
    <w:r>
      <w:rPr>
        <w:rStyle w:val="7"/>
        <w:rFonts w:hint="eastAsia"/>
      </w:rPr>
      <w:t>第</w:t>
    </w: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  <w:r>
      <w:rPr>
        <w:rStyle w:val="7"/>
        <w:rFonts w:hint="eastAsia"/>
      </w:rPr>
      <w:t>页，共2页</w:t>
    </w:r>
  </w:p>
  <w:p w14:paraId="3F339B64">
    <w:pPr>
      <w:pStyle w:val="3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8FD15C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36E20501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1ED3E">
    <w:pPr>
      <w:pStyle w:val="4"/>
      <w:ind w:right="360"/>
      <w:jc w:val="right"/>
      <w:rPr>
        <w:rFonts w:hint="eastAsia"/>
      </w:rPr>
    </w:pPr>
    <w:r>
      <w:rPr>
        <w:rFonts w:hint="eastAsia"/>
      </w:rPr>
      <w:t xml:space="preserve">债权申报说明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196"/>
    <w:rsid w:val="00020EBE"/>
    <w:rsid w:val="0004253E"/>
    <w:rsid w:val="0007610C"/>
    <w:rsid w:val="000769DB"/>
    <w:rsid w:val="0009309F"/>
    <w:rsid w:val="000A6243"/>
    <w:rsid w:val="000B1107"/>
    <w:rsid w:val="000C5EEF"/>
    <w:rsid w:val="00121DC4"/>
    <w:rsid w:val="00127E8C"/>
    <w:rsid w:val="001516AB"/>
    <w:rsid w:val="00162722"/>
    <w:rsid w:val="00163E26"/>
    <w:rsid w:val="00194D75"/>
    <w:rsid w:val="001C2C4C"/>
    <w:rsid w:val="001C7F47"/>
    <w:rsid w:val="001D5200"/>
    <w:rsid w:val="001E5EE0"/>
    <w:rsid w:val="001F2DEC"/>
    <w:rsid w:val="0020518B"/>
    <w:rsid w:val="00225383"/>
    <w:rsid w:val="00237192"/>
    <w:rsid w:val="00242822"/>
    <w:rsid w:val="00264905"/>
    <w:rsid w:val="00276B5C"/>
    <w:rsid w:val="00283C1C"/>
    <w:rsid w:val="002A5180"/>
    <w:rsid w:val="002C72B9"/>
    <w:rsid w:val="00314CAD"/>
    <w:rsid w:val="003169E6"/>
    <w:rsid w:val="0033060B"/>
    <w:rsid w:val="00333A95"/>
    <w:rsid w:val="00351C57"/>
    <w:rsid w:val="00352187"/>
    <w:rsid w:val="0035799D"/>
    <w:rsid w:val="00362A01"/>
    <w:rsid w:val="00364EE1"/>
    <w:rsid w:val="00371974"/>
    <w:rsid w:val="0038494D"/>
    <w:rsid w:val="00386E76"/>
    <w:rsid w:val="003A2507"/>
    <w:rsid w:val="003C1E1D"/>
    <w:rsid w:val="003C7BBD"/>
    <w:rsid w:val="003D7243"/>
    <w:rsid w:val="003F2004"/>
    <w:rsid w:val="004333BD"/>
    <w:rsid w:val="0046495A"/>
    <w:rsid w:val="00484A58"/>
    <w:rsid w:val="004E2D64"/>
    <w:rsid w:val="004E3AAC"/>
    <w:rsid w:val="004F6C1B"/>
    <w:rsid w:val="005452D3"/>
    <w:rsid w:val="005463D7"/>
    <w:rsid w:val="00552B12"/>
    <w:rsid w:val="0055466E"/>
    <w:rsid w:val="00562F94"/>
    <w:rsid w:val="00563971"/>
    <w:rsid w:val="00571FF0"/>
    <w:rsid w:val="00574CFB"/>
    <w:rsid w:val="005D283B"/>
    <w:rsid w:val="00612915"/>
    <w:rsid w:val="00617A06"/>
    <w:rsid w:val="006216F6"/>
    <w:rsid w:val="0065310E"/>
    <w:rsid w:val="00655FC7"/>
    <w:rsid w:val="006636F0"/>
    <w:rsid w:val="006C04F8"/>
    <w:rsid w:val="006C5B61"/>
    <w:rsid w:val="00705309"/>
    <w:rsid w:val="007117D9"/>
    <w:rsid w:val="0076397C"/>
    <w:rsid w:val="00770899"/>
    <w:rsid w:val="007875AD"/>
    <w:rsid w:val="007976D6"/>
    <w:rsid w:val="007A6099"/>
    <w:rsid w:val="007B2741"/>
    <w:rsid w:val="007B7145"/>
    <w:rsid w:val="007D2B8B"/>
    <w:rsid w:val="007E29A8"/>
    <w:rsid w:val="007E57EB"/>
    <w:rsid w:val="007F1340"/>
    <w:rsid w:val="00833490"/>
    <w:rsid w:val="00874277"/>
    <w:rsid w:val="00876153"/>
    <w:rsid w:val="00880BE3"/>
    <w:rsid w:val="008E1B32"/>
    <w:rsid w:val="008F072A"/>
    <w:rsid w:val="008F2C65"/>
    <w:rsid w:val="009260D8"/>
    <w:rsid w:val="009516B7"/>
    <w:rsid w:val="00962A0A"/>
    <w:rsid w:val="00991982"/>
    <w:rsid w:val="009A0732"/>
    <w:rsid w:val="009C33D2"/>
    <w:rsid w:val="009D0F18"/>
    <w:rsid w:val="00A06CED"/>
    <w:rsid w:val="00A15196"/>
    <w:rsid w:val="00A172A5"/>
    <w:rsid w:val="00A33DF3"/>
    <w:rsid w:val="00A40D2F"/>
    <w:rsid w:val="00A641F3"/>
    <w:rsid w:val="00A66EDC"/>
    <w:rsid w:val="00A733FD"/>
    <w:rsid w:val="00AB2848"/>
    <w:rsid w:val="00AC20E1"/>
    <w:rsid w:val="00AC58C1"/>
    <w:rsid w:val="00AD2DC5"/>
    <w:rsid w:val="00B005A7"/>
    <w:rsid w:val="00B00D7A"/>
    <w:rsid w:val="00B07C83"/>
    <w:rsid w:val="00B213A1"/>
    <w:rsid w:val="00B24D57"/>
    <w:rsid w:val="00B31459"/>
    <w:rsid w:val="00B45F3F"/>
    <w:rsid w:val="00B71864"/>
    <w:rsid w:val="00B94C0C"/>
    <w:rsid w:val="00BD2773"/>
    <w:rsid w:val="00BF0EAB"/>
    <w:rsid w:val="00BF716A"/>
    <w:rsid w:val="00BF7CEF"/>
    <w:rsid w:val="00C050DB"/>
    <w:rsid w:val="00C156B7"/>
    <w:rsid w:val="00C3570E"/>
    <w:rsid w:val="00C36AE2"/>
    <w:rsid w:val="00C45367"/>
    <w:rsid w:val="00C6495A"/>
    <w:rsid w:val="00C67989"/>
    <w:rsid w:val="00C76A95"/>
    <w:rsid w:val="00CA08B7"/>
    <w:rsid w:val="00CD672D"/>
    <w:rsid w:val="00D34386"/>
    <w:rsid w:val="00D547E3"/>
    <w:rsid w:val="00D60264"/>
    <w:rsid w:val="00D71DC1"/>
    <w:rsid w:val="00D73842"/>
    <w:rsid w:val="00D77265"/>
    <w:rsid w:val="00D80011"/>
    <w:rsid w:val="00D84B95"/>
    <w:rsid w:val="00D97FD0"/>
    <w:rsid w:val="00DA3161"/>
    <w:rsid w:val="00DB1818"/>
    <w:rsid w:val="00DB2B2A"/>
    <w:rsid w:val="00DE61EA"/>
    <w:rsid w:val="00E13C58"/>
    <w:rsid w:val="00E21734"/>
    <w:rsid w:val="00E3242B"/>
    <w:rsid w:val="00E379FB"/>
    <w:rsid w:val="00E61EEF"/>
    <w:rsid w:val="00E67E99"/>
    <w:rsid w:val="00EA082E"/>
    <w:rsid w:val="00EA1B91"/>
    <w:rsid w:val="00EA2D13"/>
    <w:rsid w:val="00EC4404"/>
    <w:rsid w:val="00EE0B9A"/>
    <w:rsid w:val="00EE1E0D"/>
    <w:rsid w:val="00EE5D28"/>
    <w:rsid w:val="00F01071"/>
    <w:rsid w:val="00F11F4B"/>
    <w:rsid w:val="00F17B49"/>
    <w:rsid w:val="00F259F0"/>
    <w:rsid w:val="00F531D7"/>
    <w:rsid w:val="00F96EAE"/>
    <w:rsid w:val="00FA4EBC"/>
    <w:rsid w:val="00FA4FE3"/>
    <w:rsid w:val="00FC3817"/>
    <w:rsid w:val="00FF0D55"/>
    <w:rsid w:val="19BB4D8C"/>
    <w:rsid w:val="4ACC7B70"/>
    <w:rsid w:val="57580455"/>
    <w:rsid w:val="7CEF78FD"/>
    <w:rsid w:val="FDDFE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字符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1350</Words>
  <Characters>1398</Characters>
  <Lines>11</Lines>
  <Paragraphs>3</Paragraphs>
  <TotalTime>17</TotalTime>
  <ScaleCrop>false</ScaleCrop>
  <LinksUpToDate>false</LinksUpToDate>
  <CharactersWithSpaces>1529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2018-04-25T22:51:00Z</dcterms:created>
  <dc:creator>james</dc:creator>
  <cp:lastModifiedBy>张佳慧律师</cp:lastModifiedBy>
  <cp:lastPrinted>2016-11-02T01:27:00Z</cp:lastPrinted>
  <dcterms:modified xsi:type="dcterms:W3CDTF">2025-01-11T14:12:24Z</dcterms:modified>
  <dc:title>中土畜浙江进出口公司债权人须知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KSOTemplateDocerSaveRecord">
    <vt:lpwstr>eyJoZGlkIjoiZDQ5OTBlYTg2MTc1OGZmYjQ5ZjQ3NmE2ZmI3OTlkY2MiLCJ1c2VySWQiOiIyOTc2MDUyODYifQ==</vt:lpwstr>
  </property>
  <property fmtid="{D5CDD505-2E9C-101B-9397-08002B2CF9AE}" pid="4" name="ICV">
    <vt:lpwstr>867BFBC8665D4092BBD4DEE2AD03CB7F_12</vt:lpwstr>
  </property>
</Properties>
</file>