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6C84BC">
      <w:pPr>
        <w:spacing w:line="360" w:lineRule="auto"/>
        <w:jc w:val="center"/>
        <w:rPr>
          <w:rFonts w:asciiTheme="minorEastAsia" w:hAnsiTheme="minorEastAsia"/>
          <w:b/>
          <w:sz w:val="36"/>
          <w:szCs w:val="36"/>
        </w:rPr>
      </w:pPr>
      <w:bookmarkStart w:id="1" w:name="_GoBack"/>
      <w:bookmarkEnd w:id="1"/>
      <w:r>
        <w:rPr>
          <w:rFonts w:hint="eastAsia" w:asciiTheme="minorEastAsia" w:hAnsiTheme="minorEastAsia"/>
          <w:b/>
          <w:sz w:val="36"/>
          <w:szCs w:val="36"/>
        </w:rPr>
        <w:t>关于衡水泽邦橡胶制品有限公司的土地及地上建筑物的竞买公告</w:t>
      </w:r>
    </w:p>
    <w:p w14:paraId="0588BC6C">
      <w:pPr>
        <w:spacing w:line="360" w:lineRule="auto"/>
        <w:jc w:val="center"/>
        <w:rPr>
          <w:rFonts w:asciiTheme="minorEastAsia" w:hAnsiTheme="minorEastAsia"/>
          <w:sz w:val="24"/>
          <w:szCs w:val="24"/>
        </w:rPr>
      </w:pPr>
    </w:p>
    <w:p w14:paraId="26535F2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衡水泽邦橡胶制品有限公司（以下简称“泽邦橡胶”）管理人将于</w:t>
      </w:r>
      <w:r>
        <w:rPr>
          <w:rFonts w:asciiTheme="minorEastAsia" w:hAnsiTheme="minorEastAsia"/>
          <w:sz w:val="24"/>
          <w:szCs w:val="24"/>
        </w:rPr>
        <w:t>20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2月13日</w:t>
      </w:r>
      <w:r>
        <w:rPr>
          <w:rFonts w:asciiTheme="minorEastAsia" w:hAnsiTheme="minorEastAsia"/>
          <w:sz w:val="24"/>
          <w:szCs w:val="24"/>
        </w:rPr>
        <w:t>10时至20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2月14日</w:t>
      </w:r>
      <w:r>
        <w:rPr>
          <w:rFonts w:asciiTheme="minorEastAsia" w:hAnsiTheme="minorEastAsia"/>
          <w:sz w:val="24"/>
          <w:szCs w:val="24"/>
        </w:rPr>
        <w:t>10时</w:t>
      </w:r>
      <w:r>
        <w:rPr>
          <w:rFonts w:hint="eastAsia" w:asciiTheme="minorEastAsia" w:hAnsiTheme="minorEastAsia"/>
          <w:sz w:val="24"/>
          <w:szCs w:val="24"/>
        </w:rPr>
        <w:t>止（延时的除外）在阿里资产·破产网络平台上（网址：</w:t>
      </w:r>
      <w:r>
        <w:rPr>
          <w:rFonts w:asciiTheme="minorEastAsia" w:hAnsiTheme="minorEastAsia"/>
          <w:sz w:val="24"/>
          <w:szCs w:val="24"/>
        </w:rPr>
        <w:t>https://susong.taobao.com/</w:t>
      </w:r>
      <w:r>
        <w:rPr>
          <w:rFonts w:hint="eastAsia" w:asciiTheme="minorEastAsia" w:hAnsiTheme="minorEastAsia"/>
          <w:sz w:val="24"/>
          <w:szCs w:val="24"/>
        </w:rPr>
        <w:t>）进行公开拍卖活动，现公告如下：</w:t>
      </w:r>
    </w:p>
    <w:p w14:paraId="3BF02376">
      <w:pPr>
        <w:numPr>
          <w:ilvl w:val="0"/>
          <w:numId w:val="1"/>
        </w:num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拍卖标的物情况简介</w:t>
      </w:r>
    </w:p>
    <w:p w14:paraId="4C540474">
      <w:pPr>
        <w:spacing w:line="360" w:lineRule="auto"/>
        <w:ind w:left="482"/>
        <w:rPr>
          <w:rFonts w:asciiTheme="minorEastAsia" w:hAnsiTheme="minorEastAsia"/>
          <w:b/>
          <w:sz w:val="24"/>
          <w:szCs w:val="24"/>
        </w:rPr>
      </w:pPr>
      <w:r>
        <w:rPr>
          <w:rFonts w:hint="eastAsia" w:asciiTheme="minorEastAsia" w:hAnsiTheme="minorEastAsia"/>
          <w:b/>
          <w:sz w:val="24"/>
          <w:szCs w:val="24"/>
        </w:rPr>
        <w:t>标的物地址：</w:t>
      </w:r>
      <w:r>
        <w:rPr>
          <w:rFonts w:hint="eastAsia" w:asciiTheme="minorEastAsia" w:hAnsiTheme="minorEastAsia"/>
          <w:sz w:val="24"/>
          <w:szCs w:val="24"/>
        </w:rPr>
        <w:t xml:space="preserve">河北省冀州区恒旗刹车管厂西南(顺平街) </w:t>
      </w:r>
    </w:p>
    <w:p w14:paraId="3C483C30">
      <w:pPr>
        <w:spacing w:line="360" w:lineRule="auto"/>
        <w:ind w:firstLine="482" w:firstLineChars="200"/>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b/>
          <w:bCs/>
          <w:sz w:val="24"/>
          <w:szCs w:val="24"/>
        </w:rPr>
        <w:t>标的物名称</w:t>
      </w:r>
      <w:r>
        <w:rPr>
          <w:rFonts w:hint="eastAsia" w:asciiTheme="minorEastAsia" w:hAnsiTheme="minorEastAsia"/>
          <w:sz w:val="24"/>
          <w:szCs w:val="24"/>
        </w:rPr>
        <w:t>：</w:t>
      </w:r>
      <w:r>
        <w:rPr>
          <w:rFonts w:hint="eastAsia" w:asciiTheme="minorEastAsia" w:hAnsiTheme="minorEastAsia"/>
          <w:color w:val="000000" w:themeColor="text1"/>
          <w:sz w:val="24"/>
          <w:szCs w:val="24"/>
          <w14:textFill>
            <w14:solidFill>
              <w14:schemeClr w14:val="tx1"/>
            </w14:solidFill>
          </w14:textFill>
        </w:rPr>
        <w:t>衡水泽邦橡胶制品有限公司的土地及地上建筑物</w:t>
      </w:r>
    </w:p>
    <w:p w14:paraId="46E3AA9F">
      <w:pPr>
        <w:spacing w:line="360" w:lineRule="auto"/>
        <w:ind w:firstLine="482" w:firstLineChars="200"/>
        <w:rPr>
          <w:rFonts w:asciiTheme="minorEastAsia" w:hAnsiTheme="minorEastAsia"/>
          <w:sz w:val="24"/>
          <w:szCs w:val="24"/>
        </w:rPr>
      </w:pPr>
      <w:r>
        <w:rPr>
          <w:rFonts w:hint="eastAsia" w:asciiTheme="minorEastAsia" w:hAnsiTheme="minorEastAsia"/>
          <w:b/>
          <w:bCs/>
          <w:sz w:val="24"/>
          <w:szCs w:val="24"/>
        </w:rPr>
        <w:t>起拍价</w:t>
      </w:r>
      <w:r>
        <w:rPr>
          <w:rFonts w:hint="eastAsia" w:asciiTheme="minorEastAsia" w:hAnsiTheme="minorEastAsia"/>
          <w:sz w:val="24"/>
          <w:szCs w:val="24"/>
        </w:rPr>
        <w:t>：</w:t>
      </w:r>
      <w:r>
        <w:rPr>
          <w:rFonts w:hint="eastAsia" w:asciiTheme="minorEastAsia" w:hAnsiTheme="minorEastAsia"/>
          <w:b/>
          <w:bCs/>
          <w:color w:val="FF0000"/>
          <w:sz w:val="24"/>
          <w:szCs w:val="24"/>
        </w:rPr>
        <w:t>1,617,800</w:t>
      </w:r>
      <w:r>
        <w:rPr>
          <w:rFonts w:hint="eastAsia" w:asciiTheme="minorEastAsia" w:hAnsiTheme="minorEastAsia"/>
          <w:sz w:val="24"/>
          <w:szCs w:val="24"/>
        </w:rPr>
        <w:t>元，保证金：</w:t>
      </w:r>
      <w:r>
        <w:rPr>
          <w:rFonts w:hint="eastAsia" w:asciiTheme="minorEastAsia" w:hAnsiTheme="minorEastAsia"/>
          <w:b/>
          <w:bCs/>
          <w:color w:val="FF0000"/>
          <w:sz w:val="24"/>
          <w:szCs w:val="24"/>
        </w:rPr>
        <w:t>150,000</w:t>
      </w:r>
      <w:r>
        <w:rPr>
          <w:rFonts w:hint="eastAsia" w:asciiTheme="minorEastAsia" w:hAnsiTheme="minorEastAsia"/>
          <w:sz w:val="24"/>
          <w:szCs w:val="24"/>
        </w:rPr>
        <w:t>元，增价幅度：</w:t>
      </w:r>
      <w:r>
        <w:rPr>
          <w:rFonts w:hint="eastAsia" w:asciiTheme="minorEastAsia" w:hAnsiTheme="minorEastAsia"/>
          <w:b/>
          <w:bCs/>
          <w:color w:val="FF0000"/>
          <w:sz w:val="24"/>
          <w:szCs w:val="24"/>
        </w:rPr>
        <w:t>15,000</w:t>
      </w:r>
      <w:r>
        <w:rPr>
          <w:rFonts w:hint="eastAsia" w:asciiTheme="minorEastAsia" w:hAnsiTheme="minorEastAsia"/>
          <w:sz w:val="24"/>
          <w:szCs w:val="24"/>
        </w:rPr>
        <w:t>元(或整倍数)。</w:t>
      </w:r>
    </w:p>
    <w:p w14:paraId="37E1FE46">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标的物特别情况说明：</w:t>
      </w:r>
    </w:p>
    <w:p w14:paraId="3B24FDBF">
      <w:pPr>
        <w:spacing w:line="360" w:lineRule="auto"/>
        <w:ind w:firstLine="482"/>
        <w:rPr>
          <w:rFonts w:asciiTheme="minorEastAsia" w:hAnsiTheme="minorEastAsia"/>
          <w:b/>
          <w:bCs/>
          <w:color w:val="FF0000"/>
          <w:sz w:val="24"/>
          <w:szCs w:val="24"/>
        </w:rPr>
      </w:pPr>
      <w:r>
        <w:rPr>
          <w:rFonts w:hint="eastAsia" w:asciiTheme="minorEastAsia" w:hAnsiTheme="minorEastAsia"/>
          <w:b/>
          <w:bCs/>
          <w:color w:val="FF0000"/>
          <w:sz w:val="24"/>
          <w:szCs w:val="24"/>
        </w:rPr>
        <w:t>1、</w:t>
      </w:r>
      <w:r>
        <w:rPr>
          <w:rFonts w:asciiTheme="minorEastAsia" w:hAnsiTheme="minorEastAsia"/>
          <w:b/>
          <w:bCs/>
          <w:color w:val="FF0000"/>
          <w:sz w:val="24"/>
          <w:szCs w:val="24"/>
        </w:rPr>
        <w:t>标的物具体包括冀国用（</w:t>
      </w:r>
      <w:r>
        <w:rPr>
          <w:rFonts w:hint="eastAsia" w:asciiTheme="minorEastAsia" w:hAnsiTheme="minorEastAsia"/>
          <w:b/>
          <w:bCs/>
          <w:color w:val="FF0000"/>
          <w:sz w:val="24"/>
          <w:szCs w:val="24"/>
        </w:rPr>
        <w:t>2009</w:t>
      </w:r>
      <w:r>
        <w:rPr>
          <w:rFonts w:asciiTheme="minorEastAsia" w:hAnsiTheme="minorEastAsia"/>
          <w:b/>
          <w:bCs/>
          <w:color w:val="FF0000"/>
          <w:sz w:val="24"/>
          <w:szCs w:val="24"/>
        </w:rPr>
        <w:t>）第</w:t>
      </w:r>
      <w:r>
        <w:rPr>
          <w:rFonts w:hint="eastAsia" w:asciiTheme="minorEastAsia" w:hAnsiTheme="minorEastAsia"/>
          <w:b/>
          <w:bCs/>
          <w:color w:val="FF0000"/>
          <w:sz w:val="24"/>
          <w:szCs w:val="24"/>
        </w:rPr>
        <w:t>125号土地使用权证土地，以及地上建设的厂房、办公楼、厕所、门卫室、锅炉房等建筑物。</w:t>
      </w:r>
    </w:p>
    <w:p w14:paraId="0418853A">
      <w:pPr>
        <w:spacing w:line="360" w:lineRule="auto"/>
        <w:ind w:firstLine="482"/>
        <w:rPr>
          <w:rFonts w:asciiTheme="minorEastAsia" w:hAnsiTheme="minorEastAsia"/>
          <w:b/>
          <w:bCs/>
          <w:color w:val="FF0000"/>
          <w:sz w:val="24"/>
          <w:szCs w:val="24"/>
        </w:rPr>
      </w:pPr>
      <w:r>
        <w:rPr>
          <w:rFonts w:hint="eastAsia" w:asciiTheme="minorEastAsia" w:hAnsiTheme="minorEastAsia"/>
          <w:b/>
          <w:bCs/>
          <w:color w:val="FF0000"/>
          <w:sz w:val="24"/>
          <w:szCs w:val="24"/>
        </w:rPr>
        <w:t>2、</w:t>
      </w:r>
      <w:r>
        <w:rPr>
          <w:rFonts w:asciiTheme="minorEastAsia" w:hAnsiTheme="minorEastAsia"/>
          <w:b/>
          <w:bCs/>
          <w:color w:val="FF0000"/>
          <w:sz w:val="24"/>
          <w:szCs w:val="24"/>
        </w:rPr>
        <w:t>冀国用（</w:t>
      </w:r>
      <w:r>
        <w:rPr>
          <w:rFonts w:hint="eastAsia" w:asciiTheme="minorEastAsia" w:hAnsiTheme="minorEastAsia"/>
          <w:b/>
          <w:bCs/>
          <w:color w:val="FF0000"/>
          <w:sz w:val="24"/>
          <w:szCs w:val="24"/>
        </w:rPr>
        <w:t>2009</w:t>
      </w:r>
      <w:r>
        <w:rPr>
          <w:rFonts w:asciiTheme="minorEastAsia" w:hAnsiTheme="minorEastAsia"/>
          <w:b/>
          <w:bCs/>
          <w:color w:val="FF0000"/>
          <w:sz w:val="24"/>
          <w:szCs w:val="24"/>
        </w:rPr>
        <w:t>）第</w:t>
      </w:r>
      <w:r>
        <w:rPr>
          <w:rFonts w:hint="eastAsia" w:asciiTheme="minorEastAsia" w:hAnsiTheme="minorEastAsia"/>
          <w:b/>
          <w:bCs/>
          <w:color w:val="FF0000"/>
          <w:sz w:val="24"/>
          <w:szCs w:val="24"/>
        </w:rPr>
        <w:t>125号土地使用权证目前登记在冀州市开元纸制品制造加工厂名下。2024年7月15日，河北省衡水市中级人民法院作出（2024）冀11民终1012号民事判决书，判决一，维持河北省衡水市冀州区人民法院（2024）冀1103民初368号判决第一项。即衡水泽邦橡胶制品有限公司享有</w:t>
      </w:r>
      <w:r>
        <w:rPr>
          <w:rFonts w:asciiTheme="minorEastAsia" w:hAnsiTheme="minorEastAsia"/>
          <w:b/>
          <w:bCs/>
          <w:color w:val="FF0000"/>
          <w:sz w:val="24"/>
          <w:szCs w:val="24"/>
        </w:rPr>
        <w:t>冀国用（</w:t>
      </w:r>
      <w:r>
        <w:rPr>
          <w:rFonts w:hint="eastAsia" w:asciiTheme="minorEastAsia" w:hAnsiTheme="minorEastAsia"/>
          <w:b/>
          <w:bCs/>
          <w:color w:val="FF0000"/>
          <w:sz w:val="24"/>
          <w:szCs w:val="24"/>
        </w:rPr>
        <w:t>2009</w:t>
      </w:r>
      <w:r>
        <w:rPr>
          <w:rFonts w:asciiTheme="minorEastAsia" w:hAnsiTheme="minorEastAsia"/>
          <w:b/>
          <w:bCs/>
          <w:color w:val="FF0000"/>
          <w:sz w:val="24"/>
          <w:szCs w:val="24"/>
        </w:rPr>
        <w:t>）第</w:t>
      </w:r>
      <w:r>
        <w:rPr>
          <w:rFonts w:hint="eastAsia" w:asciiTheme="minorEastAsia" w:hAnsiTheme="minorEastAsia"/>
          <w:b/>
          <w:bCs/>
          <w:color w:val="FF0000"/>
          <w:sz w:val="24"/>
          <w:szCs w:val="24"/>
        </w:rPr>
        <w:t>125号土地使用权证土地及地上建筑物的民事权益；判决二，按照案涉《厂房土地出售协议》约定协助衡水泽邦橡胶制品有限公司办理国有土地使用权及地上建筑物变更登记。</w:t>
      </w:r>
    </w:p>
    <w:p w14:paraId="7619B4C7">
      <w:pPr>
        <w:spacing w:line="360" w:lineRule="auto"/>
        <w:ind w:firstLine="482"/>
        <w:rPr>
          <w:rFonts w:asciiTheme="minorEastAsia" w:hAnsiTheme="minorEastAsia"/>
          <w:b/>
          <w:bCs/>
          <w:color w:val="FF0000"/>
          <w:sz w:val="24"/>
          <w:szCs w:val="24"/>
        </w:rPr>
      </w:pPr>
      <w:r>
        <w:rPr>
          <w:rFonts w:hint="eastAsia" w:asciiTheme="minorEastAsia" w:hAnsiTheme="minorEastAsia"/>
          <w:b/>
          <w:bCs/>
          <w:color w:val="FF0000"/>
          <w:sz w:val="24"/>
          <w:szCs w:val="24"/>
        </w:rPr>
        <w:t>3、标的物成交后，由冀州市开元纸制品制造加工厂变更登记到衡水泽邦橡胶制品有限公司名下，再由衡水泽邦橡胶制品有限公司变更至买受人名下，两次变更登记所产生的税费及相关费用均由买受人承担。</w:t>
      </w:r>
    </w:p>
    <w:p w14:paraId="03FA22DB">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4、本次拍卖标的物的国有土地使用权，以现状为准，土地的面积、范围及其他指标以国土、城建等部门的最终核实为准。竞买人竞拍前应向自然资源和规划局、和城乡建设局、市场监督管理局、税务等政府部门，对标的物的权属、质量、能否过户、过户要求和流程、税费缴付的标准及起止时间，以及其他须注意的事项进行咨询。因政策原因或其他原因导致不能过户或完善相关手续的风险由买受人承担，管理人不保证标的物能办理过户手续。</w:t>
      </w:r>
    </w:p>
    <w:p w14:paraId="44AD2B70">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 xml:space="preserve">5、本次拍卖标的物的地上建筑物的外观、结构、质量、装修（如有）以移交时的房屋现状为准。拍卖人对地上建筑物外观、质量问题、结构调整、固定装修损坏、建筑物的面积差异等不作担保，由买受人自行承担相关责任，由此产生的问题也不影响拍卖成交结果及成交价格。地上建筑物未办理房屋所有权证，由竞买人自行到相关职能部门了解能否办理相关权证，无法办理的后果，由买受人承担。 </w:t>
      </w:r>
    </w:p>
    <w:p w14:paraId="1B205499">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6、有意参与竞拍者请亲自到相关部门详细咨询限购、过户等相关政策，竞买人应当符合当地限购政策的相关要求，如因竞买人不符合相关购买资格而导致房屋无法过户的，按照悔拍处理，交纳的保证金不予退还，计入债务人财产。凡是参加竞买的竞买人均视为对本标的实物现状的认可，责任自负。</w:t>
      </w:r>
    </w:p>
    <w:p w14:paraId="5B6FCFB3">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7、其他未尽事宜由买受人自行了解。</w:t>
      </w:r>
    </w:p>
    <w:p w14:paraId="041D2322">
      <w:pPr>
        <w:spacing w:line="360" w:lineRule="auto"/>
        <w:ind w:firstLine="482" w:firstLineChars="200"/>
        <w:rPr>
          <w:rFonts w:asciiTheme="minorEastAsia" w:hAnsiTheme="minorEastAsia"/>
          <w:b/>
          <w:bCs/>
          <w:color w:val="FF0000"/>
          <w:sz w:val="24"/>
          <w:szCs w:val="24"/>
        </w:rPr>
      </w:pPr>
    </w:p>
    <w:p w14:paraId="22C58727">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二、咨询、展示、看样的时间与方式</w:t>
      </w:r>
    </w:p>
    <w:p w14:paraId="2CEE6E8D">
      <w:pPr>
        <w:spacing w:line="360" w:lineRule="auto"/>
        <w:ind w:firstLine="480" w:firstLineChars="200"/>
        <w:rPr>
          <w:rFonts w:asciiTheme="minorEastAsia" w:hAnsiTheme="minorEastAsia"/>
          <w:b/>
          <w:color w:val="FF0000"/>
          <w:sz w:val="24"/>
          <w:szCs w:val="24"/>
        </w:rPr>
      </w:pPr>
      <w:r>
        <w:rPr>
          <w:rFonts w:hint="eastAsia" w:asciiTheme="minorEastAsia" w:hAnsiTheme="minorEastAsia"/>
          <w:sz w:val="24"/>
          <w:szCs w:val="24"/>
        </w:rPr>
        <w:t>自公告之日起至</w:t>
      </w:r>
      <w:r>
        <w:rPr>
          <w:rFonts w:asciiTheme="minorEastAsia" w:hAnsiTheme="minorEastAsia"/>
          <w:sz w:val="24"/>
          <w:szCs w:val="24"/>
        </w:rPr>
        <w:t>20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2月14日</w:t>
      </w:r>
      <w:r>
        <w:rPr>
          <w:rFonts w:asciiTheme="minorEastAsia" w:hAnsiTheme="minorEastAsia"/>
          <w:sz w:val="24"/>
          <w:szCs w:val="24"/>
        </w:rPr>
        <w:t>10时</w:t>
      </w:r>
      <w:r>
        <w:rPr>
          <w:rFonts w:hint="eastAsia" w:asciiTheme="minorEastAsia" w:hAnsiTheme="minorEastAsia"/>
          <w:sz w:val="24"/>
          <w:szCs w:val="24"/>
        </w:rPr>
        <w:t>止接受咨询（工作时间内），统一安排现场看样。本管理人已委托河北浩风网络科技有限公司协助办理咨询、预展事务，有意者请与联系（联系电话：</w:t>
      </w:r>
      <w:r>
        <w:rPr>
          <w:rFonts w:hint="eastAsia"/>
          <w:sz w:val="24"/>
          <w:szCs w:val="24"/>
        </w:rPr>
        <w:t>尹先生：18610341989</w:t>
      </w:r>
      <w:r>
        <w:rPr>
          <w:rFonts w:hint="eastAsia" w:asciiTheme="minorEastAsia" w:hAnsiTheme="minorEastAsia"/>
          <w:sz w:val="24"/>
          <w:szCs w:val="24"/>
        </w:rPr>
        <w:t>）。</w:t>
      </w:r>
      <w:r>
        <w:rPr>
          <w:rFonts w:hint="eastAsia" w:asciiTheme="minorEastAsia" w:hAnsiTheme="minorEastAsia"/>
          <w:b/>
          <w:color w:val="FF0000"/>
          <w:sz w:val="24"/>
          <w:szCs w:val="24"/>
        </w:rPr>
        <w:t>有意者请亲自实地看样，详细情况可向相关部门了解或自行进行调查，未看样的竞买人视为对本标的物实物现状的确认，责任自负。请谨慎参拍。竞买人一旦作出竞买决定，即表明已完全了解，并接受标的物的现状和一切已知及未知的瑕疵。</w:t>
      </w:r>
    </w:p>
    <w:p w14:paraId="162D82ED">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三、竞买人条件</w:t>
      </w:r>
    </w:p>
    <w:p w14:paraId="68D491F0">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7C451AE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36DBBC6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7D6E246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7D54C0E4">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四、优先购买权人</w:t>
      </w:r>
    </w:p>
    <w:p w14:paraId="72E088E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1、本标的物优先购买权人：</w:t>
      </w:r>
    </w:p>
    <w:p w14:paraId="1CC93A28">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优先购买权人应于本公告发布之日起3日内向管理人联系，提供相关证明材料，办理相关手续。逾期未提供材料或办理手续者，视为自动放弃优先购买权。</w:t>
      </w:r>
    </w:p>
    <w:p w14:paraId="1EA9ED4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009D261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07FC1A1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5C45FD6F">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五、拍卖延时</w:t>
      </w:r>
    </w:p>
    <w:p w14:paraId="4DBB031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本次拍卖活动设置延时出价功能，在拍卖活动结束前，每最后5分钟如果有竞买人出价，就自动延迟5分钟。</w:t>
      </w:r>
    </w:p>
    <w:p w14:paraId="63991E6A">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六、拍卖方式</w:t>
      </w:r>
    </w:p>
    <w:p w14:paraId="5BBBFBB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本次拍卖采取有保留价的增价拍卖方式，保留价即为起拍价，至少一人报名且出价不低于起拍价，方可成交。无人报名或出价的，竞价会流拍。</w:t>
      </w:r>
    </w:p>
    <w:p w14:paraId="3CA847B7">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七、税费及其他费用承担</w:t>
      </w:r>
    </w:p>
    <w:p w14:paraId="58DC5740">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计价货币为人民币。本次拍卖成交价不含税费及其他费用。因标的物转让权属发生变更买卖双方所涉及的一切税、费(包括但不限于所得税、营业税、房产税、土地使用税、土地增值税、增值税、附加税、契税、印花税、水利基金、出让金、应补地价、罚款、滞纳金等等具体以相关部门最终核定为准)和可能需要补交的相关税、费等均由买受人承担。</w:t>
      </w:r>
      <w:r>
        <w:rPr>
          <w:rFonts w:hint="eastAsia" w:asciiTheme="minorEastAsia" w:hAnsiTheme="minorEastAsia"/>
          <w:b/>
          <w:bCs/>
          <w:color w:val="FF0000"/>
          <w:sz w:val="24"/>
          <w:szCs w:val="24"/>
        </w:rPr>
        <w:t>标的物成交后，由冀州市开元纸制品制造加工厂变更登记到衡水泽邦橡胶制品有限公司名下，再由衡水泽邦橡胶制品有限公司变更至买受人名下，两次变更登记所产生的税费及相关费用均由买受人承担。</w:t>
      </w:r>
      <w:r>
        <w:rPr>
          <w:rFonts w:hint="eastAsia" w:asciiTheme="minorEastAsia" w:hAnsiTheme="minorEastAsia"/>
          <w:b/>
          <w:color w:val="FF0000"/>
          <w:sz w:val="24"/>
          <w:szCs w:val="24"/>
        </w:rPr>
        <w:t>如未明确缴费义务人的费用亦由买受人承担。买受人在竞买前应向所涉税务部门确认成交后应缴纳的税费标准。</w:t>
      </w:r>
    </w:p>
    <w:p w14:paraId="4BABC036">
      <w:pPr>
        <w:spacing w:line="360" w:lineRule="auto"/>
        <w:ind w:firstLine="482"/>
        <w:rPr>
          <w:rFonts w:cs="宋体" w:asciiTheme="minorEastAsia" w:hAnsiTheme="minorEastAsia"/>
          <w:b/>
          <w:sz w:val="24"/>
        </w:rPr>
      </w:pPr>
      <w:r>
        <w:rPr>
          <w:rFonts w:cs="宋体" w:asciiTheme="minorEastAsia" w:hAnsiTheme="minorEastAsia"/>
          <w:b/>
          <w:sz w:val="24"/>
        </w:rPr>
        <w:t>八、签署成交文件</w:t>
      </w:r>
    </w:p>
    <w:p w14:paraId="56639926">
      <w:pPr>
        <w:spacing w:line="360" w:lineRule="auto"/>
        <w:ind w:firstLine="482"/>
        <w:rPr>
          <w:rFonts w:cs="宋体" w:asciiTheme="minorEastAsia" w:hAnsiTheme="minorEastAsia"/>
          <w:bCs/>
          <w:sz w:val="24"/>
        </w:rPr>
      </w:pPr>
      <w:r>
        <w:rPr>
          <w:rFonts w:cs="宋体" w:asciiTheme="minorEastAsia" w:hAnsiTheme="minorEastAsia"/>
          <w:bCs/>
          <w:sz w:val="24"/>
        </w:rPr>
        <w:t>买受人须在拍卖成交之日起三日内（遇节假日顺延）凭缴纳拍卖保证金平台生成的竞买号及相关身份材料到管理人处签署拍卖成交确认文件。</w:t>
      </w:r>
    </w:p>
    <w:p w14:paraId="1B950ECD">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九、保证金和余款支付</w:t>
      </w:r>
    </w:p>
    <w:p w14:paraId="6522736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拍卖竞价前将通过网拍系统在竞买人支付宝账户内冻结相应资金作为应缴的保证金，拍卖结束后未能竞得者冻结的保证金自动解冻，冻结期间不计利息。本标的物竞得者原冻结的保证金自动转入指定账户冲抵价款。拍卖余款由竞得者在拍卖成交（即竞价成功日，下同）后</w:t>
      </w:r>
      <w:r>
        <w:rPr>
          <w:rFonts w:hint="eastAsia" w:asciiTheme="minorEastAsia" w:hAnsiTheme="minorEastAsia"/>
          <w:b/>
          <w:color w:val="FF0000"/>
          <w:sz w:val="24"/>
          <w:szCs w:val="24"/>
        </w:rPr>
        <w:t>十</w:t>
      </w:r>
      <w:r>
        <w:rPr>
          <w:rFonts w:hint="eastAsia" w:asciiTheme="minorEastAsia" w:hAnsiTheme="minorEastAsia"/>
          <w:b/>
          <w:bCs/>
          <w:color w:val="FF0000"/>
          <w:sz w:val="24"/>
          <w:szCs w:val="24"/>
        </w:rPr>
        <w:t>日</w:t>
      </w:r>
      <w:r>
        <w:rPr>
          <w:rFonts w:hint="eastAsia" w:asciiTheme="minorEastAsia" w:hAnsiTheme="minorEastAsia"/>
          <w:sz w:val="24"/>
          <w:szCs w:val="24"/>
        </w:rPr>
        <w:t>内缴纳至管理人指定账户：</w:t>
      </w:r>
    </w:p>
    <w:p w14:paraId="05548B44">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户  名：衡水泽邦橡胶制品有限公司管理人</w:t>
      </w:r>
    </w:p>
    <w:p w14:paraId="7497D384">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开户行：中国民生银行股份有限公司衡水永兴路支行</w:t>
      </w:r>
    </w:p>
    <w:p w14:paraId="1F2D1C3B">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账  户：631577423</w:t>
      </w:r>
    </w:p>
    <w:p w14:paraId="67BA466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2、支付宝网上付款方式：登录我的淘宝-我的拍卖支付，付款教程：https://www.taobao.com/market/paimai/sf-helpcenter.php?path=sf-hc-right-content5#q8）</w:t>
      </w:r>
    </w:p>
    <w:p w14:paraId="12FCD67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破产企业资产拍卖因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https://www.taobao.com/market/paimai/sf-helpcenter.php?path=sf-hc-right-content5#q1</w:t>
      </w:r>
    </w:p>
    <w:p w14:paraId="4CB6C96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4、拍卖成交后买受人悔拍的，交纳的保证金不予退还，计入债务人财产。保证金数额不足以弥补拍卖费用损失以及重新拍卖价款低于原拍卖价款的差价的，管理人可向悔拍人追索。</w:t>
      </w:r>
    </w:p>
    <w:p w14:paraId="5DD72FD7">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特别提示：</w:t>
      </w:r>
    </w:p>
    <w:p w14:paraId="2ABC5826">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综合服务费由拍卖辅助机构收取（按照成交价格的2%计算，封顶不超过200万元）买受人需在成交之后十日内将综合服务费汇款至河北浩风网络科技有限公司指定账户【户名：河北浩风网络科技有限公司；开户行：中国民生银行石家庄红旗大街支行；账号：170858077；以到账时间为准】。</w:t>
      </w:r>
    </w:p>
    <w:p w14:paraId="33F4AE28">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软件服务费由阿里拍卖平台收取，付费方式及软件服务费金额等请详见《阿里拍卖平台破产资产处置频道收费规则》。买受人须于成交后十日内通过线上完成相应费用的支付后，保证金将转为部分成交价款转至管理人的支付宝账户。</w:t>
      </w:r>
    </w:p>
    <w:p w14:paraId="26212BC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16414C92">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十、拍品交付</w:t>
      </w:r>
    </w:p>
    <w:p w14:paraId="5E1680FC">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后，持有效身份证明及签署好的拍卖成交文件，自行前往相关主管部门办理产权过户手续，管理人给予配合。买受人逾期不办理的，应支付由此产生的一切费用，并承担本标的物可能发生的损毁、灭失等后果。</w:t>
      </w:r>
    </w:p>
    <w:p w14:paraId="2419D2D8">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2、标的物转让登记手续由买受人自行办理 ，管理人依法提供相应文件。能否办理过户手续及办理过户手续的时间请竞买人在竞买前自行到相关部门咨询确认，标的物现状及存在瑕疵等原因不能或者延迟办理过户手续，造成的费用增加的后果由买受人承担，拍卖人不作过户的任何承诺。涉及违法、违建部分，由买受人自行接受行政主管部门依照有关行政法律、法规的处理。</w:t>
      </w:r>
    </w:p>
    <w:p w14:paraId="0AD4716C">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3、拍卖标的物权属变更登记需要严格按照相关法律法规以及相关政策，其中有关材料的准备和相关部门的审核时限管理人无法明确知悉，买受人不得以办理权属变更登记时间过长为由进行悔拍，或者要求管理人及拍卖辅助机构承担任何责任以及赔偿任何损失。</w:t>
      </w:r>
    </w:p>
    <w:p w14:paraId="24015E97">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依照相关法律规定，竞买人成功竞得网拍标的物后，淘宝网拍平台将生成相应《网络竞价成功确认书》，该材料仅为竞价成功确认书，载明实际买受人姓名、网拍竞买号信息，非《拍卖成交确认书》。</w:t>
      </w:r>
    </w:p>
    <w:p w14:paraId="09F35C95">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十二、</w:t>
      </w:r>
      <w:r>
        <w:rPr>
          <w:rFonts w:hint="eastAsia" w:asciiTheme="minorEastAsia" w:hAnsiTheme="minorEastAsia"/>
          <w:sz w:val="24"/>
          <w:szCs w:val="24"/>
        </w:rPr>
        <w:t>竞买人在拍卖竞价前请务必再仔细阅读《竞买须知》、《拍卖标的物调查情况表》。本《竞买公告》其他未尽事宜，请向管理人咨询；拍卖标的物详情请咨询管理人。</w:t>
      </w:r>
    </w:p>
    <w:p w14:paraId="6FABA739">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十三、</w:t>
      </w:r>
      <w:r>
        <w:rPr>
          <w:rFonts w:hint="eastAsia" w:asciiTheme="minorEastAsia" w:hAnsiTheme="minorEastAsia"/>
          <w:bCs/>
          <w:sz w:val="24"/>
          <w:szCs w:val="24"/>
        </w:rPr>
        <w:t>破产案件监督单位：河北省衡水市冀州区人民法院;</w:t>
      </w:r>
    </w:p>
    <w:p w14:paraId="583A488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咨询电话：尹先生：</w:t>
      </w:r>
      <w:r>
        <w:rPr>
          <w:rFonts w:asciiTheme="minorEastAsia" w:hAnsiTheme="minorEastAsia"/>
          <w:sz w:val="24"/>
          <w:szCs w:val="24"/>
        </w:rPr>
        <w:t>18610341989</w:t>
      </w:r>
      <w:r>
        <w:rPr>
          <w:rFonts w:hint="eastAsia" w:asciiTheme="minorEastAsia" w:hAnsiTheme="minorEastAsia"/>
          <w:sz w:val="24"/>
          <w:szCs w:val="24"/>
        </w:rPr>
        <w:t>，刘先生：16601111018；</w:t>
      </w:r>
    </w:p>
    <w:p w14:paraId="25D88400">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淘宝技术咨询：400-822-2870；</w:t>
      </w:r>
    </w:p>
    <w:p w14:paraId="1D7058DE">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本次拍卖活动最终解释权归衡水泽邦橡胶制品有限公司管理人所有。</w:t>
      </w:r>
    </w:p>
    <w:p w14:paraId="20D4981C">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7CFE4ABA">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衡水泽邦橡胶制品有限公司管理人</w:t>
      </w:r>
    </w:p>
    <w:p w14:paraId="69FA8F64">
      <w:pPr>
        <w:spacing w:line="360" w:lineRule="auto"/>
        <w:ind w:firstLine="480" w:firstLineChars="200"/>
        <w:jc w:val="right"/>
        <w:rPr>
          <w:rFonts w:asciiTheme="minorEastAsia" w:hAnsiTheme="minorEastAsia"/>
          <w:sz w:val="24"/>
          <w:szCs w:val="24"/>
        </w:rPr>
      </w:pPr>
    </w:p>
    <w:p w14:paraId="5D91844C">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二〇二五年一月十三日</w:t>
      </w:r>
    </w:p>
    <w:p w14:paraId="42CAB87C">
      <w:pPr>
        <w:spacing w:line="360" w:lineRule="auto"/>
        <w:rPr>
          <w:rFonts w:asciiTheme="minorEastAsia" w:hAnsiTheme="minorEastAsia"/>
          <w:sz w:val="24"/>
          <w:szCs w:val="24"/>
        </w:rPr>
      </w:pPr>
    </w:p>
    <w:p w14:paraId="01B84835">
      <w:pPr>
        <w:spacing w:line="360" w:lineRule="auto"/>
        <w:jc w:val="center"/>
        <w:rPr>
          <w:rFonts w:asciiTheme="minorEastAsia" w:hAnsiTheme="minorEastAsia"/>
          <w:b/>
          <w:sz w:val="44"/>
          <w:szCs w:val="44"/>
        </w:rPr>
      </w:pPr>
    </w:p>
    <w:p w14:paraId="1654B4BA">
      <w:pPr>
        <w:spacing w:line="360" w:lineRule="auto"/>
        <w:jc w:val="center"/>
        <w:rPr>
          <w:rFonts w:asciiTheme="minorEastAsia" w:hAnsiTheme="minorEastAsia"/>
          <w:b/>
          <w:sz w:val="44"/>
          <w:szCs w:val="44"/>
        </w:rPr>
      </w:pPr>
    </w:p>
    <w:p w14:paraId="7987B2F2">
      <w:pPr>
        <w:spacing w:line="360" w:lineRule="auto"/>
        <w:jc w:val="center"/>
        <w:rPr>
          <w:rFonts w:asciiTheme="minorEastAsia" w:hAnsiTheme="minorEastAsia"/>
          <w:b/>
          <w:sz w:val="44"/>
          <w:szCs w:val="44"/>
        </w:rPr>
      </w:pPr>
      <w:r>
        <w:rPr>
          <w:rFonts w:hint="eastAsia" w:asciiTheme="minorEastAsia" w:hAnsiTheme="minorEastAsia"/>
          <w:b/>
          <w:sz w:val="44"/>
          <w:szCs w:val="44"/>
        </w:rPr>
        <w:t>竞 买 须 知</w:t>
      </w:r>
    </w:p>
    <w:p w14:paraId="42420292">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32D811E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衡水泽邦橡胶制品有限公司管理人将于2</w:t>
      </w:r>
      <w:r>
        <w:rPr>
          <w:rFonts w:asciiTheme="minorEastAsia" w:hAnsiTheme="minorEastAsia"/>
          <w:sz w:val="24"/>
          <w:szCs w:val="24"/>
        </w:rPr>
        <w:t>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2月13日</w:t>
      </w:r>
      <w:r>
        <w:rPr>
          <w:rFonts w:asciiTheme="minorEastAsia" w:hAnsiTheme="minorEastAsia"/>
          <w:sz w:val="24"/>
          <w:szCs w:val="24"/>
        </w:rPr>
        <w:t>10时至20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2月14日</w:t>
      </w:r>
      <w:r>
        <w:rPr>
          <w:rFonts w:asciiTheme="minorEastAsia" w:hAnsiTheme="minorEastAsia"/>
          <w:sz w:val="24"/>
          <w:szCs w:val="24"/>
        </w:rPr>
        <w:t>10时</w:t>
      </w:r>
      <w:r>
        <w:rPr>
          <w:rFonts w:hint="eastAsia" w:asciiTheme="minorEastAsia" w:hAnsiTheme="minorEastAsia"/>
          <w:sz w:val="24"/>
          <w:szCs w:val="24"/>
        </w:rPr>
        <w:t>止（延时除外）在阿里资产·破产网络拍卖平台进行公开拍卖活动，（网址：</w:t>
      </w:r>
      <w:r>
        <w:rPr>
          <w:rFonts w:asciiTheme="minorEastAsia" w:hAnsiTheme="minorEastAsia"/>
          <w:sz w:val="24"/>
          <w:szCs w:val="24"/>
        </w:rPr>
        <w:t xml:space="preserve"> https://susong.taobao.com/</w:t>
      </w:r>
      <w:r>
        <w:rPr>
          <w:rFonts w:hint="eastAsia" w:asciiTheme="minorEastAsia" w:hAnsiTheme="minorEastAsia"/>
          <w:sz w:val="24"/>
          <w:szCs w:val="24"/>
        </w:rPr>
        <w:t>）现就网上拍卖有关事宜敬告各位竞买人：</w:t>
      </w:r>
    </w:p>
    <w:p w14:paraId="78E85A18">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一、</w:t>
      </w:r>
      <w:r>
        <w:rPr>
          <w:rFonts w:hint="eastAsia" w:asciiTheme="minorEastAsia" w:hAnsiTheme="minor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7B23E0EC">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二、</w:t>
      </w:r>
      <w:r>
        <w:rPr>
          <w:rFonts w:hint="eastAsia" w:asciiTheme="minorEastAsia" w:hAnsiTheme="minorEastAsia"/>
          <w:sz w:val="24"/>
          <w:szCs w:val="24"/>
        </w:rPr>
        <w:t>本次拍卖活动遵循“公开、公平、公正、诚实守信”的原则，拍卖活动具备法律效力。参加本次拍卖活动的当事人和竞买人必须遵守本须知的各项条款，并对自己的行为承担法律责任。</w:t>
      </w:r>
    </w:p>
    <w:p w14:paraId="6F258D94">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三、竞买人条件</w:t>
      </w:r>
    </w:p>
    <w:p w14:paraId="076420B0">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14187ED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49D10FC6">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4CB631A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0178C012">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四、优先购买权人</w:t>
      </w:r>
    </w:p>
    <w:p w14:paraId="4C93996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1、本标的物优先购买权人：</w:t>
      </w:r>
    </w:p>
    <w:p w14:paraId="592761E6">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优先购买权人应于本公告发布之日起3日内向管理人联系，提供相关证明材料，办理相关手续。逾期未提供材料或办理手续者，视为自动放弃优先购买权。</w:t>
      </w:r>
    </w:p>
    <w:p w14:paraId="41C7361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1A1AB42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6C30ADC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55D9E1AB">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五、</w:t>
      </w:r>
      <w:r>
        <w:rPr>
          <w:rFonts w:hint="eastAsia" w:asciiTheme="minorEastAsia" w:hAnsiTheme="minorEastAsia"/>
          <w:sz w:val="24"/>
          <w:szCs w:val="24"/>
        </w:rPr>
        <w:t>与本标的物有利害关系的当事人可参加竞拍，不参加竞拍的请关注本次拍卖活动的整个过程。</w:t>
      </w:r>
    </w:p>
    <w:p w14:paraId="0AA5DCDE">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六、</w:t>
      </w:r>
      <w:r>
        <w:rPr>
          <w:rFonts w:hint="eastAsia" w:asciiTheme="minorEastAsia" w:hAnsiTheme="minorEastAsia"/>
          <w:sz w:val="24"/>
          <w:szCs w:val="24"/>
        </w:rPr>
        <w:t>本次拍卖活动设置延时出价功能，在拍卖活动结束前，每最后5分钟如果有竞买人出价，就自动延迟5分钟。</w:t>
      </w:r>
    </w:p>
    <w:p w14:paraId="25EDC385">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七、</w:t>
      </w:r>
      <w:r>
        <w:rPr>
          <w:rFonts w:hint="eastAsia" w:asciiTheme="minorEastAsia" w:hAnsiTheme="minorEastAsia"/>
          <w:sz w:val="24"/>
          <w:szCs w:val="24"/>
        </w:rPr>
        <w:t>竞拍前竞买人应通过支付宝账户缴纳足额的拍卖保证金。竞买人在对拍卖标的物第一次确认出价竞拍前，按破产强清平台系统提示报名缴纳保证金，系统会自动锁定该笔款项。拍卖成交的，买受人锁定的保证金将在买受人支付软件服务费后24小时以内自动转入本管理人指定账户，其他竞买人的保证金在拍卖结束以后24小时以内自动解锁。保证金锁定期间不计利息。</w:t>
      </w:r>
    </w:p>
    <w:p w14:paraId="40078E4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保证金支付帮助：https://www.taobao.com/market/paimai/sf-helpcenter.php?path=sf-hc-right-content5#q1。</w:t>
      </w:r>
    </w:p>
    <w:p w14:paraId="7347FB06">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八、</w:t>
      </w:r>
      <w:bookmarkStart w:id="0" w:name="_Hlk90236605"/>
      <w:r>
        <w:rPr>
          <w:rFonts w:hint="eastAsia" w:asciiTheme="minorEastAsia" w:hAnsiTheme="minorEastAsia"/>
          <w:bCs/>
          <w:sz w:val="24"/>
          <w:szCs w:val="24"/>
        </w:rPr>
        <w:t>本次拍卖是经法定公告期和展示期后才举行的，就拍卖标的物已知及可能存在的瑕疵已在本次拍卖资料中作了详尽的说明。管理人对拍卖标的物所作的说明和提供的视频资料、图片等，仅供竞买人参考，不构成对标的物的任何担保。请竞买人在拍卖前必须仔细审查拍卖标的物，调查是否存在瑕疵，认真研究查看所竞买标的物的实际情况，并请亲临展示现场，实地看样，未看样的竞买人视为对本标的物实物现状的确认。请慎重决定竞买行为，竞买人一旦做出竞买决定，即表明已完全了解，并接受标的物交割时的现状和一切已知及未知的瑕疵。</w:t>
      </w:r>
    </w:p>
    <w:p w14:paraId="61F26E62">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九、签署成交文件</w:t>
      </w:r>
    </w:p>
    <w:p w14:paraId="5E1879B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买受人须在拍卖成交之日起三日内（遇节假日顺延）凭缴纳拍卖保证金平台生成的竞买号及相关身份材料到管理人处签署拍卖成交确认文件。</w:t>
      </w:r>
    </w:p>
    <w:bookmarkEnd w:id="0"/>
    <w:p w14:paraId="65CE72E4">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w:t>
      </w:r>
      <w:r>
        <w:rPr>
          <w:rFonts w:hint="eastAsia" w:asciiTheme="minorEastAsia" w:hAnsiTheme="minorEastAsia"/>
          <w:sz w:val="24"/>
          <w:szCs w:val="24"/>
        </w:rPr>
        <w:t>买受人应在拍卖成交（即竞价成功日）后</w:t>
      </w:r>
      <w:r>
        <w:rPr>
          <w:rFonts w:hint="eastAsia" w:asciiTheme="minorEastAsia" w:hAnsiTheme="minorEastAsia"/>
          <w:b/>
          <w:color w:val="FF0000"/>
          <w:sz w:val="24"/>
          <w:szCs w:val="24"/>
        </w:rPr>
        <w:t>十日</w:t>
      </w:r>
      <w:r>
        <w:rPr>
          <w:rFonts w:hint="eastAsia" w:asciiTheme="minorEastAsia" w:hAnsiTheme="minorEastAsia"/>
          <w:sz w:val="24"/>
          <w:szCs w:val="24"/>
        </w:rPr>
        <w:t>内将拍卖成交价余款（扣除保证金后的余款）缴纳至管理人指定账户:</w:t>
      </w:r>
    </w:p>
    <w:p w14:paraId="6FC1729C">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户  名：衡水泽邦橡胶制品有限公司管理人</w:t>
      </w:r>
    </w:p>
    <w:p w14:paraId="60AA6AB8">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开户行：中国民生银行股份有限公司衡水永兴路支行</w:t>
      </w:r>
    </w:p>
    <w:p w14:paraId="11ECB0EB">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账  户：631577423</w:t>
      </w:r>
    </w:p>
    <w:p w14:paraId="4E11376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特别注意：依照相关法律规定，竞买人成功竞得网拍标的物后，淘宝网拍平台将生成相应《网络竞价成功确认书》,该材料仅为竞价成功确认书，载明实际买受人姓名、网拍竞买号信息，非《拍卖成交确认书》。】</w:t>
      </w:r>
    </w:p>
    <w:p w14:paraId="0187BA50">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拍卖成交后买受人悔拍（包括但不限于买受人未在拍卖成交后</w:t>
      </w:r>
      <w:r>
        <w:rPr>
          <w:rFonts w:hint="eastAsia" w:asciiTheme="minorEastAsia" w:hAnsiTheme="minorEastAsia"/>
          <w:b/>
          <w:bCs/>
          <w:sz w:val="24"/>
          <w:szCs w:val="24"/>
        </w:rPr>
        <w:t>十日</w:t>
      </w:r>
      <w:r>
        <w:rPr>
          <w:rFonts w:hint="eastAsia" w:asciiTheme="minorEastAsia" w:hAnsiTheme="minorEastAsia"/>
          <w:sz w:val="24"/>
          <w:szCs w:val="24"/>
        </w:rPr>
        <w:t>内将拍卖成交全部余款缴入指定账户，以及买受人明示或暗示其悔拍等情形）的，管理人可重新委托拍卖，买受人交纳的保证金不予退还。用于弥补重新拍卖的成交价低于原拍卖成交价造成的差价、费用损失等。重新拍卖时，原买受人不得参加竞买。</w:t>
      </w:r>
    </w:p>
    <w:p w14:paraId="2A763C69">
      <w:pPr>
        <w:spacing w:line="360" w:lineRule="auto"/>
        <w:ind w:firstLine="482" w:firstLineChars="200"/>
        <w:rPr>
          <w:rFonts w:asciiTheme="minorEastAsia" w:hAnsiTheme="minorEastAsia"/>
          <w:b/>
          <w:sz w:val="24"/>
          <w:szCs w:val="24"/>
        </w:rPr>
      </w:pPr>
      <w:r>
        <w:rPr>
          <w:rFonts w:hint="eastAsia" w:asciiTheme="minorEastAsia" w:hAnsiTheme="minorEastAsia"/>
          <w:b/>
          <w:color w:val="FF0000"/>
          <w:sz w:val="24"/>
          <w:szCs w:val="24"/>
        </w:rPr>
        <w:t>十二、拍品交付</w:t>
      </w:r>
    </w:p>
    <w:p w14:paraId="69DB7F03">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后，持有效身份证明及签署好的拍卖成交文件，自行前往相关主管部门办理产权过户手续，管理人给予配合。买受人逾期不办理的，应支付由此产生的一切费用，并承担本标的物可能发生的损毁、灭失等后果。</w:t>
      </w:r>
    </w:p>
    <w:p w14:paraId="3D893F23">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2、标的物转让登记手续由买受人自行办理 ，管理人依法提供相应文件。能否办理过户手续及办理过户手续的时间请竞买人在竞买前自行到相关部门咨询确认，标的物现状及存在瑕疵等原因不能或者延迟办理过户手续，造成的费用增加的后果由买受人承担，拍卖人不作过户的任何承诺。涉及违法、违建部分，由买受人自行接受行政主管部门依照有关行政法律、法规的处理。</w:t>
      </w:r>
    </w:p>
    <w:p w14:paraId="781B5B51">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3、拍卖标的物权属变更登记需要严格按照相关法律法规以及相关政策，其中有关材料的准备和相关部门的审核时限管理人无法明确知悉，买受人不得以办理权属变更登记时间过长为由进行悔拍，或者要求管理人及拍卖辅助机构承担任何责任以及赔偿任何损失。</w:t>
      </w:r>
    </w:p>
    <w:p w14:paraId="62FB8712">
      <w:pPr>
        <w:spacing w:line="360" w:lineRule="auto"/>
        <w:ind w:firstLine="482" w:firstLineChars="200"/>
        <w:rPr>
          <w:rFonts w:asciiTheme="minorEastAsia" w:hAnsiTheme="minorEastAsia"/>
          <w:b/>
          <w:color w:val="FF0000"/>
          <w:sz w:val="24"/>
          <w:szCs w:val="24"/>
        </w:rPr>
      </w:pPr>
      <w:r>
        <w:rPr>
          <w:rFonts w:hint="eastAsia" w:asciiTheme="minorEastAsia" w:hAnsiTheme="minorEastAsia"/>
          <w:b/>
          <w:sz w:val="24"/>
          <w:szCs w:val="24"/>
        </w:rPr>
        <w:t>十三、</w:t>
      </w:r>
      <w:r>
        <w:rPr>
          <w:rFonts w:hint="eastAsia" w:asciiTheme="minorEastAsia" w:hAnsiTheme="minorEastAsia"/>
          <w:b/>
          <w:color w:val="FF0000"/>
          <w:sz w:val="24"/>
          <w:szCs w:val="24"/>
        </w:rPr>
        <w:t>本次拍卖活动计价货币为人民币。本次拍卖成交价不含税费及其他费用。因标的物转让权属发生变更买卖双方所涉及的一切税、费(包括但不限于所得税、营业税、房产税、土地使用税、土地增值税、增值税、附加税、契税、印花税、水利基金、出让金、应补地价、罚款、滞纳金等等具体以相关部门最终核定为准)和可能需要补交的相关税、费等均由买受人承担。</w:t>
      </w:r>
      <w:r>
        <w:rPr>
          <w:rFonts w:hint="eastAsia" w:asciiTheme="minorEastAsia" w:hAnsiTheme="minorEastAsia"/>
          <w:b/>
          <w:bCs/>
          <w:color w:val="FF0000"/>
          <w:sz w:val="24"/>
          <w:szCs w:val="24"/>
        </w:rPr>
        <w:t>标的物成交后，由冀州市开元纸制品制造加工厂变更登记到衡水泽邦橡胶制品有限公司名下，再由衡水泽邦橡胶制品有限公司变更至买受人名下，两次变更登记所产生的税费及相关费用均由买受人承担。</w:t>
      </w:r>
      <w:r>
        <w:rPr>
          <w:rFonts w:hint="eastAsia" w:asciiTheme="minorEastAsia" w:hAnsiTheme="minorEastAsia"/>
          <w:b/>
          <w:color w:val="FF0000"/>
          <w:sz w:val="24"/>
          <w:szCs w:val="24"/>
        </w:rPr>
        <w:t>如未明确缴费义务人的费用亦由买受人承担。买受人在竞买前应向所涉税务部门确认成交后应缴纳的税费标准。</w:t>
      </w:r>
    </w:p>
    <w:p w14:paraId="6A45F7B7">
      <w:pPr>
        <w:spacing w:line="360" w:lineRule="auto"/>
        <w:ind w:firstLine="482" w:firstLineChars="200"/>
        <w:rPr>
          <w:rFonts w:asciiTheme="minorEastAsia" w:hAnsiTheme="minorEastAsia"/>
          <w:b/>
          <w:color w:val="FF0000"/>
          <w:sz w:val="24"/>
          <w:szCs w:val="24"/>
        </w:rPr>
      </w:pPr>
    </w:p>
    <w:p w14:paraId="364783D1">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特别提示：</w:t>
      </w:r>
    </w:p>
    <w:p w14:paraId="36DA5B60">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综合服务费由拍卖辅助机构收取（按照成交价格的2%计算，封顶不超过200万元）买受人需在成交之后十日内将综合服务费汇款至河北浩风网络科技有限公司指定账户【户名：河北浩风网络科技有限公司；开户行：中国民生银行石家庄红旗大街支行；账号：170858077；以到账时间为准】。</w:t>
      </w:r>
    </w:p>
    <w:p w14:paraId="3B34690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软件服务费由阿里拍卖平台收取，付费方式及软件服务费金额等请详见《阿里拍卖平台破产资产处置频道收费规则》。买受人须于成交后十日内通过线上完成相应费用的支付后，保证金将转为部分成交价款转至管理人的支付宝账户。</w:t>
      </w:r>
    </w:p>
    <w:p w14:paraId="1C0F7FA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388E2818">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十四、</w:t>
      </w:r>
      <w:r>
        <w:rPr>
          <w:rFonts w:hint="eastAsia" w:asciiTheme="minorEastAsia" w:hAnsiTheme="minor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4F0CAFD3">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十五、</w:t>
      </w:r>
      <w:r>
        <w:rPr>
          <w:rFonts w:hint="eastAsia" w:asciiTheme="minorEastAsia" w:hAnsiTheme="minorEastAsia"/>
          <w:sz w:val="24"/>
          <w:szCs w:val="24"/>
        </w:rPr>
        <w:t>拍卖人根据法律规定有权在拍卖开始前中止拍卖或撤回拍卖。因网络或其他不可抗力导致拍卖无法正常进行的，拍卖人待以上因素消除后视情况决定重新拍卖，并不承担因此造成的损失。</w:t>
      </w:r>
    </w:p>
    <w:p w14:paraId="70B02F9E">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十六、</w:t>
      </w:r>
      <w:r>
        <w:rPr>
          <w:rFonts w:hint="eastAsia" w:asciiTheme="minorEastAsia" w:hAnsiTheme="minorEastAsia"/>
          <w:sz w:val="24"/>
          <w:szCs w:val="24"/>
        </w:rPr>
        <w:t>为便于买受人及时收到拍卖相关的文书，竞买人在拍卖竞价前如实向阿里资产·破产网络拍卖平台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0E21221C">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十七、</w:t>
      </w:r>
      <w:r>
        <w:rPr>
          <w:rFonts w:hint="eastAsia" w:asciiTheme="minorEastAsia" w:hAnsiTheme="minorEastAsia"/>
          <w:bCs/>
          <w:sz w:val="24"/>
          <w:szCs w:val="24"/>
        </w:rPr>
        <w:t>破产案件监督单位：河北省衡水市</w:t>
      </w:r>
      <w:r>
        <w:rPr>
          <w:rFonts w:hint="eastAsia"/>
        </w:rPr>
        <w:t>冀州区</w:t>
      </w:r>
      <w:r>
        <w:rPr>
          <w:rFonts w:hint="eastAsia" w:asciiTheme="minorEastAsia" w:hAnsiTheme="minorEastAsia"/>
          <w:bCs/>
          <w:sz w:val="24"/>
          <w:szCs w:val="24"/>
        </w:rPr>
        <w:t>人民法院;</w:t>
      </w:r>
    </w:p>
    <w:p w14:paraId="537AC1F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咨询电话：尹先生：</w:t>
      </w:r>
      <w:r>
        <w:rPr>
          <w:rFonts w:asciiTheme="minorEastAsia" w:hAnsiTheme="minorEastAsia"/>
          <w:sz w:val="24"/>
          <w:szCs w:val="24"/>
        </w:rPr>
        <w:t>18610341989</w:t>
      </w:r>
      <w:r>
        <w:rPr>
          <w:rFonts w:hint="eastAsia" w:asciiTheme="minorEastAsia" w:hAnsiTheme="minorEastAsia"/>
          <w:sz w:val="24"/>
          <w:szCs w:val="24"/>
        </w:rPr>
        <w:t>，刘先生：16601111018；</w:t>
      </w:r>
    </w:p>
    <w:p w14:paraId="08860BF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淘宝技术咨询：400-822-2870；</w:t>
      </w:r>
    </w:p>
    <w:p w14:paraId="1F7C4916">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本次拍卖活动最终解释权归衡水泽邦橡胶制品有限公司管理人所有。</w:t>
      </w:r>
    </w:p>
    <w:p w14:paraId="7DDADF9B">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1242767B">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衡水泽邦橡胶制品有限公司管理人</w:t>
      </w:r>
    </w:p>
    <w:p w14:paraId="25784154">
      <w:pPr>
        <w:spacing w:line="360" w:lineRule="auto"/>
        <w:ind w:firstLine="480" w:firstLineChars="200"/>
        <w:jc w:val="right"/>
        <w:rPr>
          <w:rFonts w:asciiTheme="minorEastAsia" w:hAnsiTheme="minorEastAsia"/>
          <w:sz w:val="24"/>
          <w:szCs w:val="24"/>
        </w:rPr>
      </w:pPr>
    </w:p>
    <w:p w14:paraId="3B0B4280">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二〇二五年一月十三日</w:t>
      </w:r>
    </w:p>
    <w:p w14:paraId="025E4E7C">
      <w:pPr>
        <w:spacing w:line="360" w:lineRule="auto"/>
        <w:ind w:firstLine="480" w:firstLineChars="200"/>
        <w:rPr>
          <w:rFonts w:asciiTheme="minorEastAsia" w:hAnsiTheme="minorEastAsia"/>
          <w:sz w:val="24"/>
          <w:szCs w:val="24"/>
        </w:rPr>
      </w:pPr>
    </w:p>
    <w:tbl>
      <w:tblPr>
        <w:tblStyle w:val="8"/>
        <w:tblW w:w="8359" w:type="dxa"/>
        <w:tblInd w:w="113" w:type="dxa"/>
        <w:tblLayout w:type="autofit"/>
        <w:tblCellMar>
          <w:top w:w="0" w:type="dxa"/>
          <w:left w:w="108" w:type="dxa"/>
          <w:bottom w:w="0" w:type="dxa"/>
          <w:right w:w="108" w:type="dxa"/>
        </w:tblCellMar>
      </w:tblPr>
      <w:tblGrid>
        <w:gridCol w:w="1840"/>
        <w:gridCol w:w="2153"/>
        <w:gridCol w:w="4366"/>
      </w:tblGrid>
      <w:tr w14:paraId="0EB3A8EB">
        <w:tblPrEx>
          <w:tblCellMar>
            <w:top w:w="0" w:type="dxa"/>
            <w:left w:w="108" w:type="dxa"/>
            <w:bottom w:w="0" w:type="dxa"/>
            <w:right w:w="108" w:type="dxa"/>
          </w:tblCellMar>
        </w:tblPrEx>
        <w:trPr>
          <w:trHeight w:val="488" w:hRule="atLeast"/>
        </w:trPr>
        <w:tc>
          <w:tcPr>
            <w:tcW w:w="8359"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14:paraId="789F786A">
            <w:pPr>
              <w:widowControl/>
              <w:spacing w:line="360" w:lineRule="auto"/>
              <w:jc w:val="center"/>
              <w:rPr>
                <w:rFonts w:ascii="宋体" w:hAnsi="宋体" w:eastAsia="宋体" w:cs="楷体"/>
                <w:b/>
                <w:bCs/>
                <w:color w:val="000000" w:themeColor="text1"/>
                <w:kern w:val="0"/>
                <w:sz w:val="28"/>
                <w:szCs w:val="28"/>
                <w14:textFill>
                  <w14:solidFill>
                    <w14:schemeClr w14:val="tx1"/>
                  </w14:solidFill>
                </w14:textFill>
              </w:rPr>
            </w:pPr>
            <w:r>
              <w:rPr>
                <w:rFonts w:hint="eastAsia" w:ascii="宋体" w:hAnsi="宋体" w:eastAsia="宋体" w:cs="楷体"/>
                <w:b/>
                <w:bCs/>
                <w:color w:val="000000"/>
                <w:kern w:val="0"/>
                <w:sz w:val="28"/>
                <w:szCs w:val="28"/>
              </w:rPr>
              <w:t>标的物调查表</w:t>
            </w:r>
          </w:p>
        </w:tc>
      </w:tr>
      <w:tr w14:paraId="4531FD63">
        <w:tblPrEx>
          <w:tblCellMar>
            <w:top w:w="0" w:type="dxa"/>
            <w:left w:w="108" w:type="dxa"/>
            <w:bottom w:w="0" w:type="dxa"/>
            <w:right w:w="108" w:type="dxa"/>
          </w:tblCellMar>
        </w:tblPrEx>
        <w:trPr>
          <w:trHeight w:val="630" w:hRule="atLeast"/>
        </w:trPr>
        <w:tc>
          <w:tcPr>
            <w:tcW w:w="1840" w:type="dxa"/>
            <w:tcBorders>
              <w:top w:val="nil"/>
              <w:left w:val="single" w:color="auto" w:sz="4" w:space="0"/>
              <w:bottom w:val="single" w:color="auto" w:sz="4" w:space="0"/>
              <w:right w:val="single" w:color="auto" w:sz="4" w:space="0"/>
            </w:tcBorders>
            <w:shd w:val="clear" w:color="auto" w:fill="auto"/>
            <w:vAlign w:val="center"/>
          </w:tcPr>
          <w:p w14:paraId="0808A57D">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标的名称</w:t>
            </w:r>
          </w:p>
        </w:tc>
        <w:tc>
          <w:tcPr>
            <w:tcW w:w="6519" w:type="dxa"/>
            <w:gridSpan w:val="2"/>
            <w:tcBorders>
              <w:top w:val="single" w:color="auto" w:sz="4" w:space="0"/>
              <w:left w:val="nil"/>
              <w:bottom w:val="single" w:color="auto" w:sz="4" w:space="0"/>
              <w:right w:val="single" w:color="auto" w:sz="4" w:space="0"/>
            </w:tcBorders>
            <w:shd w:val="clear" w:color="auto" w:fill="auto"/>
            <w:vAlign w:val="center"/>
          </w:tcPr>
          <w:p w14:paraId="3D22FD0A">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衡水泽邦橡胶制品有限公司的土地及地上建筑物</w:t>
            </w:r>
          </w:p>
        </w:tc>
      </w:tr>
      <w:tr w14:paraId="3B6EAD57">
        <w:tblPrEx>
          <w:tblCellMar>
            <w:top w:w="0" w:type="dxa"/>
            <w:left w:w="108" w:type="dxa"/>
            <w:bottom w:w="0" w:type="dxa"/>
            <w:right w:w="108" w:type="dxa"/>
          </w:tblCellMar>
        </w:tblPrEx>
        <w:trPr>
          <w:trHeight w:val="340" w:hRule="atLeast"/>
        </w:trPr>
        <w:tc>
          <w:tcPr>
            <w:tcW w:w="1840" w:type="dxa"/>
            <w:tcBorders>
              <w:top w:val="single" w:color="auto" w:sz="4" w:space="0"/>
              <w:left w:val="single" w:color="auto" w:sz="4" w:space="0"/>
              <w:bottom w:val="single" w:color="auto" w:sz="4" w:space="0"/>
              <w:right w:val="single" w:color="auto" w:sz="4" w:space="0"/>
            </w:tcBorders>
            <w:shd w:val="clear" w:color="auto" w:fill="auto"/>
            <w:vAlign w:val="center"/>
          </w:tcPr>
          <w:p w14:paraId="6F769053">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土地权证</w:t>
            </w:r>
          </w:p>
        </w:tc>
        <w:tc>
          <w:tcPr>
            <w:tcW w:w="6519" w:type="dxa"/>
            <w:gridSpan w:val="2"/>
            <w:tcBorders>
              <w:top w:val="nil"/>
              <w:left w:val="nil"/>
              <w:bottom w:val="single" w:color="auto" w:sz="4" w:space="0"/>
              <w:right w:val="single" w:color="auto" w:sz="4" w:space="0"/>
            </w:tcBorders>
            <w:shd w:val="clear" w:color="auto" w:fill="auto"/>
            <w:vAlign w:val="center"/>
          </w:tcPr>
          <w:p w14:paraId="617052B6">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冀国用（2009）第125号</w:t>
            </w:r>
          </w:p>
        </w:tc>
      </w:tr>
      <w:tr w14:paraId="7B5E5449">
        <w:tblPrEx>
          <w:tblCellMar>
            <w:top w:w="0" w:type="dxa"/>
            <w:left w:w="108" w:type="dxa"/>
            <w:bottom w:w="0" w:type="dxa"/>
            <w:right w:w="108" w:type="dxa"/>
          </w:tblCellMar>
        </w:tblPrEx>
        <w:trPr>
          <w:trHeight w:val="340" w:hRule="atLeast"/>
        </w:trPr>
        <w:tc>
          <w:tcPr>
            <w:tcW w:w="1840" w:type="dxa"/>
            <w:vMerge w:val="restart"/>
            <w:tcBorders>
              <w:top w:val="nil"/>
              <w:left w:val="single" w:color="auto" w:sz="4" w:space="0"/>
              <w:bottom w:val="single" w:color="auto" w:sz="4" w:space="0"/>
              <w:right w:val="single" w:color="auto" w:sz="4" w:space="0"/>
            </w:tcBorders>
            <w:shd w:val="clear" w:color="auto" w:fill="auto"/>
            <w:vAlign w:val="center"/>
          </w:tcPr>
          <w:p w14:paraId="1DC800CF">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标的现状</w:t>
            </w:r>
          </w:p>
        </w:tc>
        <w:tc>
          <w:tcPr>
            <w:tcW w:w="2153" w:type="dxa"/>
            <w:tcBorders>
              <w:top w:val="nil"/>
              <w:left w:val="nil"/>
              <w:bottom w:val="single" w:color="auto" w:sz="4" w:space="0"/>
              <w:right w:val="single" w:color="auto" w:sz="4" w:space="0"/>
            </w:tcBorders>
            <w:shd w:val="clear" w:color="auto" w:fill="auto"/>
            <w:vAlign w:val="center"/>
          </w:tcPr>
          <w:p w14:paraId="0B7BB2A8">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地类（用途）</w:t>
            </w:r>
          </w:p>
        </w:tc>
        <w:tc>
          <w:tcPr>
            <w:tcW w:w="4366" w:type="dxa"/>
            <w:tcBorders>
              <w:top w:val="nil"/>
              <w:left w:val="nil"/>
              <w:bottom w:val="single" w:color="auto" w:sz="4" w:space="0"/>
              <w:right w:val="single" w:color="auto" w:sz="4" w:space="0"/>
            </w:tcBorders>
            <w:shd w:val="clear" w:color="auto" w:fill="auto"/>
            <w:vAlign w:val="center"/>
          </w:tcPr>
          <w:p w14:paraId="5F93EA8C">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工业用地</w:t>
            </w:r>
          </w:p>
        </w:tc>
      </w:tr>
      <w:tr w14:paraId="00D7830C">
        <w:tblPrEx>
          <w:tblCellMar>
            <w:top w:w="0" w:type="dxa"/>
            <w:left w:w="108" w:type="dxa"/>
            <w:bottom w:w="0" w:type="dxa"/>
            <w:right w:w="108" w:type="dxa"/>
          </w:tblCellMar>
        </w:tblPrEx>
        <w:trPr>
          <w:trHeight w:val="340" w:hRule="atLeast"/>
        </w:trPr>
        <w:tc>
          <w:tcPr>
            <w:tcW w:w="1840" w:type="dxa"/>
            <w:vMerge w:val="continue"/>
            <w:tcBorders>
              <w:top w:val="nil"/>
              <w:left w:val="single" w:color="auto" w:sz="4" w:space="0"/>
              <w:bottom w:val="single" w:color="auto" w:sz="4" w:space="0"/>
              <w:right w:val="single" w:color="auto" w:sz="4" w:space="0"/>
            </w:tcBorders>
            <w:vAlign w:val="center"/>
          </w:tcPr>
          <w:p w14:paraId="1237DD09">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p>
        </w:tc>
        <w:tc>
          <w:tcPr>
            <w:tcW w:w="2153" w:type="dxa"/>
            <w:tcBorders>
              <w:top w:val="nil"/>
              <w:left w:val="nil"/>
              <w:bottom w:val="single" w:color="auto" w:sz="4" w:space="0"/>
              <w:right w:val="single" w:color="auto" w:sz="4" w:space="0"/>
            </w:tcBorders>
            <w:shd w:val="clear" w:color="auto" w:fill="auto"/>
            <w:vAlign w:val="center"/>
          </w:tcPr>
          <w:p w14:paraId="535D89DD">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使用权类型</w:t>
            </w:r>
          </w:p>
        </w:tc>
        <w:tc>
          <w:tcPr>
            <w:tcW w:w="4366" w:type="dxa"/>
            <w:tcBorders>
              <w:top w:val="nil"/>
              <w:left w:val="nil"/>
              <w:bottom w:val="single" w:color="auto" w:sz="4" w:space="0"/>
              <w:right w:val="single" w:color="auto" w:sz="4" w:space="0"/>
            </w:tcBorders>
            <w:shd w:val="clear" w:color="auto" w:fill="auto"/>
            <w:vAlign w:val="center"/>
          </w:tcPr>
          <w:p w14:paraId="4A691A09">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出让</w:t>
            </w:r>
          </w:p>
        </w:tc>
      </w:tr>
      <w:tr w14:paraId="5693678B">
        <w:tblPrEx>
          <w:tblCellMar>
            <w:top w:w="0" w:type="dxa"/>
            <w:left w:w="108" w:type="dxa"/>
            <w:bottom w:w="0" w:type="dxa"/>
            <w:right w:w="108" w:type="dxa"/>
          </w:tblCellMar>
        </w:tblPrEx>
        <w:trPr>
          <w:trHeight w:val="340" w:hRule="atLeast"/>
        </w:trPr>
        <w:tc>
          <w:tcPr>
            <w:tcW w:w="1840" w:type="dxa"/>
            <w:vMerge w:val="continue"/>
            <w:tcBorders>
              <w:top w:val="nil"/>
              <w:left w:val="single" w:color="auto" w:sz="4" w:space="0"/>
              <w:bottom w:val="single" w:color="auto" w:sz="4" w:space="0"/>
              <w:right w:val="single" w:color="auto" w:sz="4" w:space="0"/>
            </w:tcBorders>
            <w:vAlign w:val="center"/>
          </w:tcPr>
          <w:p w14:paraId="547CA07B">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p>
        </w:tc>
        <w:tc>
          <w:tcPr>
            <w:tcW w:w="2153" w:type="dxa"/>
            <w:tcBorders>
              <w:top w:val="nil"/>
              <w:left w:val="nil"/>
              <w:bottom w:val="single" w:color="auto" w:sz="4" w:space="0"/>
              <w:right w:val="single" w:color="auto" w:sz="4" w:space="0"/>
            </w:tcBorders>
            <w:shd w:val="clear" w:color="auto" w:fill="auto"/>
            <w:vAlign w:val="center"/>
          </w:tcPr>
          <w:p w14:paraId="59CC4601">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租赁情况</w:t>
            </w:r>
          </w:p>
        </w:tc>
        <w:tc>
          <w:tcPr>
            <w:tcW w:w="4366" w:type="dxa"/>
            <w:tcBorders>
              <w:top w:val="nil"/>
              <w:left w:val="nil"/>
              <w:bottom w:val="single" w:color="auto" w:sz="4" w:space="0"/>
              <w:right w:val="single" w:color="auto" w:sz="4" w:space="0"/>
            </w:tcBorders>
            <w:shd w:val="clear" w:color="auto" w:fill="auto"/>
            <w:vAlign w:val="center"/>
          </w:tcPr>
          <w:p w14:paraId="30D19FE0">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无</w:t>
            </w:r>
          </w:p>
        </w:tc>
      </w:tr>
      <w:tr w14:paraId="54D200E2">
        <w:tblPrEx>
          <w:tblCellMar>
            <w:top w:w="0" w:type="dxa"/>
            <w:left w:w="108" w:type="dxa"/>
            <w:bottom w:w="0" w:type="dxa"/>
            <w:right w:w="108" w:type="dxa"/>
          </w:tblCellMar>
        </w:tblPrEx>
        <w:trPr>
          <w:trHeight w:val="323" w:hRule="atLeast"/>
        </w:trPr>
        <w:tc>
          <w:tcPr>
            <w:tcW w:w="1840" w:type="dxa"/>
            <w:vMerge w:val="continue"/>
            <w:tcBorders>
              <w:top w:val="nil"/>
              <w:left w:val="single" w:color="auto" w:sz="4" w:space="0"/>
              <w:bottom w:val="single" w:color="auto" w:sz="4" w:space="0"/>
              <w:right w:val="single" w:color="auto" w:sz="4" w:space="0"/>
            </w:tcBorders>
            <w:vAlign w:val="center"/>
          </w:tcPr>
          <w:p w14:paraId="3B885F07">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p>
        </w:tc>
        <w:tc>
          <w:tcPr>
            <w:tcW w:w="2153" w:type="dxa"/>
            <w:tcBorders>
              <w:top w:val="nil"/>
              <w:left w:val="nil"/>
              <w:bottom w:val="single" w:color="auto" w:sz="4" w:space="0"/>
              <w:right w:val="single" w:color="auto" w:sz="4" w:space="0"/>
            </w:tcBorders>
            <w:shd w:val="clear" w:color="auto" w:fill="auto"/>
            <w:vAlign w:val="center"/>
          </w:tcPr>
          <w:p w14:paraId="2D3F936F">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钥  匙</w:t>
            </w:r>
          </w:p>
        </w:tc>
        <w:tc>
          <w:tcPr>
            <w:tcW w:w="4366" w:type="dxa"/>
            <w:tcBorders>
              <w:top w:val="nil"/>
              <w:left w:val="nil"/>
              <w:bottom w:val="single" w:color="auto" w:sz="4" w:space="0"/>
              <w:right w:val="single" w:color="auto" w:sz="4" w:space="0"/>
            </w:tcBorders>
            <w:shd w:val="clear" w:color="auto" w:fill="auto"/>
            <w:vAlign w:val="center"/>
          </w:tcPr>
          <w:p w14:paraId="6DE1BD80">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有</w:t>
            </w:r>
          </w:p>
        </w:tc>
      </w:tr>
      <w:tr w14:paraId="0DA033D9">
        <w:tblPrEx>
          <w:tblCellMar>
            <w:top w:w="0" w:type="dxa"/>
            <w:left w:w="108" w:type="dxa"/>
            <w:bottom w:w="0" w:type="dxa"/>
            <w:right w:w="108" w:type="dxa"/>
          </w:tblCellMar>
        </w:tblPrEx>
        <w:trPr>
          <w:trHeight w:val="495" w:hRule="atLeast"/>
        </w:trPr>
        <w:tc>
          <w:tcPr>
            <w:tcW w:w="1840" w:type="dxa"/>
            <w:vMerge w:val="restart"/>
            <w:tcBorders>
              <w:top w:val="nil"/>
              <w:left w:val="single" w:color="auto" w:sz="4" w:space="0"/>
              <w:bottom w:val="single" w:color="auto" w:sz="4" w:space="0"/>
              <w:right w:val="single" w:color="auto" w:sz="4" w:space="0"/>
            </w:tcBorders>
            <w:shd w:val="clear" w:color="auto" w:fill="auto"/>
            <w:vAlign w:val="center"/>
          </w:tcPr>
          <w:p w14:paraId="178D15FC">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权利限制情况</w:t>
            </w:r>
          </w:p>
        </w:tc>
        <w:tc>
          <w:tcPr>
            <w:tcW w:w="2153" w:type="dxa"/>
            <w:tcBorders>
              <w:top w:val="nil"/>
              <w:left w:val="nil"/>
              <w:bottom w:val="single" w:color="auto" w:sz="4" w:space="0"/>
              <w:right w:val="single" w:color="auto" w:sz="4" w:space="0"/>
            </w:tcBorders>
            <w:shd w:val="clear" w:color="auto" w:fill="auto"/>
            <w:vAlign w:val="center"/>
          </w:tcPr>
          <w:p w14:paraId="355294B6">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查封</w:t>
            </w:r>
          </w:p>
        </w:tc>
        <w:tc>
          <w:tcPr>
            <w:tcW w:w="4366" w:type="dxa"/>
            <w:tcBorders>
              <w:top w:val="nil"/>
              <w:left w:val="nil"/>
              <w:bottom w:val="single" w:color="auto" w:sz="4" w:space="0"/>
              <w:right w:val="single" w:color="auto" w:sz="4" w:space="0"/>
            </w:tcBorders>
            <w:shd w:val="clear" w:color="auto" w:fill="auto"/>
            <w:vAlign w:val="center"/>
          </w:tcPr>
          <w:p w14:paraId="6068F761">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有</w:t>
            </w:r>
          </w:p>
        </w:tc>
      </w:tr>
      <w:tr w14:paraId="0A7B9DE2">
        <w:tblPrEx>
          <w:tblCellMar>
            <w:top w:w="0" w:type="dxa"/>
            <w:left w:w="108" w:type="dxa"/>
            <w:bottom w:w="0" w:type="dxa"/>
            <w:right w:w="108" w:type="dxa"/>
          </w:tblCellMar>
        </w:tblPrEx>
        <w:trPr>
          <w:trHeight w:val="630" w:hRule="atLeast"/>
        </w:trPr>
        <w:tc>
          <w:tcPr>
            <w:tcW w:w="1840" w:type="dxa"/>
            <w:vMerge w:val="continue"/>
            <w:tcBorders>
              <w:top w:val="nil"/>
              <w:left w:val="single" w:color="auto" w:sz="4" w:space="0"/>
              <w:bottom w:val="single" w:color="auto" w:sz="4" w:space="0"/>
              <w:right w:val="single" w:color="auto" w:sz="4" w:space="0"/>
            </w:tcBorders>
            <w:vAlign w:val="center"/>
          </w:tcPr>
          <w:p w14:paraId="7B727B46">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p>
        </w:tc>
        <w:tc>
          <w:tcPr>
            <w:tcW w:w="2153" w:type="dxa"/>
            <w:tcBorders>
              <w:top w:val="nil"/>
              <w:left w:val="nil"/>
              <w:bottom w:val="single" w:color="auto" w:sz="4" w:space="0"/>
              <w:right w:val="single" w:color="auto" w:sz="4" w:space="0"/>
            </w:tcBorders>
            <w:shd w:val="clear" w:color="auto" w:fill="auto"/>
            <w:vAlign w:val="center"/>
          </w:tcPr>
          <w:p w14:paraId="0CF05EAC">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抵押</w:t>
            </w:r>
          </w:p>
        </w:tc>
        <w:tc>
          <w:tcPr>
            <w:tcW w:w="4366" w:type="dxa"/>
            <w:tcBorders>
              <w:top w:val="nil"/>
              <w:left w:val="nil"/>
              <w:bottom w:val="single" w:color="auto" w:sz="4" w:space="0"/>
              <w:right w:val="single" w:color="auto" w:sz="4" w:space="0"/>
            </w:tcBorders>
            <w:shd w:val="clear" w:color="auto" w:fill="auto"/>
            <w:vAlign w:val="center"/>
          </w:tcPr>
          <w:p w14:paraId="19C74B0B">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无</w:t>
            </w:r>
          </w:p>
        </w:tc>
      </w:tr>
      <w:tr w14:paraId="0ABF34BB">
        <w:tblPrEx>
          <w:tblCellMar>
            <w:top w:w="0" w:type="dxa"/>
            <w:left w:w="108" w:type="dxa"/>
            <w:bottom w:w="0" w:type="dxa"/>
            <w:right w:w="108" w:type="dxa"/>
          </w:tblCellMar>
        </w:tblPrEx>
        <w:trPr>
          <w:trHeight w:val="765" w:hRule="atLeast"/>
        </w:trPr>
        <w:tc>
          <w:tcPr>
            <w:tcW w:w="1840" w:type="dxa"/>
            <w:vMerge w:val="restart"/>
            <w:tcBorders>
              <w:top w:val="nil"/>
              <w:left w:val="single" w:color="auto" w:sz="4" w:space="0"/>
              <w:bottom w:val="single" w:color="auto" w:sz="4" w:space="0"/>
              <w:right w:val="single" w:color="auto" w:sz="4" w:space="0"/>
            </w:tcBorders>
            <w:shd w:val="clear" w:color="auto" w:fill="auto"/>
            <w:vAlign w:val="center"/>
          </w:tcPr>
          <w:p w14:paraId="045144C0">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标的物介绍</w:t>
            </w:r>
          </w:p>
        </w:tc>
        <w:tc>
          <w:tcPr>
            <w:tcW w:w="2153" w:type="dxa"/>
            <w:tcBorders>
              <w:top w:val="nil"/>
              <w:left w:val="nil"/>
              <w:bottom w:val="single" w:color="auto" w:sz="4" w:space="0"/>
              <w:right w:val="single" w:color="auto" w:sz="4" w:space="0"/>
            </w:tcBorders>
            <w:shd w:val="clear" w:color="auto" w:fill="auto"/>
            <w:vAlign w:val="center"/>
          </w:tcPr>
          <w:p w14:paraId="03637085">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土地登记面积</w:t>
            </w:r>
          </w:p>
        </w:tc>
        <w:tc>
          <w:tcPr>
            <w:tcW w:w="4366" w:type="dxa"/>
            <w:tcBorders>
              <w:top w:val="nil"/>
              <w:left w:val="nil"/>
              <w:bottom w:val="single" w:color="auto" w:sz="4" w:space="0"/>
              <w:right w:val="single" w:color="auto" w:sz="4" w:space="0"/>
            </w:tcBorders>
            <w:shd w:val="clear" w:color="auto" w:fill="auto"/>
            <w:vAlign w:val="center"/>
          </w:tcPr>
          <w:p w14:paraId="709D379F">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2974.69㎡</w:t>
            </w:r>
          </w:p>
        </w:tc>
      </w:tr>
      <w:tr w14:paraId="7A7D8AC8">
        <w:tblPrEx>
          <w:tblCellMar>
            <w:top w:w="0" w:type="dxa"/>
            <w:left w:w="108" w:type="dxa"/>
            <w:bottom w:w="0" w:type="dxa"/>
            <w:right w:w="108" w:type="dxa"/>
          </w:tblCellMar>
        </w:tblPrEx>
        <w:trPr>
          <w:trHeight w:val="825" w:hRule="atLeast"/>
        </w:trPr>
        <w:tc>
          <w:tcPr>
            <w:tcW w:w="1840" w:type="dxa"/>
            <w:vMerge w:val="continue"/>
            <w:tcBorders>
              <w:top w:val="nil"/>
              <w:left w:val="single" w:color="auto" w:sz="4" w:space="0"/>
              <w:bottom w:val="single" w:color="auto" w:sz="4" w:space="0"/>
              <w:right w:val="single" w:color="auto" w:sz="4" w:space="0"/>
            </w:tcBorders>
            <w:vAlign w:val="center"/>
          </w:tcPr>
          <w:p w14:paraId="24DD08CA">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p>
        </w:tc>
        <w:tc>
          <w:tcPr>
            <w:tcW w:w="2153" w:type="dxa"/>
            <w:tcBorders>
              <w:top w:val="nil"/>
              <w:left w:val="nil"/>
              <w:bottom w:val="single" w:color="auto" w:sz="4" w:space="0"/>
              <w:right w:val="single" w:color="auto" w:sz="4" w:space="0"/>
            </w:tcBorders>
            <w:shd w:val="clear" w:color="auto" w:fill="auto"/>
            <w:vAlign w:val="center"/>
          </w:tcPr>
          <w:p w14:paraId="495AE70F">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使用年限</w:t>
            </w:r>
          </w:p>
        </w:tc>
        <w:tc>
          <w:tcPr>
            <w:tcW w:w="4366" w:type="dxa"/>
            <w:tcBorders>
              <w:top w:val="nil"/>
              <w:left w:val="nil"/>
              <w:bottom w:val="single" w:color="auto" w:sz="4" w:space="0"/>
              <w:right w:val="single" w:color="auto" w:sz="4" w:space="0"/>
            </w:tcBorders>
            <w:shd w:val="clear" w:color="auto" w:fill="auto"/>
            <w:vAlign w:val="center"/>
          </w:tcPr>
          <w:p w14:paraId="408C392C">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50年</w:t>
            </w:r>
          </w:p>
        </w:tc>
      </w:tr>
      <w:tr w14:paraId="1442C769">
        <w:tblPrEx>
          <w:tblCellMar>
            <w:top w:w="0" w:type="dxa"/>
            <w:left w:w="108" w:type="dxa"/>
            <w:bottom w:w="0" w:type="dxa"/>
            <w:right w:w="108" w:type="dxa"/>
          </w:tblCellMar>
        </w:tblPrEx>
        <w:trPr>
          <w:trHeight w:val="525" w:hRule="atLeast"/>
        </w:trPr>
        <w:tc>
          <w:tcPr>
            <w:tcW w:w="1840" w:type="dxa"/>
            <w:vMerge w:val="continue"/>
            <w:tcBorders>
              <w:top w:val="nil"/>
              <w:left w:val="single" w:color="auto" w:sz="4" w:space="0"/>
              <w:bottom w:val="single" w:color="auto" w:sz="4" w:space="0"/>
              <w:right w:val="single" w:color="auto" w:sz="4" w:space="0"/>
            </w:tcBorders>
            <w:vAlign w:val="center"/>
          </w:tcPr>
          <w:p w14:paraId="225E6798">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p>
        </w:tc>
        <w:tc>
          <w:tcPr>
            <w:tcW w:w="2153" w:type="dxa"/>
            <w:tcBorders>
              <w:top w:val="nil"/>
              <w:left w:val="nil"/>
              <w:bottom w:val="single" w:color="auto" w:sz="4" w:space="0"/>
              <w:right w:val="single" w:color="auto" w:sz="4" w:space="0"/>
            </w:tcBorders>
            <w:shd w:val="clear" w:color="auto" w:fill="auto"/>
            <w:vAlign w:val="center"/>
          </w:tcPr>
          <w:p w14:paraId="0963D06C">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终止日期</w:t>
            </w:r>
          </w:p>
        </w:tc>
        <w:tc>
          <w:tcPr>
            <w:tcW w:w="4366" w:type="dxa"/>
            <w:tcBorders>
              <w:top w:val="nil"/>
              <w:left w:val="nil"/>
              <w:bottom w:val="single" w:color="auto" w:sz="4" w:space="0"/>
              <w:right w:val="single" w:color="auto" w:sz="4" w:space="0"/>
            </w:tcBorders>
            <w:shd w:val="clear" w:color="auto" w:fill="auto"/>
            <w:vAlign w:val="center"/>
          </w:tcPr>
          <w:p w14:paraId="0EC2B3C2">
            <w:pPr>
              <w:widowControl/>
              <w:spacing w:line="360" w:lineRule="auto"/>
              <w:jc w:val="left"/>
              <w:rPr>
                <w:rFonts w:ascii="宋体" w:hAnsi="宋体" w:eastAsia="宋体" w:cs="楷体"/>
                <w:color w:val="000000" w:themeColor="text1"/>
                <w:kern w:val="0"/>
                <w:sz w:val="28"/>
                <w:szCs w:val="28"/>
                <w14:textFill>
                  <w14:solidFill>
                    <w14:schemeClr w14:val="tx1"/>
                  </w14:solidFill>
                </w14:textFill>
              </w:rPr>
            </w:pPr>
            <w:r>
              <w:rPr>
                <w:rFonts w:hint="eastAsia" w:ascii="宋体" w:hAnsi="宋体" w:eastAsia="宋体" w:cs="楷体"/>
                <w:color w:val="000000" w:themeColor="text1"/>
                <w:kern w:val="0"/>
                <w:sz w:val="28"/>
                <w:szCs w:val="28"/>
                <w14:textFill>
                  <w14:solidFill>
                    <w14:schemeClr w14:val="tx1"/>
                  </w14:solidFill>
                </w14:textFill>
              </w:rPr>
              <w:t>2053年9月28日</w:t>
            </w:r>
          </w:p>
        </w:tc>
      </w:tr>
      <w:tr w14:paraId="38951C92">
        <w:tblPrEx>
          <w:tblCellMar>
            <w:top w:w="0" w:type="dxa"/>
            <w:left w:w="108" w:type="dxa"/>
            <w:bottom w:w="0" w:type="dxa"/>
            <w:right w:w="108" w:type="dxa"/>
          </w:tblCellMar>
        </w:tblPrEx>
        <w:trPr>
          <w:trHeight w:val="525" w:hRule="atLeast"/>
        </w:trPr>
        <w:tc>
          <w:tcPr>
            <w:tcW w:w="8359" w:type="dxa"/>
            <w:gridSpan w:val="3"/>
            <w:tcBorders>
              <w:top w:val="single" w:color="auto" w:sz="4" w:space="0"/>
              <w:left w:val="single" w:color="auto" w:sz="4" w:space="0"/>
              <w:bottom w:val="single" w:color="auto" w:sz="4" w:space="0"/>
              <w:right w:val="single" w:color="auto" w:sz="4" w:space="0"/>
            </w:tcBorders>
            <w:vAlign w:val="center"/>
          </w:tcPr>
          <w:p w14:paraId="331198B2">
            <w:pPr>
              <w:spacing w:line="360" w:lineRule="auto"/>
              <w:ind w:firstLine="482"/>
              <w:rPr>
                <w:rFonts w:asciiTheme="minorEastAsia" w:hAnsiTheme="minorEastAsia"/>
                <w:b/>
                <w:bCs/>
                <w:color w:val="FF0000"/>
                <w:sz w:val="24"/>
                <w:szCs w:val="24"/>
              </w:rPr>
            </w:pPr>
            <w:r>
              <w:rPr>
                <w:rFonts w:hint="eastAsia" w:asciiTheme="minorEastAsia" w:hAnsiTheme="minorEastAsia"/>
                <w:b/>
                <w:bCs/>
                <w:color w:val="FF0000"/>
                <w:sz w:val="24"/>
                <w:szCs w:val="24"/>
              </w:rPr>
              <w:t>1、</w:t>
            </w:r>
            <w:r>
              <w:rPr>
                <w:rFonts w:asciiTheme="minorEastAsia" w:hAnsiTheme="minorEastAsia"/>
                <w:b/>
                <w:bCs/>
                <w:color w:val="FF0000"/>
                <w:sz w:val="24"/>
                <w:szCs w:val="24"/>
              </w:rPr>
              <w:t>标的物具体包括冀国用（</w:t>
            </w:r>
            <w:r>
              <w:rPr>
                <w:rFonts w:hint="eastAsia" w:asciiTheme="minorEastAsia" w:hAnsiTheme="minorEastAsia"/>
                <w:b/>
                <w:bCs/>
                <w:color w:val="FF0000"/>
                <w:sz w:val="24"/>
                <w:szCs w:val="24"/>
              </w:rPr>
              <w:t>2009</w:t>
            </w:r>
            <w:r>
              <w:rPr>
                <w:rFonts w:asciiTheme="minorEastAsia" w:hAnsiTheme="minorEastAsia"/>
                <w:b/>
                <w:bCs/>
                <w:color w:val="FF0000"/>
                <w:sz w:val="24"/>
                <w:szCs w:val="24"/>
              </w:rPr>
              <w:t>）第</w:t>
            </w:r>
            <w:r>
              <w:rPr>
                <w:rFonts w:hint="eastAsia" w:asciiTheme="minorEastAsia" w:hAnsiTheme="minorEastAsia"/>
                <w:b/>
                <w:bCs/>
                <w:color w:val="FF0000"/>
                <w:sz w:val="24"/>
                <w:szCs w:val="24"/>
              </w:rPr>
              <w:t>125号土地使用权证土地，以及地上建设的厂房、办公楼、厕所、门卫室、锅炉房等建筑物。</w:t>
            </w:r>
          </w:p>
          <w:p w14:paraId="3FEEEB64">
            <w:pPr>
              <w:spacing w:line="360" w:lineRule="auto"/>
              <w:ind w:firstLine="482"/>
              <w:rPr>
                <w:rFonts w:asciiTheme="minorEastAsia" w:hAnsiTheme="minorEastAsia"/>
                <w:b/>
                <w:bCs/>
                <w:color w:val="FF0000"/>
                <w:sz w:val="24"/>
                <w:szCs w:val="24"/>
              </w:rPr>
            </w:pPr>
            <w:r>
              <w:rPr>
                <w:rFonts w:hint="eastAsia" w:asciiTheme="minorEastAsia" w:hAnsiTheme="minorEastAsia"/>
                <w:b/>
                <w:bCs/>
                <w:color w:val="FF0000"/>
                <w:sz w:val="24"/>
                <w:szCs w:val="24"/>
              </w:rPr>
              <w:t>2、</w:t>
            </w:r>
            <w:r>
              <w:rPr>
                <w:rFonts w:asciiTheme="minorEastAsia" w:hAnsiTheme="minorEastAsia"/>
                <w:b/>
                <w:bCs/>
                <w:color w:val="FF0000"/>
                <w:sz w:val="24"/>
                <w:szCs w:val="24"/>
              </w:rPr>
              <w:t>冀国用（</w:t>
            </w:r>
            <w:r>
              <w:rPr>
                <w:rFonts w:hint="eastAsia" w:asciiTheme="minorEastAsia" w:hAnsiTheme="minorEastAsia"/>
                <w:b/>
                <w:bCs/>
                <w:color w:val="FF0000"/>
                <w:sz w:val="24"/>
                <w:szCs w:val="24"/>
              </w:rPr>
              <w:t>2009</w:t>
            </w:r>
            <w:r>
              <w:rPr>
                <w:rFonts w:asciiTheme="minorEastAsia" w:hAnsiTheme="minorEastAsia"/>
                <w:b/>
                <w:bCs/>
                <w:color w:val="FF0000"/>
                <w:sz w:val="24"/>
                <w:szCs w:val="24"/>
              </w:rPr>
              <w:t>）第</w:t>
            </w:r>
            <w:r>
              <w:rPr>
                <w:rFonts w:hint="eastAsia" w:asciiTheme="minorEastAsia" w:hAnsiTheme="minorEastAsia"/>
                <w:b/>
                <w:bCs/>
                <w:color w:val="FF0000"/>
                <w:sz w:val="24"/>
                <w:szCs w:val="24"/>
              </w:rPr>
              <w:t>125号土地使用权证目前登记在冀州市开元纸制品制造加工厂名下。2024年7月15日，河北省衡水市中级人民法院作出（2024）冀11民终1012号民事判决书，判决一，维持河北省衡水市冀州区人民法院（2024）冀1103民初368号判决第一项。即衡水泽邦橡胶制品有限公司享有</w:t>
            </w:r>
            <w:r>
              <w:rPr>
                <w:rFonts w:asciiTheme="minorEastAsia" w:hAnsiTheme="minorEastAsia"/>
                <w:b/>
                <w:bCs/>
                <w:color w:val="FF0000"/>
                <w:sz w:val="24"/>
                <w:szCs w:val="24"/>
              </w:rPr>
              <w:t>冀国用（</w:t>
            </w:r>
            <w:r>
              <w:rPr>
                <w:rFonts w:hint="eastAsia" w:asciiTheme="minorEastAsia" w:hAnsiTheme="minorEastAsia"/>
                <w:b/>
                <w:bCs/>
                <w:color w:val="FF0000"/>
                <w:sz w:val="24"/>
                <w:szCs w:val="24"/>
              </w:rPr>
              <w:t>2009</w:t>
            </w:r>
            <w:r>
              <w:rPr>
                <w:rFonts w:asciiTheme="minorEastAsia" w:hAnsiTheme="minorEastAsia"/>
                <w:b/>
                <w:bCs/>
                <w:color w:val="FF0000"/>
                <w:sz w:val="24"/>
                <w:szCs w:val="24"/>
              </w:rPr>
              <w:t>）第</w:t>
            </w:r>
            <w:r>
              <w:rPr>
                <w:rFonts w:hint="eastAsia" w:asciiTheme="minorEastAsia" w:hAnsiTheme="minorEastAsia"/>
                <w:b/>
                <w:bCs/>
                <w:color w:val="FF0000"/>
                <w:sz w:val="24"/>
                <w:szCs w:val="24"/>
              </w:rPr>
              <w:t>125号土地使用权证土地及地上建筑物的民事权益；判决二，按照案涉《厂房土地出售协议》约定协助衡水泽邦橡胶制品有限公司办理国有土地使用权及地上建筑物变更登记。</w:t>
            </w:r>
          </w:p>
          <w:p w14:paraId="3E08F9B1">
            <w:pPr>
              <w:spacing w:line="360" w:lineRule="auto"/>
              <w:ind w:firstLine="482"/>
              <w:rPr>
                <w:rFonts w:asciiTheme="minorEastAsia" w:hAnsiTheme="minorEastAsia"/>
                <w:b/>
                <w:bCs/>
                <w:color w:val="FF0000"/>
                <w:sz w:val="24"/>
                <w:szCs w:val="24"/>
              </w:rPr>
            </w:pPr>
            <w:r>
              <w:rPr>
                <w:rFonts w:hint="eastAsia" w:asciiTheme="minorEastAsia" w:hAnsiTheme="minorEastAsia"/>
                <w:b/>
                <w:bCs/>
                <w:color w:val="FF0000"/>
                <w:sz w:val="24"/>
                <w:szCs w:val="24"/>
              </w:rPr>
              <w:t>3、标的物成交后，由冀州市开元纸制品制造加工厂更登记到衡水泽邦橡胶制品有限公司名下，再由衡水泽邦橡胶制品有限公司变更至买受人名下，两次变更登记所产生所产生的税费及相关费用均由买受人承担。</w:t>
            </w:r>
          </w:p>
          <w:p w14:paraId="3AB79C46">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4、本次拍卖标的物的国有土地使用权，以现状为准，土地的面积、范围及其他指标以国土、城建等部门的最终核实为准。竞买人竞拍前应向自然资源和规划局、和城乡建设局、市场监督管理局、税务等政府部门，对标的物的权属、质量、能否过户、过户要求和流程、税费缴付的标准及起止时间，以及其他须注意的事项进行咨询。因政策原因或其他原因导致不能过户或完善相关手续的风险由买受人承担，管理人不保证标的物能办理过户手续。</w:t>
            </w:r>
          </w:p>
          <w:p w14:paraId="37DC38A3">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 xml:space="preserve">5、本次拍卖标的物的地上建筑物的外观、结构、质量、装修（如有）以移交时的房屋现状为准。拍卖人对地上建筑物外观、质量问题、结构调整、固定装修损坏、建筑物的面积差异等不作担保，由买受人自行承担相关责任，由此产生的问题也不影响拍卖成交结果及成交价格。地上建筑物未办理房屋所有权证，由竞买人自行到相关职能部门了解能否办理相关权证，无法办理的后果，由买受人承担。 </w:t>
            </w:r>
          </w:p>
          <w:p w14:paraId="319C3C58">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6、有意参与竞拍者请亲自到相关部门详细咨询限购、过户等相关政策，竞买人应当符合当地限购政策的相关要求，如因竞买人不符合相关购买资格而导致房屋无法过户的，按照悔拍处理，交纳的保证金不予退还，计入债务人财产。凡是参加竞买的竞买人均视为对本标的实物现状的认可，责任自负。</w:t>
            </w:r>
          </w:p>
          <w:p w14:paraId="17ABB2DD">
            <w:pPr>
              <w:spacing w:line="360" w:lineRule="auto"/>
              <w:ind w:firstLine="482" w:firstLineChars="200"/>
              <w:rPr>
                <w:rFonts w:ascii="宋体" w:hAnsi="宋体" w:eastAsia="宋体" w:cs="楷体"/>
                <w:b/>
                <w:bCs/>
                <w:color w:val="FF0000"/>
                <w:kern w:val="0"/>
                <w:sz w:val="28"/>
                <w:szCs w:val="28"/>
              </w:rPr>
            </w:pPr>
            <w:r>
              <w:rPr>
                <w:rFonts w:hint="eastAsia" w:asciiTheme="minorEastAsia" w:hAnsiTheme="minorEastAsia"/>
                <w:b/>
                <w:bCs/>
                <w:color w:val="FF0000"/>
                <w:sz w:val="24"/>
                <w:szCs w:val="24"/>
              </w:rPr>
              <w:t>7、其他未尽事宜由买受人自行了解。</w:t>
            </w:r>
          </w:p>
        </w:tc>
      </w:tr>
    </w:tbl>
    <w:p w14:paraId="27864EC6">
      <w:pPr>
        <w:spacing w:line="360" w:lineRule="auto"/>
        <w:ind w:firstLine="480" w:firstLineChars="200"/>
        <w:jc w:val="right"/>
        <w:rPr>
          <w:rFonts w:asciiTheme="minorEastAsia" w:hAnsiTheme="minorEastAsia"/>
          <w:sz w:val="24"/>
          <w:szCs w:val="24"/>
        </w:rPr>
      </w:pPr>
    </w:p>
    <w:p w14:paraId="40E1A0D7">
      <w:pPr>
        <w:spacing w:line="360" w:lineRule="auto"/>
        <w:ind w:firstLine="480" w:firstLineChars="200"/>
        <w:jc w:val="right"/>
        <w:rPr>
          <w:rFonts w:asciiTheme="minorEastAsia" w:hAnsiTheme="minorEastAsia"/>
          <w:sz w:val="24"/>
          <w:szCs w:val="24"/>
        </w:rPr>
      </w:pPr>
    </w:p>
    <w:p w14:paraId="7DFB480B">
      <w:pPr>
        <w:spacing w:line="360" w:lineRule="auto"/>
        <w:jc w:val="left"/>
        <w:rPr>
          <w:rFonts w:asciiTheme="minorEastAsia" w:hAnsiTheme="minorEastAsia"/>
          <w:sz w:val="24"/>
          <w:szCs w:val="24"/>
        </w:rPr>
      </w:pPr>
      <w:r>
        <w:rPr>
          <w:rFonts w:hint="eastAsia" w:asciiTheme="minorEastAsia" w:hAnsiTheme="minorEastAsia"/>
          <w:sz w:val="24"/>
          <w:szCs w:val="24"/>
        </w:rPr>
        <w:t>照片：</w:t>
      </w:r>
    </w:p>
    <w:p w14:paraId="70ECAB78">
      <w:pPr>
        <w:spacing w:line="360" w:lineRule="auto"/>
        <w:jc w:val="left"/>
        <w:rPr>
          <w:rFonts w:asciiTheme="minorEastAsia" w:hAnsiTheme="minorEastAsia"/>
          <w:sz w:val="24"/>
          <w:szCs w:val="24"/>
        </w:rPr>
      </w:pPr>
      <w:r>
        <w:rPr>
          <w:rFonts w:asciiTheme="minorEastAsia" w:hAnsiTheme="minorEastAsia"/>
          <w:sz w:val="24"/>
          <w:szCs w:val="24"/>
        </w:rPr>
        <w:pict>
          <v:shape id="_x0000_i1025" o:spt="75" type="#_x0000_t75" style="height:277.1pt;width:413.6pt;" filled="f" o:preferrelative="t" stroked="f" coordsize="21600,21600">
            <v:path/>
            <v:fill on="f" focussize="0,0"/>
            <v:stroke on="f" joinstyle="miter"/>
            <v:imagedata r:id="rId4" o:title="DSC_0912"/>
            <o:lock v:ext="edit" aspectratio="t"/>
            <w10:wrap type="none"/>
            <w10:anchorlock/>
          </v:shape>
        </w:pict>
      </w:r>
      <w:r>
        <w:rPr>
          <w:rFonts w:asciiTheme="minorEastAsia" w:hAnsiTheme="minorEastAsia"/>
          <w:sz w:val="24"/>
          <w:szCs w:val="24"/>
        </w:rPr>
        <w:pict>
          <v:shape id="_x0000_i1026" o:spt="75" type="#_x0000_t75" style="height:277.1pt;width:413.6pt;" filled="f" o:preferrelative="t" stroked="f" coordsize="21600,21600">
            <v:path/>
            <v:fill on="f" focussize="0,0"/>
            <v:stroke on="f" joinstyle="miter"/>
            <v:imagedata r:id="rId5" o:title="DSC_0930"/>
            <o:lock v:ext="edit" aspectratio="t"/>
            <w10:wrap type="none"/>
            <w10:anchorlock/>
          </v:shape>
        </w:pict>
      </w:r>
      <w:r>
        <w:rPr>
          <w:rFonts w:asciiTheme="minorEastAsia" w:hAnsiTheme="minorEastAsia"/>
          <w:sz w:val="24"/>
          <w:szCs w:val="24"/>
        </w:rPr>
        <w:pict>
          <v:shape id="_x0000_i1027" o:spt="75" type="#_x0000_t75" style="height:277.1pt;width:413.6pt;" filled="f" o:preferrelative="t" stroked="f" coordsize="21600,21600">
            <v:path/>
            <v:fill on="f" focussize="0,0"/>
            <v:stroke on="f" joinstyle="miter"/>
            <v:imagedata r:id="rId6" o:title="DSC_0943"/>
            <o:lock v:ext="edit" aspectratio="t"/>
            <w10:wrap type="none"/>
            <w10:anchorlock/>
          </v:shape>
        </w:pict>
      </w:r>
      <w:r>
        <w:rPr>
          <w:rFonts w:asciiTheme="minorEastAsia" w:hAnsiTheme="minorEastAsia"/>
          <w:sz w:val="24"/>
          <w:szCs w:val="24"/>
        </w:rPr>
        <w:pict>
          <v:shape id="_x0000_i1028" o:spt="75" type="#_x0000_t75" style="height:277.1pt;width:413.6pt;" filled="f" o:preferrelative="t" stroked="f" coordsize="21600,21600">
            <v:path/>
            <v:fill on="f" focussize="0,0"/>
            <v:stroke on="f" joinstyle="miter"/>
            <v:imagedata r:id="rId7" o:title="DSC_0944"/>
            <o:lock v:ext="edit" aspectratio="t"/>
            <w10:wrap type="none"/>
            <w10:anchorlock/>
          </v:shape>
        </w:pict>
      </w:r>
      <w:r>
        <w:rPr>
          <w:rFonts w:asciiTheme="minorEastAsia" w:hAnsiTheme="minorEastAsia"/>
          <w:sz w:val="24"/>
          <w:szCs w:val="24"/>
        </w:rPr>
        <w:pict>
          <v:shape id="_x0000_i1029" o:spt="75" type="#_x0000_t75" style="height:277.1pt;width:413.6pt;" filled="f" o:preferrelative="t" stroked="f" coordsize="21600,21600">
            <v:path/>
            <v:fill on="f" focussize="0,0"/>
            <v:stroke on="f" joinstyle="miter"/>
            <v:imagedata r:id="rId8" o:title="DSC_0910"/>
            <o:lock v:ext="edit" aspectratio="t"/>
            <w10:wrap type="none"/>
            <w10:anchorlock/>
          </v:shape>
        </w:pict>
      </w:r>
    </w:p>
    <w:p w14:paraId="1F8718D2">
      <w:pPr>
        <w:spacing w:line="360" w:lineRule="auto"/>
        <w:jc w:val="left"/>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2808A5"/>
    <w:multiLevelType w:val="singleLevel"/>
    <w:tmpl w:val="332808A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5MjViNTc4NGIwZDVkMjg2NDE2NWViZmE4YTVjNmYifQ=="/>
  </w:docVars>
  <w:rsids>
    <w:rsidRoot w:val="006705CC"/>
    <w:rsid w:val="0002393B"/>
    <w:rsid w:val="000345F8"/>
    <w:rsid w:val="000505EB"/>
    <w:rsid w:val="0005078A"/>
    <w:rsid w:val="00051E02"/>
    <w:rsid w:val="0005677F"/>
    <w:rsid w:val="000605E3"/>
    <w:rsid w:val="00061D2E"/>
    <w:rsid w:val="00087E11"/>
    <w:rsid w:val="0009418A"/>
    <w:rsid w:val="000A0642"/>
    <w:rsid w:val="000A33CA"/>
    <w:rsid w:val="000A527A"/>
    <w:rsid w:val="000B254F"/>
    <w:rsid w:val="000D5FB3"/>
    <w:rsid w:val="000D639B"/>
    <w:rsid w:val="001206E4"/>
    <w:rsid w:val="00122E94"/>
    <w:rsid w:val="00142839"/>
    <w:rsid w:val="00151626"/>
    <w:rsid w:val="00155E8B"/>
    <w:rsid w:val="00166DDE"/>
    <w:rsid w:val="0017047B"/>
    <w:rsid w:val="00177121"/>
    <w:rsid w:val="00182542"/>
    <w:rsid w:val="001906EC"/>
    <w:rsid w:val="001B706C"/>
    <w:rsid w:val="001D7A05"/>
    <w:rsid w:val="001F53A3"/>
    <w:rsid w:val="002073A5"/>
    <w:rsid w:val="0021232E"/>
    <w:rsid w:val="002138CB"/>
    <w:rsid w:val="00224C38"/>
    <w:rsid w:val="002307BE"/>
    <w:rsid w:val="00231E2F"/>
    <w:rsid w:val="00250577"/>
    <w:rsid w:val="002556C1"/>
    <w:rsid w:val="00266827"/>
    <w:rsid w:val="002749EF"/>
    <w:rsid w:val="00286172"/>
    <w:rsid w:val="00286355"/>
    <w:rsid w:val="00294F47"/>
    <w:rsid w:val="002B6F1B"/>
    <w:rsid w:val="002C2F87"/>
    <w:rsid w:val="002E4FD4"/>
    <w:rsid w:val="002F06E8"/>
    <w:rsid w:val="00305174"/>
    <w:rsid w:val="003159B6"/>
    <w:rsid w:val="003242AB"/>
    <w:rsid w:val="00325429"/>
    <w:rsid w:val="00326BBB"/>
    <w:rsid w:val="00326FEE"/>
    <w:rsid w:val="003451CB"/>
    <w:rsid w:val="003571DB"/>
    <w:rsid w:val="00365E3C"/>
    <w:rsid w:val="00376D90"/>
    <w:rsid w:val="00387D3D"/>
    <w:rsid w:val="003A6E3E"/>
    <w:rsid w:val="003B0D10"/>
    <w:rsid w:val="003B3810"/>
    <w:rsid w:val="003C3D69"/>
    <w:rsid w:val="003C68C9"/>
    <w:rsid w:val="003C6B6C"/>
    <w:rsid w:val="003D33DC"/>
    <w:rsid w:val="003E0A6E"/>
    <w:rsid w:val="003E3A56"/>
    <w:rsid w:val="003F2F8E"/>
    <w:rsid w:val="00422112"/>
    <w:rsid w:val="00426B1C"/>
    <w:rsid w:val="00432721"/>
    <w:rsid w:val="004405BB"/>
    <w:rsid w:val="00447E03"/>
    <w:rsid w:val="004562F8"/>
    <w:rsid w:val="00460443"/>
    <w:rsid w:val="00462220"/>
    <w:rsid w:val="00482372"/>
    <w:rsid w:val="0049611D"/>
    <w:rsid w:val="004A1BD2"/>
    <w:rsid w:val="004F178F"/>
    <w:rsid w:val="00500AEE"/>
    <w:rsid w:val="0050228E"/>
    <w:rsid w:val="00503173"/>
    <w:rsid w:val="00515436"/>
    <w:rsid w:val="005425B1"/>
    <w:rsid w:val="005545E2"/>
    <w:rsid w:val="0055574E"/>
    <w:rsid w:val="00566AEA"/>
    <w:rsid w:val="00567CA0"/>
    <w:rsid w:val="00572BF7"/>
    <w:rsid w:val="00573892"/>
    <w:rsid w:val="005A10DA"/>
    <w:rsid w:val="005A6E8D"/>
    <w:rsid w:val="005B0D5B"/>
    <w:rsid w:val="005C1CC4"/>
    <w:rsid w:val="005C6CF4"/>
    <w:rsid w:val="005D0597"/>
    <w:rsid w:val="005D0905"/>
    <w:rsid w:val="005D6FFF"/>
    <w:rsid w:val="005E1744"/>
    <w:rsid w:val="005F6202"/>
    <w:rsid w:val="00602FC9"/>
    <w:rsid w:val="00607854"/>
    <w:rsid w:val="00614ADA"/>
    <w:rsid w:val="00634749"/>
    <w:rsid w:val="00640E85"/>
    <w:rsid w:val="00641BF2"/>
    <w:rsid w:val="00642EF7"/>
    <w:rsid w:val="00646EF2"/>
    <w:rsid w:val="00647971"/>
    <w:rsid w:val="00660A2C"/>
    <w:rsid w:val="00660E79"/>
    <w:rsid w:val="006705CC"/>
    <w:rsid w:val="00681EB6"/>
    <w:rsid w:val="006C4FC7"/>
    <w:rsid w:val="006D518E"/>
    <w:rsid w:val="006E2AFE"/>
    <w:rsid w:val="00712119"/>
    <w:rsid w:val="00722D29"/>
    <w:rsid w:val="00725E01"/>
    <w:rsid w:val="007520B4"/>
    <w:rsid w:val="00752568"/>
    <w:rsid w:val="00771872"/>
    <w:rsid w:val="0077240D"/>
    <w:rsid w:val="00785D6A"/>
    <w:rsid w:val="00797413"/>
    <w:rsid w:val="007A6F25"/>
    <w:rsid w:val="007B0CB7"/>
    <w:rsid w:val="007B4810"/>
    <w:rsid w:val="007B5604"/>
    <w:rsid w:val="007B7150"/>
    <w:rsid w:val="007E5167"/>
    <w:rsid w:val="007F1380"/>
    <w:rsid w:val="007F6DE8"/>
    <w:rsid w:val="00800BF9"/>
    <w:rsid w:val="008075C1"/>
    <w:rsid w:val="00826999"/>
    <w:rsid w:val="00842B8B"/>
    <w:rsid w:val="00843EE4"/>
    <w:rsid w:val="00844C08"/>
    <w:rsid w:val="00852732"/>
    <w:rsid w:val="008547D7"/>
    <w:rsid w:val="00855563"/>
    <w:rsid w:val="00865D20"/>
    <w:rsid w:val="00867981"/>
    <w:rsid w:val="00875907"/>
    <w:rsid w:val="00886C94"/>
    <w:rsid w:val="008948BB"/>
    <w:rsid w:val="008A7219"/>
    <w:rsid w:val="008B73C2"/>
    <w:rsid w:val="008C7C40"/>
    <w:rsid w:val="008D07BD"/>
    <w:rsid w:val="008D4415"/>
    <w:rsid w:val="008D6C43"/>
    <w:rsid w:val="008E6C98"/>
    <w:rsid w:val="008F5105"/>
    <w:rsid w:val="009055FB"/>
    <w:rsid w:val="00905E85"/>
    <w:rsid w:val="00924B2A"/>
    <w:rsid w:val="00925CD2"/>
    <w:rsid w:val="0093506B"/>
    <w:rsid w:val="00944CD2"/>
    <w:rsid w:val="00960C41"/>
    <w:rsid w:val="009662BA"/>
    <w:rsid w:val="009A415F"/>
    <w:rsid w:val="009A44B4"/>
    <w:rsid w:val="009A4E2A"/>
    <w:rsid w:val="009A710C"/>
    <w:rsid w:val="009C0090"/>
    <w:rsid w:val="009C2261"/>
    <w:rsid w:val="009E1E20"/>
    <w:rsid w:val="009F4B58"/>
    <w:rsid w:val="00A116C6"/>
    <w:rsid w:val="00A13D27"/>
    <w:rsid w:val="00A83955"/>
    <w:rsid w:val="00A86A9F"/>
    <w:rsid w:val="00A95637"/>
    <w:rsid w:val="00A96324"/>
    <w:rsid w:val="00AB1824"/>
    <w:rsid w:val="00AD6809"/>
    <w:rsid w:val="00AE53BD"/>
    <w:rsid w:val="00B13EC3"/>
    <w:rsid w:val="00B16476"/>
    <w:rsid w:val="00B30199"/>
    <w:rsid w:val="00B50838"/>
    <w:rsid w:val="00B51292"/>
    <w:rsid w:val="00B55EB3"/>
    <w:rsid w:val="00B60054"/>
    <w:rsid w:val="00B6257F"/>
    <w:rsid w:val="00B83D57"/>
    <w:rsid w:val="00B87A8D"/>
    <w:rsid w:val="00B957D2"/>
    <w:rsid w:val="00BA3FBE"/>
    <w:rsid w:val="00BC3120"/>
    <w:rsid w:val="00BD53F6"/>
    <w:rsid w:val="00BE6F9A"/>
    <w:rsid w:val="00BF6406"/>
    <w:rsid w:val="00C02618"/>
    <w:rsid w:val="00C14E9A"/>
    <w:rsid w:val="00C323FB"/>
    <w:rsid w:val="00C33D08"/>
    <w:rsid w:val="00C42247"/>
    <w:rsid w:val="00C43086"/>
    <w:rsid w:val="00C55F27"/>
    <w:rsid w:val="00C6555E"/>
    <w:rsid w:val="00C664F4"/>
    <w:rsid w:val="00C93046"/>
    <w:rsid w:val="00CA014A"/>
    <w:rsid w:val="00CA12D9"/>
    <w:rsid w:val="00CB1753"/>
    <w:rsid w:val="00CB42BA"/>
    <w:rsid w:val="00CC06E9"/>
    <w:rsid w:val="00CC1726"/>
    <w:rsid w:val="00CC1969"/>
    <w:rsid w:val="00CF00C1"/>
    <w:rsid w:val="00D0736B"/>
    <w:rsid w:val="00D5502D"/>
    <w:rsid w:val="00D62F39"/>
    <w:rsid w:val="00D75774"/>
    <w:rsid w:val="00D9000A"/>
    <w:rsid w:val="00DB2B6D"/>
    <w:rsid w:val="00DB2F04"/>
    <w:rsid w:val="00DC7749"/>
    <w:rsid w:val="00DE57A6"/>
    <w:rsid w:val="00E03910"/>
    <w:rsid w:val="00E12626"/>
    <w:rsid w:val="00E151E1"/>
    <w:rsid w:val="00E42BC8"/>
    <w:rsid w:val="00E42BF5"/>
    <w:rsid w:val="00E517D1"/>
    <w:rsid w:val="00E5365D"/>
    <w:rsid w:val="00E65D57"/>
    <w:rsid w:val="00E663A6"/>
    <w:rsid w:val="00E8437E"/>
    <w:rsid w:val="00E9474C"/>
    <w:rsid w:val="00F15297"/>
    <w:rsid w:val="00F17F89"/>
    <w:rsid w:val="00F305ED"/>
    <w:rsid w:val="00F379A4"/>
    <w:rsid w:val="00F42605"/>
    <w:rsid w:val="00F4643F"/>
    <w:rsid w:val="00F5403D"/>
    <w:rsid w:val="00F76566"/>
    <w:rsid w:val="00F87DBF"/>
    <w:rsid w:val="00FC3AF3"/>
    <w:rsid w:val="00FD420B"/>
    <w:rsid w:val="00FE0B68"/>
    <w:rsid w:val="00FF1B5D"/>
    <w:rsid w:val="00FF77F3"/>
    <w:rsid w:val="01286562"/>
    <w:rsid w:val="01311D17"/>
    <w:rsid w:val="01AE5688"/>
    <w:rsid w:val="01E70628"/>
    <w:rsid w:val="03FA6D38"/>
    <w:rsid w:val="0506170D"/>
    <w:rsid w:val="05143FCE"/>
    <w:rsid w:val="057335C1"/>
    <w:rsid w:val="068C5C42"/>
    <w:rsid w:val="06EC66E0"/>
    <w:rsid w:val="07464042"/>
    <w:rsid w:val="07526A91"/>
    <w:rsid w:val="07943000"/>
    <w:rsid w:val="07FC0BA5"/>
    <w:rsid w:val="0854278F"/>
    <w:rsid w:val="092B7994"/>
    <w:rsid w:val="09A514F4"/>
    <w:rsid w:val="09F064E7"/>
    <w:rsid w:val="09F935EE"/>
    <w:rsid w:val="0A0B0D13"/>
    <w:rsid w:val="0A206DCD"/>
    <w:rsid w:val="0B1526A9"/>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61EC7"/>
    <w:rsid w:val="1E043040"/>
    <w:rsid w:val="1E1B192D"/>
    <w:rsid w:val="1E674B72"/>
    <w:rsid w:val="1E965203"/>
    <w:rsid w:val="1E9A6CF6"/>
    <w:rsid w:val="1EAE09F3"/>
    <w:rsid w:val="1EEE2B9E"/>
    <w:rsid w:val="1FC009DE"/>
    <w:rsid w:val="1FC13EF0"/>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C535A"/>
    <w:rsid w:val="2B2A7653"/>
    <w:rsid w:val="2B6568DD"/>
    <w:rsid w:val="2B717030"/>
    <w:rsid w:val="2B7D3C27"/>
    <w:rsid w:val="2B844FB6"/>
    <w:rsid w:val="2C8C39F6"/>
    <w:rsid w:val="2C9C632F"/>
    <w:rsid w:val="2CE60A95"/>
    <w:rsid w:val="2D546C0A"/>
    <w:rsid w:val="2D915768"/>
    <w:rsid w:val="2DCC71AE"/>
    <w:rsid w:val="2E1450B0"/>
    <w:rsid w:val="2E2B38E3"/>
    <w:rsid w:val="2E352597"/>
    <w:rsid w:val="2EC67693"/>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3FDF3768"/>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Date"/>
    <w:basedOn w:val="1"/>
    <w:next w:val="1"/>
    <w:link w:val="15"/>
    <w:semiHidden/>
    <w:unhideWhenUsed/>
    <w:qFormat/>
    <w:uiPriority w:val="99"/>
    <w:pPr>
      <w:ind w:left="100" w:leftChars="2500"/>
    </w:pPr>
  </w:style>
  <w:style w:type="paragraph" w:styleId="4">
    <w:name w:val="Balloon Text"/>
    <w:basedOn w:val="1"/>
    <w:link w:val="17"/>
    <w:semiHidden/>
    <w:unhideWhenUsed/>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Hyperlink"/>
    <w:basedOn w:val="9"/>
    <w:unhideWhenUsed/>
    <w:qFormat/>
    <w:uiPriority w:val="99"/>
    <w:rPr>
      <w:color w:val="0000FF" w:themeColor="hyperlink"/>
      <w:u w:val="single"/>
      <w14:textFill>
        <w14:solidFill>
          <w14:schemeClr w14:val="hlink"/>
        </w14:solidFill>
      </w14:textFill>
    </w:rPr>
  </w:style>
  <w:style w:type="character" w:styleId="12">
    <w:name w:val="annotation reference"/>
    <w:basedOn w:val="9"/>
    <w:semiHidden/>
    <w:unhideWhenUsed/>
    <w:qFormat/>
    <w:uiPriority w:val="99"/>
    <w:rPr>
      <w:sz w:val="21"/>
      <w:szCs w:val="21"/>
    </w:rPr>
  </w:style>
  <w:style w:type="character" w:customStyle="1" w:styleId="13">
    <w:name w:val="页眉 Char"/>
    <w:basedOn w:val="9"/>
    <w:link w:val="6"/>
    <w:qFormat/>
    <w:uiPriority w:val="99"/>
    <w:rPr>
      <w:sz w:val="18"/>
      <w:szCs w:val="18"/>
    </w:rPr>
  </w:style>
  <w:style w:type="character" w:customStyle="1" w:styleId="14">
    <w:name w:val="页脚 Char"/>
    <w:basedOn w:val="9"/>
    <w:link w:val="5"/>
    <w:qFormat/>
    <w:uiPriority w:val="99"/>
    <w:rPr>
      <w:sz w:val="18"/>
      <w:szCs w:val="18"/>
    </w:rPr>
  </w:style>
  <w:style w:type="character" w:customStyle="1" w:styleId="15">
    <w:name w:val="日期 Char"/>
    <w:basedOn w:val="9"/>
    <w:link w:val="3"/>
    <w:semiHidden/>
    <w:qFormat/>
    <w:uiPriority w:val="99"/>
  </w:style>
  <w:style w:type="paragraph" w:styleId="16">
    <w:name w:val="List Paragraph"/>
    <w:basedOn w:val="1"/>
    <w:qFormat/>
    <w:uiPriority w:val="99"/>
    <w:pPr>
      <w:ind w:firstLine="420" w:firstLineChars="200"/>
    </w:pPr>
  </w:style>
  <w:style w:type="character" w:customStyle="1" w:styleId="17">
    <w:name w:val="批注框文本 Char"/>
    <w:basedOn w:val="9"/>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15</Pages>
  <Words>7670</Words>
  <Characters>8160</Characters>
  <Lines>67</Lines>
  <Paragraphs>18</Paragraphs>
  <TotalTime>507</TotalTime>
  <ScaleCrop>false</ScaleCrop>
  <LinksUpToDate>false</LinksUpToDate>
  <CharactersWithSpaces>8325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2023-03-23T05:29:00Z</dcterms:created>
  <dc:creator>Administrator</dc:creator>
  <cp:lastModifiedBy>片片～</cp:lastModifiedBy>
  <dcterms:modified xsi:type="dcterms:W3CDTF">2025-01-13T09:59:19Z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C00A99FB7A69483293E2CE17945FD205_13</vt:lpwstr>
  </property>
  <property fmtid="{D5CDD505-2E9C-101B-9397-08002B2CF9AE}" pid="4" name="KSOTemplateDocerSaveRecord">
    <vt:lpwstr>eyJoZGlkIjoiZTlhMGUwYjQyNDkwOTU4NTQ4YzNiZDFlZWQ0NjkyZTkiLCJ1c2VySWQiOiI0MzIzMzExMzMifQ==</vt:lpwstr>
  </property>
</Properties>
</file>