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widowControl/>
        <w:spacing w:line="288" w:lineRule="atLeast"/>
        <w:jc w:val="center"/>
        <w:rPr>
          <w:rFonts w:ascii="宋体" w:hAnsi="宋体" w:cs="宋体"/>
          <w:b/>
          <w:bCs/>
          <w:color w:val="000000"/>
          <w:sz w:val="44"/>
          <w:szCs w:val="44"/>
        </w:rPr>
      </w:pPr>
      <w:bookmarkStart w:id="0" w:name="_GoBack"/>
      <w:bookmarkEnd w:id="0"/>
      <w:r>
        <w:rPr>
          <w:rFonts w:hint="eastAsia" w:ascii="宋体" w:hAnsi="宋体" w:cs="宋体"/>
          <w:b/>
          <w:bCs/>
          <w:color w:val="000000"/>
          <w:sz w:val="44"/>
          <w:szCs w:val="44"/>
        </w:rPr>
        <w:t>四川正坤房地产开发有限公司</w:t>
      </w:r>
    </w:p>
    <w:p>
      <w:pPr>
        <w:pStyle w:val="7"/>
        <w:widowControl/>
        <w:spacing w:line="288" w:lineRule="atLeast"/>
        <w:jc w:val="center"/>
        <w:rPr>
          <w:rFonts w:hint="eastAsia" w:ascii="宋体" w:hAnsi="宋体" w:cs="宋体"/>
          <w:b/>
          <w:bCs/>
          <w:color w:val="000000"/>
          <w:sz w:val="44"/>
          <w:szCs w:val="44"/>
        </w:rPr>
      </w:pPr>
      <w:r>
        <w:rPr>
          <w:rFonts w:hint="eastAsia" w:ascii="宋体" w:hAnsi="宋体" w:cs="宋体"/>
          <w:b/>
          <w:bCs/>
          <w:color w:val="000000"/>
          <w:sz w:val="44"/>
          <w:szCs w:val="44"/>
        </w:rPr>
        <w:t>债权表</w:t>
      </w:r>
    </w:p>
    <w:p>
      <w:pPr>
        <w:spacing w:before="120" w:beforeLines="50" w:after="120" w:afterLines="50" w:line="360" w:lineRule="auto"/>
        <w:jc w:val="center"/>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币种：人民币；单位：元</w:t>
      </w:r>
    </w:p>
    <w:p>
      <w:pPr>
        <w:spacing w:before="120" w:beforeLines="50" w:after="120" w:afterLines="50" w:line="360" w:lineRule="auto"/>
        <w:jc w:val="center"/>
        <w:rPr>
          <w:rFonts w:hint="eastAsia" w:ascii="仿宋_GB2312" w:hAnsi="仿宋_GB2312" w:eastAsia="仿宋_GB2312" w:cs="仿宋_GB2312"/>
          <w:sz w:val="30"/>
          <w:szCs w:val="30"/>
          <w:lang w:val="en-US" w:eastAsia="zh-CN"/>
        </w:rPr>
      </w:pPr>
    </w:p>
    <w:p>
      <w:pPr>
        <w:spacing w:before="120" w:beforeLines="50" w:after="120" w:afterLines="50" w:line="360" w:lineRule="auto"/>
        <w:jc w:val="left"/>
        <w:rPr>
          <w:rFonts w:hint="default" w:ascii="SimHei" w:hAnsi="SimHei" w:eastAsia="SimHei" w:cs="Times New Roman"/>
          <w:sz w:val="30"/>
          <w:szCs w:val="30"/>
          <w:lang w:val="en-US" w:eastAsia="zh-CN"/>
        </w:rPr>
      </w:pPr>
      <w:r>
        <w:rPr>
          <w:rFonts w:hint="eastAsia" w:ascii="SimHei" w:hAnsi="SimHei" w:eastAsia="SimHei" w:cs="Times New Roman"/>
          <w:sz w:val="30"/>
          <w:szCs w:val="30"/>
        </w:rPr>
        <w:t>一、</w:t>
      </w:r>
      <w:r>
        <w:rPr>
          <w:rFonts w:hint="eastAsia" w:ascii="SimHei" w:hAnsi="SimHei" w:eastAsia="SimHei" w:cs="Times New Roman"/>
          <w:sz w:val="30"/>
          <w:szCs w:val="30"/>
          <w:lang w:val="en-US" w:eastAsia="zh-CN"/>
        </w:rPr>
        <w:t>税收</w:t>
      </w:r>
      <w:r>
        <w:rPr>
          <w:rFonts w:hint="eastAsia" w:ascii="SimHei" w:hAnsi="SimHei" w:eastAsia="SimHei" w:cs="Times New Roman"/>
          <w:sz w:val="30"/>
          <w:szCs w:val="30"/>
        </w:rPr>
        <w:t>债权</w:t>
      </w:r>
      <w:r>
        <w:rPr>
          <w:rFonts w:hint="eastAsia" w:ascii="SimHei" w:hAnsi="SimHei" w:eastAsia="SimHei" w:cs="Times New Roman"/>
          <w:sz w:val="30"/>
          <w:szCs w:val="30"/>
          <w:lang w:val="en-US" w:eastAsia="zh-CN"/>
        </w:rPr>
        <w:t>之二</w:t>
      </w:r>
    </w:p>
    <w:tbl>
      <w:tblPr>
        <w:tblStyle w:val="8"/>
        <w:tblW w:w="5155"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427"/>
        <w:gridCol w:w="720"/>
        <w:gridCol w:w="1737"/>
        <w:gridCol w:w="1334"/>
        <w:gridCol w:w="2250"/>
        <w:gridCol w:w="1268"/>
        <w:gridCol w:w="1487"/>
      </w:tblGrid>
      <w:tr>
        <w:trPr>
          <w:trHeight w:val="454" w:hRule="atLeast"/>
          <w:tblHeader/>
          <w:jc w:val="center"/>
        </w:trPr>
        <w:tc>
          <w:tcPr>
            <w:tcW w:w="232" w:type="pct"/>
            <w:vMerge w:val="restart"/>
            <w:shd w:val="clear" w:color="000000" w:fill="C0C0C0"/>
            <w:vAlign w:val="center"/>
          </w:tcPr>
          <w:p>
            <w:pPr>
              <w:spacing w:line="360" w:lineRule="auto"/>
              <w:rPr>
                <w:rFonts w:ascii="华文中宋" w:hAnsi="华文中宋" w:eastAsia="华文中宋"/>
                <w:b/>
                <w:sz w:val="18"/>
                <w:szCs w:val="18"/>
              </w:rPr>
            </w:pPr>
            <w:r>
              <w:rPr>
                <w:rFonts w:hint="eastAsia" w:ascii="华文中宋" w:hAnsi="华文中宋" w:eastAsia="华文中宋"/>
                <w:b/>
                <w:sz w:val="18"/>
                <w:szCs w:val="18"/>
              </w:rPr>
              <w:t>序号</w:t>
            </w:r>
          </w:p>
        </w:tc>
        <w:tc>
          <w:tcPr>
            <w:tcW w:w="390" w:type="pct"/>
            <w:vMerge w:val="restart"/>
            <w:shd w:val="clear" w:color="000000" w:fill="C0C0C0"/>
            <w:vAlign w:val="center"/>
          </w:tcPr>
          <w:p>
            <w:pPr>
              <w:spacing w:line="360" w:lineRule="auto"/>
              <w:jc w:val="center"/>
              <w:rPr>
                <w:rFonts w:ascii="华文中宋" w:hAnsi="华文中宋" w:eastAsia="华文中宋"/>
                <w:b/>
                <w:sz w:val="18"/>
                <w:szCs w:val="18"/>
              </w:rPr>
            </w:pPr>
            <w:r>
              <w:rPr>
                <w:rFonts w:hint="eastAsia" w:ascii="华文中宋" w:hAnsi="华文中宋" w:eastAsia="华文中宋"/>
                <w:b/>
                <w:sz w:val="18"/>
                <w:szCs w:val="18"/>
              </w:rPr>
              <w:t>编号</w:t>
            </w:r>
          </w:p>
        </w:tc>
        <w:tc>
          <w:tcPr>
            <w:tcW w:w="941" w:type="pct"/>
            <w:vMerge w:val="restart"/>
            <w:shd w:val="clear" w:color="000000" w:fill="C0C0C0"/>
            <w:vAlign w:val="center"/>
          </w:tcPr>
          <w:p>
            <w:pPr>
              <w:spacing w:line="360" w:lineRule="auto"/>
              <w:jc w:val="center"/>
              <w:rPr>
                <w:rFonts w:ascii="华文中宋" w:hAnsi="华文中宋" w:eastAsia="华文中宋"/>
                <w:b/>
                <w:sz w:val="18"/>
                <w:szCs w:val="18"/>
              </w:rPr>
            </w:pPr>
            <w:r>
              <w:rPr>
                <w:rFonts w:hint="eastAsia" w:ascii="华文中宋" w:hAnsi="华文中宋" w:eastAsia="华文中宋"/>
                <w:b/>
                <w:sz w:val="18"/>
                <w:szCs w:val="18"/>
              </w:rPr>
              <w:t>债权人</w:t>
            </w:r>
          </w:p>
        </w:tc>
        <w:tc>
          <w:tcPr>
            <w:tcW w:w="3435" w:type="pct"/>
            <w:gridSpan w:val="4"/>
            <w:shd w:val="clear" w:color="000000" w:fill="C0C0C0"/>
            <w:vAlign w:val="center"/>
          </w:tcPr>
          <w:p>
            <w:pPr>
              <w:spacing w:line="360" w:lineRule="auto"/>
              <w:jc w:val="center"/>
              <w:rPr>
                <w:rFonts w:ascii="华文中宋" w:hAnsi="华文中宋" w:eastAsia="华文中宋"/>
                <w:b/>
                <w:sz w:val="18"/>
                <w:szCs w:val="18"/>
              </w:rPr>
            </w:pPr>
            <w:r>
              <w:rPr>
                <w:rFonts w:hint="eastAsia" w:ascii="华文中宋" w:hAnsi="华文中宋" w:eastAsia="华文中宋"/>
                <w:b/>
                <w:sz w:val="18"/>
                <w:szCs w:val="18"/>
              </w:rPr>
              <w:t>审查认定情况</w:t>
            </w:r>
          </w:p>
        </w:tc>
      </w:tr>
      <w:tr>
        <w:trPr>
          <w:trHeight w:val="454" w:hRule="atLeast"/>
          <w:tblHeader/>
          <w:jc w:val="center"/>
        </w:trPr>
        <w:tc>
          <w:tcPr>
            <w:tcW w:w="232" w:type="pct"/>
            <w:vMerge w:val="continue"/>
            <w:vAlign w:val="center"/>
          </w:tcPr>
          <w:p>
            <w:pPr>
              <w:pStyle w:val="15"/>
              <w:numPr>
                <w:ilvl w:val="0"/>
                <w:numId w:val="1"/>
              </w:numPr>
              <w:ind w:firstLineChars="0"/>
              <w:jc w:val="center"/>
              <w:rPr>
                <w:rFonts w:ascii="华文中宋" w:hAnsi="华文中宋" w:eastAsia="华文中宋" w:cs="Times New Roman"/>
                <w:sz w:val="18"/>
                <w:szCs w:val="18"/>
              </w:rPr>
            </w:pPr>
          </w:p>
        </w:tc>
        <w:tc>
          <w:tcPr>
            <w:tcW w:w="390" w:type="pct"/>
            <w:vMerge w:val="continue"/>
            <w:vAlign w:val="center"/>
          </w:tcPr>
          <w:p>
            <w:pPr>
              <w:jc w:val="center"/>
              <w:rPr>
                <w:rFonts w:ascii="华文中宋" w:hAnsi="华文中宋" w:eastAsia="华文中宋" w:cs="Times New Roman"/>
                <w:sz w:val="18"/>
                <w:szCs w:val="18"/>
              </w:rPr>
            </w:pPr>
          </w:p>
        </w:tc>
        <w:tc>
          <w:tcPr>
            <w:tcW w:w="941" w:type="pct"/>
            <w:vMerge w:val="continue"/>
            <w:vAlign w:val="center"/>
          </w:tcPr>
          <w:p>
            <w:pPr>
              <w:jc w:val="center"/>
              <w:rPr>
                <w:rFonts w:ascii="华文中宋" w:hAnsi="华文中宋" w:eastAsia="华文中宋" w:cs="Times New Roman"/>
                <w:sz w:val="18"/>
                <w:szCs w:val="18"/>
              </w:rPr>
            </w:pPr>
          </w:p>
        </w:tc>
        <w:tc>
          <w:tcPr>
            <w:tcW w:w="723" w:type="pct"/>
            <w:shd w:val="clear" w:color="000000" w:fill="C0C0C0"/>
            <w:vAlign w:val="center"/>
          </w:tcPr>
          <w:p>
            <w:pPr>
              <w:jc w:val="center"/>
              <w:rPr>
                <w:rFonts w:ascii="华文中宋" w:hAnsi="华文中宋" w:eastAsia="华文中宋" w:cs="Times New Roman"/>
                <w:b/>
                <w:sz w:val="18"/>
                <w:szCs w:val="18"/>
              </w:rPr>
            </w:pPr>
            <w:r>
              <w:rPr>
                <w:rFonts w:hint="eastAsia" w:ascii="华文中宋" w:hAnsi="华文中宋" w:eastAsia="华文中宋" w:cs="Times New Roman"/>
                <w:b/>
                <w:sz w:val="18"/>
                <w:szCs w:val="18"/>
              </w:rPr>
              <w:t>本金</w:t>
            </w:r>
          </w:p>
        </w:tc>
        <w:tc>
          <w:tcPr>
            <w:tcW w:w="1219" w:type="pct"/>
            <w:shd w:val="clear" w:color="000000" w:fill="C0C0C0"/>
            <w:vAlign w:val="center"/>
          </w:tcPr>
          <w:p>
            <w:pPr>
              <w:jc w:val="center"/>
              <w:rPr>
                <w:rFonts w:hint="default" w:ascii="华文中宋" w:hAnsi="华文中宋" w:eastAsia="华文中宋" w:cs="Times New Roman"/>
                <w:b/>
                <w:sz w:val="18"/>
                <w:szCs w:val="18"/>
                <w:lang w:val="en-US" w:eastAsia="zh-CN"/>
              </w:rPr>
            </w:pPr>
            <w:r>
              <w:rPr>
                <w:rFonts w:hint="eastAsia" w:ascii="华文中宋" w:hAnsi="华文中宋" w:eastAsia="华文中宋" w:cs="Times New Roman"/>
                <w:b/>
                <w:sz w:val="18"/>
                <w:szCs w:val="18"/>
              </w:rPr>
              <w:t>孳息</w:t>
            </w:r>
            <w:r>
              <w:rPr>
                <w:rFonts w:hint="eastAsia" w:ascii="华文中宋" w:hAnsi="华文中宋" w:eastAsia="华文中宋" w:cs="Times New Roman"/>
                <w:b/>
                <w:sz w:val="18"/>
                <w:szCs w:val="18"/>
                <w:lang w:val="en-US" w:eastAsia="zh-CN"/>
              </w:rPr>
              <w:t>等</w:t>
            </w:r>
            <w:r>
              <w:rPr>
                <w:rFonts w:hint="eastAsia" w:ascii="华文中宋" w:hAnsi="华文中宋" w:eastAsia="华文中宋" w:cs="Times New Roman"/>
                <w:b/>
                <w:sz w:val="18"/>
                <w:szCs w:val="18"/>
              </w:rPr>
              <w:t>其他</w:t>
            </w:r>
            <w:r>
              <w:rPr>
                <w:rFonts w:hint="eastAsia" w:ascii="华文中宋" w:hAnsi="华文中宋" w:eastAsia="华文中宋" w:cs="Times New Roman"/>
                <w:b/>
                <w:sz w:val="18"/>
                <w:szCs w:val="18"/>
                <w:lang w:val="en-US" w:eastAsia="zh-CN"/>
              </w:rPr>
              <w:t>非本金部分</w:t>
            </w:r>
          </w:p>
        </w:tc>
        <w:tc>
          <w:tcPr>
            <w:tcW w:w="687" w:type="pct"/>
            <w:shd w:val="clear" w:color="000000" w:fill="C0C0C0"/>
            <w:vAlign w:val="center"/>
          </w:tcPr>
          <w:p>
            <w:pPr>
              <w:jc w:val="center"/>
              <w:rPr>
                <w:rFonts w:ascii="华文中宋" w:hAnsi="华文中宋" w:eastAsia="华文中宋" w:cs="Times New Roman"/>
                <w:b/>
                <w:sz w:val="18"/>
                <w:szCs w:val="18"/>
              </w:rPr>
            </w:pPr>
            <w:r>
              <w:rPr>
                <w:rFonts w:hint="eastAsia" w:ascii="华文中宋" w:hAnsi="华文中宋" w:eastAsia="华文中宋" w:cs="Times New Roman"/>
                <w:b/>
                <w:sz w:val="18"/>
                <w:szCs w:val="18"/>
              </w:rPr>
              <w:t>合计</w:t>
            </w:r>
          </w:p>
        </w:tc>
        <w:tc>
          <w:tcPr>
            <w:tcW w:w="805" w:type="pct"/>
            <w:shd w:val="clear" w:color="auto" w:fill="BEBEBE" w:themeFill="background1" w:themeFillShade="BF"/>
            <w:vAlign w:val="center"/>
          </w:tcPr>
          <w:p>
            <w:pPr>
              <w:jc w:val="center"/>
              <w:rPr>
                <w:rFonts w:ascii="华文中宋" w:hAnsi="华文中宋" w:eastAsia="华文中宋" w:cs="Times New Roman"/>
                <w:b/>
                <w:sz w:val="18"/>
                <w:szCs w:val="18"/>
              </w:rPr>
            </w:pPr>
            <w:r>
              <w:rPr>
                <w:rFonts w:hint="eastAsia" w:ascii="华文中宋" w:hAnsi="华文中宋" w:eastAsia="华文中宋" w:cs="Times New Roman"/>
                <w:b/>
                <w:sz w:val="18"/>
                <w:szCs w:val="18"/>
              </w:rPr>
              <w:t>债权性质</w:t>
            </w:r>
          </w:p>
        </w:tc>
      </w:tr>
      <w:tr>
        <w:trPr>
          <w:trHeight w:val="454" w:hRule="atLeast"/>
          <w:jc w:val="center"/>
        </w:trPr>
        <w:tc>
          <w:tcPr>
            <w:tcW w:w="232" w:type="pct"/>
            <w:shd w:val="clear" w:color="auto" w:fill="auto"/>
            <w:vAlign w:val="center"/>
          </w:tcPr>
          <w:p>
            <w:pPr>
              <w:pStyle w:val="15"/>
              <w:ind w:firstLine="0" w:firstLineChars="0"/>
              <w:rPr>
                <w:rFonts w:ascii="华文中宋" w:hAnsi="华文中宋" w:eastAsia="华文中宋" w:cs="Times New Roman"/>
                <w:sz w:val="18"/>
                <w:szCs w:val="18"/>
              </w:rPr>
            </w:pPr>
            <w:r>
              <w:rPr>
                <w:rFonts w:hint="eastAsia" w:ascii="华文中宋" w:hAnsi="华文中宋" w:eastAsia="华文中宋" w:cs="Times New Roman"/>
                <w:sz w:val="18"/>
                <w:szCs w:val="18"/>
              </w:rPr>
              <w:t>1</w:t>
            </w:r>
          </w:p>
        </w:tc>
        <w:tc>
          <w:tcPr>
            <w:tcW w:w="390" w:type="pct"/>
            <w:shd w:val="clear" w:color="auto" w:fill="auto"/>
            <w:vAlign w:val="center"/>
          </w:tcPr>
          <w:p>
            <w:pPr>
              <w:jc w:val="center"/>
              <w:rPr>
                <w:rFonts w:hint="default" w:ascii="华文中宋" w:hAnsi="华文中宋" w:eastAsia="华文中宋" w:cs="Times New Roman"/>
                <w:sz w:val="18"/>
                <w:szCs w:val="18"/>
                <w:lang w:val="en-US" w:eastAsia="zh-CN"/>
              </w:rPr>
            </w:pPr>
            <w:r>
              <w:rPr>
                <w:rFonts w:hint="eastAsia" w:ascii="华文中宋" w:hAnsi="华文中宋" w:eastAsia="华文中宋" w:cs="Times New Roman"/>
                <w:sz w:val="18"/>
                <w:szCs w:val="18"/>
              </w:rPr>
              <w:t>2</w:t>
            </w:r>
            <w:r>
              <w:rPr>
                <w:rFonts w:hint="eastAsia" w:ascii="华文中宋" w:hAnsi="华文中宋" w:eastAsia="华文中宋" w:cs="Times New Roman"/>
                <w:sz w:val="18"/>
                <w:szCs w:val="18"/>
                <w:lang w:val="en-US" w:eastAsia="zh-CN"/>
              </w:rPr>
              <w:t>00</w:t>
            </w:r>
          </w:p>
        </w:tc>
        <w:tc>
          <w:tcPr>
            <w:tcW w:w="941" w:type="pct"/>
            <w:shd w:val="clear" w:color="auto" w:fill="auto"/>
            <w:vAlign w:val="center"/>
          </w:tcPr>
          <w:p>
            <w:pPr>
              <w:jc w:val="both"/>
              <w:rPr>
                <w:rFonts w:ascii="华文中宋" w:hAnsi="华文中宋" w:eastAsia="华文中宋" w:cs="Times New Roman"/>
                <w:sz w:val="18"/>
                <w:szCs w:val="18"/>
                <w:lang w:val="en-US" w:eastAsia="zh-CN"/>
              </w:rPr>
            </w:pPr>
            <w:r>
              <w:rPr>
                <w:rFonts w:ascii="华文中宋" w:hAnsi="华文中宋" w:eastAsia="华文中宋" w:cs="Times New Roman"/>
                <w:sz w:val="18"/>
                <w:szCs w:val="18"/>
                <w:lang w:val="en-US" w:eastAsia="zh-CN"/>
              </w:rPr>
              <w:t>国家税务总局成都市青白江区税务局</w:t>
            </w:r>
          </w:p>
          <w:p>
            <w:pPr>
              <w:jc w:val="both"/>
              <w:rPr>
                <w:rFonts w:hint="eastAsia" w:ascii="华文中宋" w:hAnsi="华文中宋" w:eastAsia="华文中宋" w:cs="Times New Roman"/>
                <w:sz w:val="18"/>
                <w:szCs w:val="18"/>
                <w:lang w:eastAsia="zh-CN"/>
              </w:rPr>
            </w:pPr>
            <w:r>
              <w:rPr>
                <w:rFonts w:hint="eastAsia" w:ascii="华文中宋" w:hAnsi="华文中宋" w:eastAsia="华文中宋" w:cs="Times New Roman"/>
                <w:sz w:val="18"/>
                <w:szCs w:val="18"/>
                <w:lang w:eastAsia="zh-CN"/>
              </w:rPr>
              <w:t>（</w:t>
            </w:r>
            <w:r>
              <w:rPr>
                <w:rFonts w:hint="eastAsia" w:ascii="华文中宋" w:hAnsi="华文中宋" w:eastAsia="华文中宋" w:cs="Times New Roman"/>
                <w:sz w:val="18"/>
                <w:szCs w:val="18"/>
                <w:lang w:val="en-US" w:eastAsia="zh-CN"/>
              </w:rPr>
              <w:t>曾用名：四川省成都市青白江区地方税务局</w:t>
            </w:r>
            <w:r>
              <w:rPr>
                <w:rFonts w:hint="eastAsia" w:ascii="华文中宋" w:hAnsi="华文中宋" w:eastAsia="华文中宋" w:cs="Times New Roman"/>
                <w:sz w:val="18"/>
                <w:szCs w:val="18"/>
                <w:lang w:eastAsia="zh-CN"/>
              </w:rPr>
              <w:t>）</w:t>
            </w:r>
          </w:p>
        </w:tc>
        <w:tc>
          <w:tcPr>
            <w:tcW w:w="723" w:type="pct"/>
            <w:shd w:val="clear" w:color="auto" w:fill="auto"/>
            <w:vAlign w:val="center"/>
          </w:tcPr>
          <w:p>
            <w:pPr>
              <w:jc w:val="center"/>
              <w:rPr>
                <w:rFonts w:ascii="华文中宋" w:hAnsi="华文中宋" w:eastAsia="华文中宋" w:cs="Times New Roman"/>
                <w:sz w:val="18"/>
                <w:szCs w:val="18"/>
              </w:rPr>
            </w:pPr>
            <w:r>
              <w:rPr>
                <w:rFonts w:hint="eastAsia" w:ascii="华文中宋" w:hAnsi="华文中宋" w:eastAsia="华文中宋" w:cs="Times New Roman"/>
                <w:sz w:val="18"/>
                <w:szCs w:val="18"/>
              </w:rPr>
              <w:t>2,785,228.26</w:t>
            </w:r>
          </w:p>
        </w:tc>
        <w:tc>
          <w:tcPr>
            <w:tcW w:w="1219" w:type="pct"/>
            <w:shd w:val="clear" w:color="auto" w:fill="auto"/>
            <w:vAlign w:val="center"/>
          </w:tcPr>
          <w:p>
            <w:pPr>
              <w:jc w:val="center"/>
              <w:rPr>
                <w:rFonts w:hint="eastAsia" w:ascii="华文中宋" w:hAnsi="华文中宋" w:eastAsia="华文中宋" w:cs="Times New Roman"/>
                <w:sz w:val="18"/>
                <w:szCs w:val="18"/>
                <w:lang w:eastAsia="zh-CN"/>
              </w:rPr>
            </w:pPr>
            <w:r>
              <w:rPr>
                <w:rFonts w:hint="eastAsia" w:ascii="华文中宋" w:hAnsi="华文中宋" w:eastAsia="华文中宋" w:cs="Times New Roman"/>
                <w:sz w:val="18"/>
                <w:szCs w:val="18"/>
                <w:lang w:val="en-US" w:eastAsia="zh-CN"/>
              </w:rPr>
              <w:t>2,058,283.60</w:t>
            </w:r>
          </w:p>
        </w:tc>
        <w:tc>
          <w:tcPr>
            <w:tcW w:w="687" w:type="pct"/>
            <w:shd w:val="clear" w:color="auto" w:fill="auto"/>
            <w:vAlign w:val="center"/>
          </w:tcPr>
          <w:p>
            <w:pPr>
              <w:widowControl/>
              <w:jc w:val="right"/>
              <w:textAlignment w:val="center"/>
              <w:rPr>
                <w:rFonts w:hint="default" w:ascii="华文中宋" w:hAnsi="华文中宋" w:eastAsia="华文中宋" w:cs="Times New Roman"/>
                <w:sz w:val="18"/>
                <w:szCs w:val="18"/>
                <w:lang w:val="en-US" w:eastAsia="zh-CN"/>
              </w:rPr>
            </w:pPr>
            <w:r>
              <w:rPr>
                <w:rFonts w:hint="eastAsia" w:ascii="华文中宋" w:hAnsi="华文中宋" w:eastAsia="华文中宋" w:cs="Times New Roman"/>
                <w:sz w:val="18"/>
                <w:szCs w:val="18"/>
                <w:lang w:val="en-US" w:eastAsia="zh-CN"/>
              </w:rPr>
              <w:t>4,843,511.86</w:t>
            </w:r>
          </w:p>
        </w:tc>
        <w:tc>
          <w:tcPr>
            <w:tcW w:w="805" w:type="pct"/>
            <w:shd w:val="clear" w:color="auto" w:fill="auto"/>
            <w:vAlign w:val="center"/>
          </w:tcPr>
          <w:p>
            <w:pPr>
              <w:jc w:val="both"/>
              <w:rPr>
                <w:rFonts w:hint="default" w:ascii="华文中宋" w:hAnsi="华文中宋" w:eastAsia="华文中宋" w:cs="Times New Roman"/>
                <w:sz w:val="18"/>
                <w:szCs w:val="18"/>
                <w:lang w:val="en-US" w:eastAsia="zh-CN"/>
              </w:rPr>
            </w:pPr>
            <w:r>
              <w:rPr>
                <w:rFonts w:hint="eastAsia" w:ascii="华文中宋" w:hAnsi="华文中宋" w:eastAsia="华文中宋" w:cs="Times New Roman"/>
                <w:sz w:val="18"/>
                <w:szCs w:val="18"/>
                <w:lang w:val="en-US" w:eastAsia="zh-CN"/>
              </w:rPr>
              <w:t>税收债权</w:t>
            </w:r>
          </w:p>
        </w:tc>
      </w:tr>
    </w:tbl>
    <w:p>
      <w:pPr>
        <w:spacing w:before="120" w:beforeLines="50" w:after="120" w:afterLines="50" w:line="360" w:lineRule="auto"/>
        <w:ind w:right="1200"/>
        <w:rPr>
          <w:rFonts w:hint="eastAsia" w:ascii="SimHei" w:hAnsi="SimHei" w:eastAsia="SimHei" w:cs="Times New Roman"/>
          <w:sz w:val="30"/>
          <w:szCs w:val="30"/>
        </w:rPr>
      </w:pPr>
    </w:p>
    <w:p>
      <w:pPr>
        <w:spacing w:before="120" w:beforeLines="50" w:after="120" w:afterLines="50" w:line="360" w:lineRule="auto"/>
        <w:ind w:right="1200"/>
        <w:rPr>
          <w:rFonts w:ascii="SimHei" w:hAnsi="SimHei" w:eastAsia="SimHei" w:cs="Times New Roman"/>
          <w:sz w:val="30"/>
          <w:szCs w:val="30"/>
        </w:rPr>
      </w:pPr>
      <w:r>
        <w:rPr>
          <w:rFonts w:hint="eastAsia" w:ascii="SimHei" w:hAnsi="SimHei" w:eastAsia="SimHei" w:cs="Times New Roman"/>
          <w:sz w:val="30"/>
          <w:szCs w:val="30"/>
          <w:lang w:val="en-US" w:eastAsia="zh-CN"/>
        </w:rPr>
        <w:t>二</w:t>
      </w:r>
      <w:r>
        <w:rPr>
          <w:rFonts w:hint="eastAsia" w:ascii="SimHei" w:hAnsi="SimHei" w:eastAsia="SimHei" w:cs="Times New Roman"/>
          <w:sz w:val="30"/>
          <w:szCs w:val="30"/>
        </w:rPr>
        <w:t>、</w:t>
      </w:r>
      <w:r>
        <w:rPr>
          <w:rFonts w:ascii="SimHei" w:hAnsi="SimHei" w:eastAsia="SimHei" w:cs="Times New Roman"/>
          <w:sz w:val="30"/>
          <w:szCs w:val="30"/>
        </w:rPr>
        <w:t>普通债权</w:t>
      </w:r>
    </w:p>
    <w:tbl>
      <w:tblPr>
        <w:tblStyle w:val="8"/>
        <w:tblW w:w="5153" w:type="pct"/>
        <w:tblInd w:w="-147"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403"/>
        <w:gridCol w:w="871"/>
        <w:gridCol w:w="1643"/>
        <w:gridCol w:w="1334"/>
        <w:gridCol w:w="2165"/>
        <w:gridCol w:w="1341"/>
        <w:gridCol w:w="1463"/>
      </w:tblGrid>
      <w:tr>
        <w:trPr>
          <w:trHeight w:val="454" w:hRule="atLeast"/>
          <w:tblHeader/>
        </w:trPr>
        <w:tc>
          <w:tcPr>
            <w:tcW w:w="219" w:type="pct"/>
            <w:vMerge w:val="restart"/>
            <w:shd w:val="clear" w:color="000000" w:fill="C0C0C0"/>
            <w:vAlign w:val="center"/>
          </w:tcPr>
          <w:p>
            <w:pPr>
              <w:spacing w:line="360" w:lineRule="auto"/>
              <w:rPr>
                <w:rFonts w:ascii="华文中宋" w:hAnsi="华文中宋" w:eastAsia="华文中宋"/>
                <w:b/>
                <w:sz w:val="18"/>
                <w:szCs w:val="18"/>
              </w:rPr>
            </w:pPr>
            <w:r>
              <w:rPr>
                <w:rFonts w:hint="eastAsia" w:ascii="华文中宋" w:hAnsi="华文中宋" w:eastAsia="华文中宋"/>
                <w:b/>
                <w:sz w:val="18"/>
                <w:szCs w:val="18"/>
              </w:rPr>
              <w:t>序号</w:t>
            </w:r>
          </w:p>
        </w:tc>
        <w:tc>
          <w:tcPr>
            <w:tcW w:w="472" w:type="pct"/>
            <w:vMerge w:val="restart"/>
            <w:shd w:val="clear" w:color="000000" w:fill="C0C0C0"/>
            <w:vAlign w:val="center"/>
          </w:tcPr>
          <w:p>
            <w:pPr>
              <w:spacing w:line="360" w:lineRule="auto"/>
              <w:jc w:val="center"/>
              <w:rPr>
                <w:rFonts w:ascii="华文中宋" w:hAnsi="华文中宋" w:eastAsia="华文中宋"/>
                <w:b/>
                <w:sz w:val="18"/>
                <w:szCs w:val="18"/>
              </w:rPr>
            </w:pPr>
            <w:r>
              <w:rPr>
                <w:rFonts w:hint="eastAsia" w:ascii="华文中宋" w:hAnsi="华文中宋" w:eastAsia="华文中宋"/>
                <w:b/>
                <w:sz w:val="18"/>
                <w:szCs w:val="18"/>
              </w:rPr>
              <w:t>编号</w:t>
            </w:r>
          </w:p>
        </w:tc>
        <w:tc>
          <w:tcPr>
            <w:tcW w:w="891" w:type="pct"/>
            <w:vMerge w:val="restart"/>
            <w:shd w:val="clear" w:color="000000" w:fill="C0C0C0"/>
            <w:vAlign w:val="center"/>
          </w:tcPr>
          <w:p>
            <w:pPr>
              <w:spacing w:line="360" w:lineRule="auto"/>
              <w:jc w:val="center"/>
              <w:rPr>
                <w:rFonts w:ascii="华文中宋" w:hAnsi="华文中宋" w:eastAsia="华文中宋"/>
                <w:b/>
                <w:sz w:val="18"/>
                <w:szCs w:val="18"/>
              </w:rPr>
            </w:pPr>
            <w:r>
              <w:rPr>
                <w:rFonts w:hint="eastAsia" w:ascii="华文中宋" w:hAnsi="华文中宋" w:eastAsia="华文中宋"/>
                <w:b/>
                <w:sz w:val="18"/>
                <w:szCs w:val="18"/>
              </w:rPr>
              <w:t>债权人</w:t>
            </w:r>
          </w:p>
        </w:tc>
        <w:tc>
          <w:tcPr>
            <w:tcW w:w="3417" w:type="pct"/>
            <w:gridSpan w:val="4"/>
            <w:shd w:val="clear" w:color="000000" w:fill="C0C0C0"/>
            <w:vAlign w:val="center"/>
          </w:tcPr>
          <w:p>
            <w:pPr>
              <w:spacing w:line="360" w:lineRule="auto"/>
              <w:jc w:val="center"/>
              <w:rPr>
                <w:rFonts w:ascii="华文中宋" w:hAnsi="华文中宋" w:eastAsia="华文中宋"/>
                <w:b/>
                <w:sz w:val="18"/>
                <w:szCs w:val="18"/>
              </w:rPr>
            </w:pPr>
            <w:r>
              <w:rPr>
                <w:rFonts w:hint="eastAsia" w:ascii="华文中宋" w:hAnsi="华文中宋" w:eastAsia="华文中宋"/>
                <w:b/>
                <w:sz w:val="18"/>
                <w:szCs w:val="18"/>
              </w:rPr>
              <w:t>审查认定情况</w:t>
            </w:r>
          </w:p>
        </w:tc>
      </w:tr>
      <w:tr>
        <w:trPr>
          <w:trHeight w:val="454" w:hRule="atLeast"/>
          <w:tblHeader/>
        </w:trPr>
        <w:tc>
          <w:tcPr>
            <w:tcW w:w="219" w:type="pct"/>
            <w:vMerge w:val="continue"/>
            <w:vAlign w:val="center"/>
          </w:tcPr>
          <w:p>
            <w:pPr>
              <w:pStyle w:val="15"/>
              <w:numPr>
                <w:ilvl w:val="0"/>
                <w:numId w:val="1"/>
              </w:numPr>
              <w:ind w:firstLineChars="0"/>
              <w:jc w:val="center"/>
              <w:rPr>
                <w:rFonts w:ascii="华文中宋" w:hAnsi="华文中宋" w:eastAsia="华文中宋" w:cs="Times New Roman"/>
                <w:sz w:val="18"/>
                <w:szCs w:val="18"/>
              </w:rPr>
            </w:pPr>
          </w:p>
        </w:tc>
        <w:tc>
          <w:tcPr>
            <w:tcW w:w="472" w:type="pct"/>
            <w:vMerge w:val="continue"/>
            <w:vAlign w:val="center"/>
          </w:tcPr>
          <w:p>
            <w:pPr>
              <w:jc w:val="center"/>
              <w:rPr>
                <w:rFonts w:ascii="华文中宋" w:hAnsi="华文中宋" w:eastAsia="华文中宋" w:cs="Times New Roman"/>
                <w:sz w:val="18"/>
                <w:szCs w:val="18"/>
              </w:rPr>
            </w:pPr>
          </w:p>
        </w:tc>
        <w:tc>
          <w:tcPr>
            <w:tcW w:w="891" w:type="pct"/>
            <w:vMerge w:val="continue"/>
            <w:vAlign w:val="center"/>
          </w:tcPr>
          <w:p>
            <w:pPr>
              <w:jc w:val="center"/>
              <w:rPr>
                <w:rFonts w:ascii="华文中宋" w:hAnsi="华文中宋" w:eastAsia="华文中宋" w:cs="Times New Roman"/>
                <w:sz w:val="18"/>
                <w:szCs w:val="18"/>
              </w:rPr>
            </w:pPr>
          </w:p>
        </w:tc>
        <w:tc>
          <w:tcPr>
            <w:tcW w:w="723" w:type="pct"/>
            <w:shd w:val="clear" w:color="000000" w:fill="C0C0C0"/>
            <w:vAlign w:val="center"/>
          </w:tcPr>
          <w:p>
            <w:pPr>
              <w:jc w:val="center"/>
              <w:rPr>
                <w:rFonts w:ascii="华文中宋" w:hAnsi="华文中宋" w:eastAsia="华文中宋" w:cs="Times New Roman"/>
                <w:b/>
                <w:sz w:val="18"/>
                <w:szCs w:val="18"/>
              </w:rPr>
            </w:pPr>
            <w:r>
              <w:rPr>
                <w:rFonts w:hint="eastAsia" w:ascii="华文中宋" w:hAnsi="华文中宋" w:eastAsia="华文中宋" w:cs="Times New Roman"/>
                <w:b/>
                <w:sz w:val="18"/>
                <w:szCs w:val="18"/>
              </w:rPr>
              <w:t>本金</w:t>
            </w:r>
          </w:p>
        </w:tc>
        <w:tc>
          <w:tcPr>
            <w:tcW w:w="1174" w:type="pct"/>
            <w:shd w:val="clear" w:color="000000" w:fill="C0C0C0"/>
            <w:vAlign w:val="center"/>
          </w:tcPr>
          <w:p>
            <w:pPr>
              <w:jc w:val="center"/>
              <w:rPr>
                <w:rFonts w:hint="eastAsia" w:ascii="华文中宋" w:hAnsi="华文中宋" w:eastAsia="华文中宋" w:cs="Times New Roman"/>
                <w:b/>
                <w:sz w:val="18"/>
                <w:szCs w:val="18"/>
              </w:rPr>
            </w:pPr>
            <w:r>
              <w:rPr>
                <w:rFonts w:hint="eastAsia" w:ascii="华文中宋" w:hAnsi="华文中宋" w:eastAsia="华文中宋" w:cs="Times New Roman"/>
                <w:b/>
                <w:sz w:val="18"/>
                <w:szCs w:val="18"/>
              </w:rPr>
              <w:t>利息、违约金、解约损失</w:t>
            </w:r>
          </w:p>
          <w:p>
            <w:pPr>
              <w:jc w:val="center"/>
              <w:rPr>
                <w:rFonts w:ascii="华文中宋" w:hAnsi="华文中宋" w:eastAsia="华文中宋" w:cs="Times New Roman"/>
                <w:b/>
                <w:sz w:val="18"/>
                <w:szCs w:val="18"/>
              </w:rPr>
            </w:pPr>
            <w:r>
              <w:rPr>
                <w:rFonts w:hint="eastAsia" w:ascii="华文中宋" w:hAnsi="华文中宋" w:eastAsia="华文中宋" w:cs="Times New Roman"/>
                <w:b/>
                <w:sz w:val="18"/>
                <w:szCs w:val="18"/>
                <w:lang w:val="en-US" w:eastAsia="zh-CN"/>
              </w:rPr>
              <w:t>等</w:t>
            </w:r>
            <w:r>
              <w:rPr>
                <w:rFonts w:hint="eastAsia" w:ascii="华文中宋" w:hAnsi="华文中宋" w:eastAsia="华文中宋" w:cs="Times New Roman"/>
                <w:b/>
                <w:sz w:val="18"/>
                <w:szCs w:val="18"/>
              </w:rPr>
              <w:t>其他非本金部分</w:t>
            </w:r>
          </w:p>
        </w:tc>
        <w:tc>
          <w:tcPr>
            <w:tcW w:w="727" w:type="pct"/>
            <w:shd w:val="clear" w:color="auto" w:fill="BEBEBE" w:themeFill="background1" w:themeFillShade="BF"/>
            <w:vAlign w:val="center"/>
          </w:tcPr>
          <w:p>
            <w:pPr>
              <w:jc w:val="center"/>
              <w:rPr>
                <w:rFonts w:ascii="华文中宋" w:hAnsi="华文中宋" w:eastAsia="华文中宋" w:cs="Times New Roman"/>
                <w:b/>
                <w:sz w:val="18"/>
                <w:szCs w:val="18"/>
              </w:rPr>
            </w:pPr>
            <w:r>
              <w:rPr>
                <w:rFonts w:hint="eastAsia" w:ascii="华文中宋" w:hAnsi="华文中宋" w:eastAsia="华文中宋" w:cs="Times New Roman"/>
                <w:b/>
                <w:sz w:val="18"/>
                <w:szCs w:val="18"/>
              </w:rPr>
              <w:t>合计</w:t>
            </w:r>
          </w:p>
        </w:tc>
        <w:tc>
          <w:tcPr>
            <w:tcW w:w="791" w:type="pct"/>
            <w:shd w:val="clear" w:color="auto" w:fill="BEBEBE" w:themeFill="background1" w:themeFillShade="BF"/>
            <w:vAlign w:val="center"/>
          </w:tcPr>
          <w:p>
            <w:pPr>
              <w:jc w:val="center"/>
              <w:rPr>
                <w:rFonts w:ascii="华文中宋" w:hAnsi="华文中宋" w:eastAsia="华文中宋" w:cs="Times New Roman"/>
                <w:b/>
                <w:sz w:val="18"/>
                <w:szCs w:val="18"/>
              </w:rPr>
            </w:pPr>
            <w:r>
              <w:rPr>
                <w:rFonts w:hint="eastAsia" w:ascii="华文中宋" w:hAnsi="华文中宋" w:eastAsia="华文中宋" w:cs="Times New Roman"/>
                <w:b/>
                <w:sz w:val="18"/>
                <w:szCs w:val="18"/>
              </w:rPr>
              <w:t>债权性质</w:t>
            </w:r>
          </w:p>
        </w:tc>
      </w:tr>
      <w:tr>
        <w:trPr>
          <w:trHeight w:val="454" w:hRule="atLeast"/>
        </w:trPr>
        <w:tc>
          <w:tcPr>
            <w:tcW w:w="219" w:type="pct"/>
            <w:shd w:val="clear" w:color="auto" w:fill="auto"/>
            <w:vAlign w:val="center"/>
          </w:tcPr>
          <w:p>
            <w:pPr>
              <w:pStyle w:val="15"/>
              <w:ind w:firstLine="0" w:firstLineChars="0"/>
              <w:rPr>
                <w:rFonts w:ascii="华文中宋" w:hAnsi="华文中宋" w:eastAsia="华文中宋" w:cs="Times New Roman"/>
                <w:sz w:val="18"/>
                <w:szCs w:val="18"/>
              </w:rPr>
            </w:pPr>
            <w:r>
              <w:rPr>
                <w:rFonts w:hint="eastAsia" w:ascii="华文中宋" w:hAnsi="华文中宋" w:eastAsia="华文中宋" w:cs="Times New Roman"/>
                <w:sz w:val="18"/>
                <w:szCs w:val="18"/>
              </w:rPr>
              <w:t>1</w:t>
            </w:r>
          </w:p>
        </w:tc>
        <w:tc>
          <w:tcPr>
            <w:tcW w:w="472" w:type="pct"/>
            <w:shd w:val="clear" w:color="auto" w:fill="auto"/>
            <w:vAlign w:val="center"/>
          </w:tcPr>
          <w:p>
            <w:pPr>
              <w:jc w:val="center"/>
              <w:rPr>
                <w:rFonts w:hint="default" w:ascii="华文中宋" w:hAnsi="华文中宋" w:eastAsia="华文中宋" w:cs="Times New Roman"/>
                <w:sz w:val="18"/>
                <w:szCs w:val="18"/>
                <w:lang w:val="en-US" w:eastAsia="zh-CN"/>
              </w:rPr>
            </w:pPr>
            <w:r>
              <w:rPr>
                <w:rFonts w:hint="eastAsia" w:ascii="华文中宋" w:hAnsi="华文中宋" w:eastAsia="华文中宋" w:cs="Times New Roman"/>
                <w:sz w:val="18"/>
                <w:szCs w:val="18"/>
                <w:lang w:val="en-US" w:eastAsia="zh-CN"/>
              </w:rPr>
              <w:t>201</w:t>
            </w:r>
          </w:p>
        </w:tc>
        <w:tc>
          <w:tcPr>
            <w:tcW w:w="891" w:type="pct"/>
            <w:shd w:val="clear" w:color="auto" w:fill="auto"/>
            <w:vAlign w:val="center"/>
          </w:tcPr>
          <w:p>
            <w:pPr>
              <w:jc w:val="both"/>
              <w:rPr>
                <w:rFonts w:hint="eastAsia" w:ascii="华文中宋" w:hAnsi="华文中宋" w:eastAsia="华文中宋" w:cs="Times New Roman"/>
                <w:sz w:val="18"/>
                <w:szCs w:val="18"/>
                <w:lang w:val="en-US" w:eastAsia="zh-CN"/>
              </w:rPr>
            </w:pPr>
            <w:r>
              <w:rPr>
                <w:rFonts w:hint="eastAsia" w:ascii="华文中宋" w:hAnsi="华文中宋" w:eastAsia="华文中宋" w:cs="Times New Roman"/>
                <w:sz w:val="18"/>
                <w:szCs w:val="18"/>
                <w:lang w:val="en-US" w:eastAsia="zh-CN"/>
              </w:rPr>
              <w:t>成都建工第一建筑工程有限公司</w:t>
            </w:r>
          </w:p>
          <w:p>
            <w:pPr>
              <w:jc w:val="both"/>
              <w:rPr>
                <w:rFonts w:hint="eastAsia" w:ascii="华文中宋" w:hAnsi="华文中宋" w:eastAsia="宋体" w:cs="Times New Roman"/>
                <w:sz w:val="18"/>
                <w:szCs w:val="18"/>
                <w:lang w:eastAsia="zh-CN"/>
              </w:rPr>
            </w:pPr>
            <w:r>
              <w:rPr>
                <w:rFonts w:hint="eastAsia" w:ascii="华文中宋" w:hAnsi="华文中宋" w:eastAsia="华文中宋" w:cs="Times New Roman"/>
                <w:sz w:val="18"/>
                <w:szCs w:val="18"/>
                <w:lang w:val="en-US" w:eastAsia="zh-CN"/>
              </w:rPr>
              <w:t>（曾用名：成都市第一建筑工程公司）</w:t>
            </w:r>
          </w:p>
        </w:tc>
        <w:tc>
          <w:tcPr>
            <w:tcW w:w="723" w:type="pct"/>
            <w:shd w:val="clear" w:color="auto" w:fill="auto"/>
            <w:vAlign w:val="center"/>
          </w:tcPr>
          <w:p>
            <w:pPr>
              <w:jc w:val="center"/>
              <w:rPr>
                <w:rFonts w:hint="eastAsia" w:ascii="华文中宋" w:hAnsi="华文中宋" w:eastAsia="华文中宋" w:cs="Times New Roman"/>
                <w:sz w:val="18"/>
                <w:szCs w:val="18"/>
                <w:lang w:eastAsia="zh-CN"/>
              </w:rPr>
            </w:pPr>
            <w:r>
              <w:rPr>
                <w:rFonts w:ascii="华文中宋" w:hAnsi="华文中宋" w:eastAsia="华文中宋" w:cs="Times New Roman"/>
                <w:sz w:val="18"/>
                <w:szCs w:val="18"/>
              </w:rPr>
              <w:t>44</w:t>
            </w:r>
            <w:r>
              <w:rPr>
                <w:rFonts w:hint="eastAsia" w:ascii="华文中宋" w:hAnsi="华文中宋" w:eastAsia="华文中宋" w:cs="Times New Roman"/>
                <w:sz w:val="18"/>
                <w:szCs w:val="18"/>
                <w:lang w:val="en-US" w:eastAsia="zh-CN"/>
              </w:rPr>
              <w:t>,</w:t>
            </w:r>
            <w:r>
              <w:rPr>
                <w:rFonts w:ascii="华文中宋" w:hAnsi="华文中宋" w:eastAsia="华文中宋" w:cs="Times New Roman"/>
                <w:sz w:val="18"/>
                <w:szCs w:val="18"/>
              </w:rPr>
              <w:t>792</w:t>
            </w:r>
            <w:r>
              <w:rPr>
                <w:rFonts w:hint="eastAsia" w:ascii="华文中宋" w:hAnsi="华文中宋" w:eastAsia="华文中宋" w:cs="Times New Roman"/>
                <w:sz w:val="18"/>
                <w:szCs w:val="18"/>
                <w:lang w:val="en-US" w:eastAsia="zh-CN"/>
              </w:rPr>
              <w:t>,</w:t>
            </w:r>
            <w:r>
              <w:rPr>
                <w:rFonts w:ascii="华文中宋" w:hAnsi="华文中宋" w:eastAsia="华文中宋" w:cs="Times New Roman"/>
                <w:sz w:val="18"/>
                <w:szCs w:val="18"/>
              </w:rPr>
              <w:t>519.16</w:t>
            </w:r>
          </w:p>
        </w:tc>
        <w:tc>
          <w:tcPr>
            <w:tcW w:w="1174" w:type="pct"/>
            <w:shd w:val="clear" w:color="auto" w:fill="auto"/>
            <w:vAlign w:val="center"/>
          </w:tcPr>
          <w:p>
            <w:pPr>
              <w:jc w:val="center"/>
              <w:rPr>
                <w:rFonts w:ascii="华文中宋" w:hAnsi="华文中宋" w:eastAsia="华文中宋" w:cs="Times New Roman"/>
                <w:sz w:val="18"/>
                <w:szCs w:val="18"/>
              </w:rPr>
            </w:pPr>
            <w:r>
              <w:rPr>
                <w:rFonts w:hint="eastAsia" w:ascii="华文中宋" w:hAnsi="华文中宋" w:eastAsia="华文中宋" w:cs="Times New Roman"/>
                <w:sz w:val="18"/>
                <w:szCs w:val="18"/>
              </w:rPr>
              <w:t>5</w:t>
            </w:r>
            <w:r>
              <w:rPr>
                <w:rFonts w:ascii="华文中宋" w:hAnsi="华文中宋" w:eastAsia="华文中宋" w:cs="Times New Roman"/>
                <w:sz w:val="18"/>
                <w:szCs w:val="18"/>
              </w:rPr>
              <w:t>8</w:t>
            </w:r>
            <w:r>
              <w:rPr>
                <w:rFonts w:hint="eastAsia" w:ascii="华文中宋" w:hAnsi="华文中宋" w:eastAsia="华文中宋" w:cs="Times New Roman"/>
                <w:sz w:val="18"/>
                <w:szCs w:val="18"/>
                <w:lang w:val="en-US" w:eastAsia="zh-CN"/>
              </w:rPr>
              <w:t>,</w:t>
            </w:r>
            <w:r>
              <w:rPr>
                <w:rFonts w:ascii="华文中宋" w:hAnsi="华文中宋" w:eastAsia="华文中宋" w:cs="Times New Roman"/>
                <w:sz w:val="18"/>
                <w:szCs w:val="18"/>
              </w:rPr>
              <w:t>845</w:t>
            </w:r>
            <w:r>
              <w:rPr>
                <w:rFonts w:hint="eastAsia" w:ascii="华文中宋" w:hAnsi="华文中宋" w:eastAsia="华文中宋" w:cs="Times New Roman"/>
                <w:sz w:val="18"/>
                <w:szCs w:val="18"/>
                <w:lang w:val="en-US" w:eastAsia="zh-CN"/>
              </w:rPr>
              <w:t>,</w:t>
            </w:r>
            <w:r>
              <w:rPr>
                <w:rFonts w:ascii="华文中宋" w:hAnsi="华文中宋" w:eastAsia="华文中宋" w:cs="Times New Roman"/>
                <w:sz w:val="18"/>
                <w:szCs w:val="18"/>
              </w:rPr>
              <w:t>615.86</w:t>
            </w:r>
          </w:p>
        </w:tc>
        <w:tc>
          <w:tcPr>
            <w:tcW w:w="727" w:type="pct"/>
            <w:shd w:val="clear" w:color="auto" w:fill="auto"/>
            <w:vAlign w:val="center"/>
          </w:tcPr>
          <w:p>
            <w:pPr>
              <w:widowControl/>
              <w:jc w:val="right"/>
              <w:textAlignment w:val="center"/>
              <w:rPr>
                <w:rFonts w:hint="default" w:ascii="华文中宋" w:hAnsi="华文中宋" w:eastAsia="华文中宋" w:cs="Times New Roman"/>
                <w:sz w:val="18"/>
                <w:szCs w:val="18"/>
                <w:lang w:val="en-US" w:eastAsia="zh-CN"/>
              </w:rPr>
            </w:pPr>
            <w:r>
              <w:rPr>
                <w:rFonts w:hint="default" w:ascii="华文中宋" w:hAnsi="华文中宋" w:eastAsia="华文中宋" w:cs="Times New Roman"/>
                <w:sz w:val="18"/>
                <w:szCs w:val="18"/>
                <w:lang w:val="en-US" w:eastAsia="zh-CN"/>
              </w:rPr>
              <w:t>103</w:t>
            </w:r>
            <w:r>
              <w:rPr>
                <w:rFonts w:hint="eastAsia" w:ascii="华文中宋" w:hAnsi="华文中宋" w:eastAsia="华文中宋" w:cs="Times New Roman"/>
                <w:sz w:val="18"/>
                <w:szCs w:val="18"/>
                <w:lang w:val="en-US" w:eastAsia="zh-CN"/>
              </w:rPr>
              <w:t>,</w:t>
            </w:r>
            <w:r>
              <w:rPr>
                <w:rFonts w:hint="default" w:ascii="华文中宋" w:hAnsi="华文中宋" w:eastAsia="华文中宋" w:cs="Times New Roman"/>
                <w:sz w:val="18"/>
                <w:szCs w:val="18"/>
                <w:lang w:val="en-US" w:eastAsia="zh-CN"/>
              </w:rPr>
              <w:t>638</w:t>
            </w:r>
            <w:r>
              <w:rPr>
                <w:rFonts w:hint="eastAsia" w:ascii="华文中宋" w:hAnsi="华文中宋" w:eastAsia="华文中宋" w:cs="Times New Roman"/>
                <w:sz w:val="18"/>
                <w:szCs w:val="18"/>
                <w:lang w:val="en-US" w:eastAsia="zh-CN"/>
              </w:rPr>
              <w:t>,</w:t>
            </w:r>
            <w:r>
              <w:rPr>
                <w:rFonts w:hint="default" w:ascii="华文中宋" w:hAnsi="华文中宋" w:eastAsia="华文中宋" w:cs="Times New Roman"/>
                <w:sz w:val="18"/>
                <w:szCs w:val="18"/>
                <w:lang w:val="en-US" w:eastAsia="zh-CN"/>
              </w:rPr>
              <w:t>135.02</w:t>
            </w:r>
          </w:p>
        </w:tc>
        <w:tc>
          <w:tcPr>
            <w:tcW w:w="791" w:type="pct"/>
            <w:shd w:val="clear" w:color="auto" w:fill="auto"/>
            <w:vAlign w:val="center"/>
          </w:tcPr>
          <w:p>
            <w:pPr>
              <w:jc w:val="center"/>
              <w:rPr>
                <w:rFonts w:ascii="华文中宋" w:hAnsi="华文中宋" w:eastAsia="华文中宋" w:cs="Times New Roman"/>
                <w:sz w:val="18"/>
                <w:szCs w:val="18"/>
              </w:rPr>
            </w:pPr>
            <w:r>
              <w:rPr>
                <w:rFonts w:hint="eastAsia" w:ascii="华文中宋" w:hAnsi="华文中宋" w:eastAsia="华文中宋" w:cs="Times New Roman"/>
                <w:sz w:val="18"/>
                <w:szCs w:val="18"/>
              </w:rPr>
              <w:t>普通债权</w:t>
            </w:r>
          </w:p>
        </w:tc>
      </w:tr>
    </w:tbl>
    <w:p>
      <w:pPr>
        <w:rPr>
          <w:rFonts w:hint="eastAsia" w:ascii="仿宋" w:hAnsi="仿宋" w:eastAsia="仿宋" w:cs="Times New Roman"/>
          <w:b/>
          <w:sz w:val="36"/>
          <w:szCs w:val="36"/>
        </w:rPr>
      </w:pPr>
      <w:r>
        <w:rPr>
          <w:rFonts w:hint="eastAsia" w:ascii="仿宋" w:hAnsi="仿宋" w:eastAsia="仿宋" w:cs="Times New Roman"/>
          <w:b/>
          <w:sz w:val="36"/>
          <w:szCs w:val="36"/>
        </w:rPr>
        <w:br w:type="page"/>
      </w:r>
    </w:p>
    <w:p>
      <w:pPr>
        <w:snapToGrid w:val="0"/>
        <w:spacing w:before="156" w:after="156" w:line="360" w:lineRule="auto"/>
        <w:jc w:val="center"/>
        <w:textAlignment w:val="baseline"/>
        <w:rPr>
          <w:rFonts w:ascii="仿宋" w:hAnsi="仿宋" w:eastAsia="仿宋" w:cs="Times New Roman"/>
          <w:b/>
          <w:sz w:val="36"/>
          <w:szCs w:val="36"/>
        </w:rPr>
      </w:pPr>
      <w:r>
        <w:rPr>
          <w:rFonts w:hint="eastAsia" w:ascii="仿宋" w:hAnsi="仿宋" w:eastAsia="仿宋" w:cs="Times New Roman"/>
          <w:b/>
          <w:sz w:val="36"/>
          <w:szCs w:val="36"/>
        </w:rPr>
        <w:t>债权异议表</w:t>
      </w:r>
    </w:p>
    <w:p>
      <w:pPr>
        <w:snapToGrid w:val="0"/>
        <w:jc w:val="center"/>
        <w:textAlignment w:val="baseline"/>
        <w:rPr>
          <w:rFonts w:ascii="仿宋" w:hAnsi="仿宋" w:eastAsia="仿宋"/>
          <w:sz w:val="20"/>
          <w:szCs w:val="32"/>
        </w:rPr>
      </w:pPr>
    </w:p>
    <w:tbl>
      <w:tblPr>
        <w:tblStyle w:val="8"/>
        <w:tblW w:w="8818"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701"/>
        <w:gridCol w:w="1417"/>
        <w:gridCol w:w="1134"/>
        <w:gridCol w:w="1276"/>
        <w:gridCol w:w="2155"/>
      </w:tblGrid>
      <w:tr>
        <w:trPr>
          <w:trHeight w:val="566" w:hRule="atLeast"/>
        </w:trPr>
        <w:tc>
          <w:tcPr>
            <w:tcW w:w="1135" w:type="dxa"/>
            <w:vMerge w:val="restart"/>
            <w:vAlign w:val="center"/>
          </w:tcPr>
          <w:p>
            <w:pPr>
              <w:snapToGrid w:val="0"/>
              <w:jc w:val="center"/>
              <w:textAlignment w:val="baseline"/>
              <w:rPr>
                <w:rFonts w:ascii="仿宋" w:hAnsi="仿宋" w:eastAsia="仿宋"/>
                <w:b/>
                <w:sz w:val="20"/>
                <w:szCs w:val="32"/>
              </w:rPr>
            </w:pPr>
            <w:r>
              <w:rPr>
                <w:rFonts w:hint="eastAsia" w:ascii="仿宋" w:hAnsi="仿宋" w:eastAsia="仿宋"/>
                <w:b/>
                <w:szCs w:val="32"/>
              </w:rPr>
              <w:t>异议人</w:t>
            </w:r>
          </w:p>
        </w:tc>
        <w:tc>
          <w:tcPr>
            <w:tcW w:w="1701" w:type="dxa"/>
            <w:vMerge w:val="restart"/>
            <w:vAlign w:val="center"/>
          </w:tcPr>
          <w:p>
            <w:pPr>
              <w:snapToGrid w:val="0"/>
              <w:ind w:firstLine="562"/>
              <w:jc w:val="center"/>
              <w:textAlignment w:val="baseline"/>
              <w:rPr>
                <w:rFonts w:ascii="仿宋" w:hAnsi="仿宋" w:eastAsia="仿宋"/>
                <w:b/>
                <w:sz w:val="20"/>
                <w:szCs w:val="32"/>
              </w:rPr>
            </w:pPr>
          </w:p>
        </w:tc>
        <w:tc>
          <w:tcPr>
            <w:tcW w:w="1417" w:type="dxa"/>
            <w:vMerge w:val="restart"/>
            <w:vAlign w:val="center"/>
          </w:tcPr>
          <w:p>
            <w:pPr>
              <w:snapToGrid w:val="0"/>
              <w:jc w:val="center"/>
              <w:textAlignment w:val="baseline"/>
              <w:rPr>
                <w:rFonts w:ascii="仿宋" w:hAnsi="仿宋" w:eastAsia="仿宋"/>
                <w:b/>
                <w:sz w:val="20"/>
                <w:szCs w:val="32"/>
              </w:rPr>
            </w:pPr>
            <w:r>
              <w:rPr>
                <w:rFonts w:hint="eastAsia" w:ascii="仿宋" w:hAnsi="仿宋" w:eastAsia="仿宋"/>
                <w:b/>
                <w:szCs w:val="32"/>
              </w:rPr>
              <w:t>债权申报编号</w:t>
            </w:r>
          </w:p>
        </w:tc>
        <w:tc>
          <w:tcPr>
            <w:tcW w:w="1134" w:type="dxa"/>
            <w:vMerge w:val="restart"/>
            <w:vAlign w:val="center"/>
          </w:tcPr>
          <w:p>
            <w:pPr>
              <w:snapToGrid w:val="0"/>
              <w:ind w:firstLine="562"/>
              <w:jc w:val="center"/>
              <w:textAlignment w:val="baseline"/>
              <w:rPr>
                <w:rFonts w:ascii="仿宋" w:hAnsi="仿宋" w:eastAsia="仿宋"/>
                <w:b/>
                <w:sz w:val="20"/>
                <w:szCs w:val="32"/>
              </w:rPr>
            </w:pPr>
          </w:p>
        </w:tc>
        <w:tc>
          <w:tcPr>
            <w:tcW w:w="1276" w:type="dxa"/>
            <w:vAlign w:val="center"/>
          </w:tcPr>
          <w:p>
            <w:pPr>
              <w:snapToGrid w:val="0"/>
              <w:jc w:val="center"/>
              <w:textAlignment w:val="baseline"/>
              <w:rPr>
                <w:rFonts w:ascii="仿宋" w:hAnsi="仿宋" w:eastAsia="仿宋"/>
                <w:b/>
                <w:sz w:val="20"/>
                <w:szCs w:val="32"/>
              </w:rPr>
            </w:pPr>
            <w:r>
              <w:rPr>
                <w:rFonts w:hint="eastAsia" w:ascii="仿宋" w:hAnsi="仿宋" w:eastAsia="仿宋"/>
                <w:b/>
                <w:szCs w:val="32"/>
              </w:rPr>
              <w:t>联系人</w:t>
            </w:r>
          </w:p>
        </w:tc>
        <w:tc>
          <w:tcPr>
            <w:tcW w:w="2155" w:type="dxa"/>
            <w:vAlign w:val="center"/>
          </w:tcPr>
          <w:p>
            <w:pPr>
              <w:snapToGrid w:val="0"/>
              <w:ind w:firstLine="562"/>
              <w:jc w:val="center"/>
              <w:textAlignment w:val="baseline"/>
              <w:rPr>
                <w:rFonts w:ascii="仿宋" w:hAnsi="仿宋" w:eastAsia="仿宋"/>
                <w:b/>
                <w:sz w:val="20"/>
                <w:szCs w:val="32"/>
              </w:rPr>
            </w:pPr>
          </w:p>
        </w:tc>
      </w:tr>
      <w:tr>
        <w:trPr>
          <w:trHeight w:val="492" w:hRule="atLeast"/>
        </w:trPr>
        <w:tc>
          <w:tcPr>
            <w:tcW w:w="1135" w:type="dxa"/>
            <w:vMerge w:val="continue"/>
            <w:vAlign w:val="center"/>
          </w:tcPr>
          <w:p>
            <w:pPr>
              <w:snapToGrid w:val="0"/>
              <w:ind w:firstLine="562"/>
              <w:jc w:val="center"/>
              <w:textAlignment w:val="baseline"/>
              <w:rPr>
                <w:rFonts w:ascii="仿宋" w:hAnsi="仿宋" w:eastAsia="仿宋"/>
                <w:b/>
                <w:sz w:val="20"/>
                <w:szCs w:val="32"/>
              </w:rPr>
            </w:pPr>
          </w:p>
        </w:tc>
        <w:tc>
          <w:tcPr>
            <w:tcW w:w="1701" w:type="dxa"/>
            <w:vMerge w:val="continue"/>
            <w:vAlign w:val="center"/>
          </w:tcPr>
          <w:p>
            <w:pPr>
              <w:snapToGrid w:val="0"/>
              <w:ind w:firstLine="562"/>
              <w:jc w:val="center"/>
              <w:textAlignment w:val="baseline"/>
              <w:rPr>
                <w:rFonts w:ascii="仿宋" w:hAnsi="仿宋" w:eastAsia="仿宋"/>
                <w:b/>
                <w:sz w:val="20"/>
                <w:szCs w:val="32"/>
              </w:rPr>
            </w:pPr>
          </w:p>
        </w:tc>
        <w:tc>
          <w:tcPr>
            <w:tcW w:w="1417" w:type="dxa"/>
            <w:vMerge w:val="continue"/>
            <w:vAlign w:val="center"/>
          </w:tcPr>
          <w:p>
            <w:pPr>
              <w:snapToGrid w:val="0"/>
              <w:ind w:firstLine="562"/>
              <w:jc w:val="center"/>
              <w:textAlignment w:val="baseline"/>
              <w:rPr>
                <w:rFonts w:ascii="仿宋" w:hAnsi="仿宋" w:eastAsia="仿宋"/>
                <w:b/>
                <w:sz w:val="20"/>
                <w:szCs w:val="32"/>
              </w:rPr>
            </w:pPr>
          </w:p>
        </w:tc>
        <w:tc>
          <w:tcPr>
            <w:tcW w:w="1134" w:type="dxa"/>
            <w:vMerge w:val="continue"/>
            <w:vAlign w:val="center"/>
          </w:tcPr>
          <w:p>
            <w:pPr>
              <w:snapToGrid w:val="0"/>
              <w:ind w:firstLine="562"/>
              <w:jc w:val="center"/>
              <w:textAlignment w:val="baseline"/>
              <w:rPr>
                <w:rFonts w:ascii="仿宋" w:hAnsi="仿宋" w:eastAsia="仿宋"/>
                <w:b/>
                <w:sz w:val="20"/>
                <w:szCs w:val="32"/>
              </w:rPr>
            </w:pPr>
          </w:p>
        </w:tc>
        <w:tc>
          <w:tcPr>
            <w:tcW w:w="1276" w:type="dxa"/>
            <w:vAlign w:val="center"/>
          </w:tcPr>
          <w:p>
            <w:pPr>
              <w:snapToGrid w:val="0"/>
              <w:jc w:val="center"/>
              <w:textAlignment w:val="baseline"/>
              <w:rPr>
                <w:rFonts w:ascii="仿宋" w:hAnsi="仿宋" w:eastAsia="仿宋"/>
                <w:b/>
                <w:sz w:val="20"/>
                <w:szCs w:val="32"/>
              </w:rPr>
            </w:pPr>
            <w:r>
              <w:rPr>
                <w:rFonts w:hint="eastAsia" w:ascii="仿宋" w:hAnsi="仿宋" w:eastAsia="仿宋"/>
                <w:b/>
                <w:szCs w:val="32"/>
              </w:rPr>
              <w:t>电话</w:t>
            </w:r>
          </w:p>
        </w:tc>
        <w:tc>
          <w:tcPr>
            <w:tcW w:w="2155" w:type="dxa"/>
            <w:vAlign w:val="center"/>
          </w:tcPr>
          <w:p>
            <w:pPr>
              <w:snapToGrid w:val="0"/>
              <w:ind w:firstLine="562"/>
              <w:jc w:val="center"/>
              <w:textAlignment w:val="baseline"/>
              <w:rPr>
                <w:rFonts w:ascii="仿宋" w:hAnsi="仿宋" w:eastAsia="仿宋"/>
                <w:b/>
                <w:sz w:val="20"/>
                <w:szCs w:val="32"/>
              </w:rPr>
            </w:pPr>
          </w:p>
        </w:tc>
      </w:tr>
      <w:tr>
        <w:trPr>
          <w:trHeight w:val="1122" w:hRule="atLeast"/>
        </w:trPr>
        <w:tc>
          <w:tcPr>
            <w:tcW w:w="1135" w:type="dxa"/>
            <w:vAlign w:val="center"/>
          </w:tcPr>
          <w:p>
            <w:pPr>
              <w:snapToGrid w:val="0"/>
              <w:jc w:val="center"/>
              <w:textAlignment w:val="baseline"/>
              <w:rPr>
                <w:rFonts w:ascii="仿宋" w:hAnsi="仿宋" w:eastAsia="仿宋"/>
                <w:b/>
                <w:sz w:val="20"/>
                <w:szCs w:val="32"/>
              </w:rPr>
            </w:pPr>
            <w:r>
              <w:rPr>
                <w:rFonts w:hint="eastAsia" w:ascii="仿宋" w:hAnsi="仿宋" w:eastAsia="仿宋"/>
                <w:b/>
                <w:szCs w:val="32"/>
              </w:rPr>
              <w:t>被异议债权人</w:t>
            </w:r>
          </w:p>
        </w:tc>
        <w:tc>
          <w:tcPr>
            <w:tcW w:w="1701" w:type="dxa"/>
            <w:vAlign w:val="center"/>
          </w:tcPr>
          <w:p>
            <w:pPr>
              <w:snapToGrid w:val="0"/>
              <w:ind w:firstLine="562"/>
              <w:jc w:val="center"/>
              <w:textAlignment w:val="baseline"/>
              <w:rPr>
                <w:rFonts w:ascii="仿宋" w:hAnsi="仿宋" w:eastAsia="仿宋"/>
                <w:b/>
                <w:sz w:val="20"/>
                <w:szCs w:val="32"/>
              </w:rPr>
            </w:pPr>
          </w:p>
        </w:tc>
        <w:tc>
          <w:tcPr>
            <w:tcW w:w="1417" w:type="dxa"/>
            <w:vAlign w:val="center"/>
          </w:tcPr>
          <w:p>
            <w:pPr>
              <w:snapToGrid w:val="0"/>
              <w:jc w:val="center"/>
              <w:textAlignment w:val="baseline"/>
              <w:rPr>
                <w:rFonts w:ascii="仿宋" w:hAnsi="仿宋" w:eastAsia="仿宋"/>
                <w:b/>
                <w:sz w:val="20"/>
                <w:szCs w:val="32"/>
              </w:rPr>
            </w:pPr>
            <w:r>
              <w:rPr>
                <w:rFonts w:hint="eastAsia" w:ascii="仿宋" w:hAnsi="仿宋" w:eastAsia="仿宋"/>
                <w:b/>
                <w:szCs w:val="32"/>
              </w:rPr>
              <w:t>被异议</w:t>
            </w:r>
          </w:p>
          <w:p>
            <w:pPr>
              <w:snapToGrid w:val="0"/>
              <w:jc w:val="center"/>
              <w:textAlignment w:val="baseline"/>
              <w:rPr>
                <w:rFonts w:ascii="仿宋" w:hAnsi="仿宋" w:eastAsia="仿宋"/>
                <w:b/>
                <w:sz w:val="20"/>
                <w:szCs w:val="32"/>
              </w:rPr>
            </w:pPr>
            <w:r>
              <w:rPr>
                <w:rFonts w:hint="eastAsia" w:ascii="仿宋" w:hAnsi="仿宋" w:eastAsia="仿宋"/>
                <w:b/>
                <w:szCs w:val="32"/>
              </w:rPr>
              <w:t>债权编号</w:t>
            </w:r>
          </w:p>
        </w:tc>
        <w:tc>
          <w:tcPr>
            <w:tcW w:w="4565" w:type="dxa"/>
            <w:gridSpan w:val="3"/>
            <w:vAlign w:val="center"/>
          </w:tcPr>
          <w:p>
            <w:pPr>
              <w:snapToGrid w:val="0"/>
              <w:ind w:firstLine="562"/>
              <w:jc w:val="center"/>
              <w:textAlignment w:val="baseline"/>
              <w:rPr>
                <w:rFonts w:ascii="仿宋" w:hAnsi="仿宋" w:eastAsia="仿宋"/>
                <w:b/>
                <w:sz w:val="20"/>
                <w:szCs w:val="32"/>
              </w:rPr>
            </w:pPr>
          </w:p>
        </w:tc>
      </w:tr>
      <w:tr>
        <w:trPr>
          <w:cantSplit/>
          <w:trHeight w:val="2066" w:hRule="atLeast"/>
        </w:trPr>
        <w:tc>
          <w:tcPr>
            <w:tcW w:w="1135" w:type="dxa"/>
            <w:textDirection w:val="tbRlV"/>
            <w:vAlign w:val="center"/>
          </w:tcPr>
          <w:p>
            <w:pPr>
              <w:snapToGrid w:val="0"/>
              <w:ind w:left="113" w:right="113"/>
              <w:jc w:val="center"/>
              <w:textAlignment w:val="baseline"/>
              <w:rPr>
                <w:rFonts w:ascii="仿宋" w:hAnsi="仿宋" w:eastAsia="仿宋"/>
                <w:b/>
                <w:sz w:val="20"/>
                <w:szCs w:val="32"/>
              </w:rPr>
            </w:pPr>
            <w:r>
              <w:rPr>
                <w:rFonts w:hint="eastAsia" w:ascii="仿宋" w:hAnsi="仿宋" w:eastAsia="仿宋"/>
                <w:b/>
                <w:szCs w:val="32"/>
              </w:rPr>
              <w:t>异议事项</w:t>
            </w:r>
          </w:p>
        </w:tc>
        <w:tc>
          <w:tcPr>
            <w:tcW w:w="7683" w:type="dxa"/>
            <w:gridSpan w:val="5"/>
            <w:vAlign w:val="center"/>
          </w:tcPr>
          <w:p>
            <w:pPr>
              <w:snapToGrid w:val="0"/>
              <w:textAlignment w:val="baseline"/>
              <w:rPr>
                <w:rFonts w:ascii="仿宋" w:hAnsi="仿宋" w:eastAsia="仿宋"/>
                <w:b/>
                <w:sz w:val="20"/>
                <w:szCs w:val="32"/>
              </w:rPr>
            </w:pPr>
          </w:p>
        </w:tc>
      </w:tr>
      <w:tr>
        <w:trPr>
          <w:cantSplit/>
          <w:trHeight w:val="2256" w:hRule="atLeast"/>
        </w:trPr>
        <w:tc>
          <w:tcPr>
            <w:tcW w:w="1135" w:type="dxa"/>
            <w:textDirection w:val="tbRlV"/>
            <w:vAlign w:val="center"/>
          </w:tcPr>
          <w:p>
            <w:pPr>
              <w:snapToGrid w:val="0"/>
              <w:ind w:left="113" w:right="113"/>
              <w:jc w:val="center"/>
              <w:textAlignment w:val="baseline"/>
              <w:rPr>
                <w:rFonts w:ascii="仿宋" w:hAnsi="仿宋" w:eastAsia="仿宋"/>
                <w:b/>
                <w:sz w:val="20"/>
                <w:szCs w:val="32"/>
              </w:rPr>
            </w:pPr>
            <w:r>
              <w:rPr>
                <w:rFonts w:hint="eastAsia" w:ascii="仿宋" w:hAnsi="仿宋" w:eastAsia="仿宋"/>
                <w:b/>
                <w:szCs w:val="32"/>
              </w:rPr>
              <w:t>主要事实和理由</w:t>
            </w:r>
          </w:p>
        </w:tc>
        <w:tc>
          <w:tcPr>
            <w:tcW w:w="7683" w:type="dxa"/>
            <w:gridSpan w:val="5"/>
            <w:vAlign w:val="center"/>
          </w:tcPr>
          <w:p>
            <w:pPr>
              <w:snapToGrid w:val="0"/>
              <w:textAlignment w:val="baseline"/>
              <w:rPr>
                <w:rFonts w:ascii="仿宋" w:hAnsi="仿宋" w:eastAsia="仿宋"/>
                <w:b/>
                <w:sz w:val="20"/>
                <w:szCs w:val="32"/>
              </w:rPr>
            </w:pPr>
          </w:p>
        </w:tc>
      </w:tr>
    </w:tbl>
    <w:p>
      <w:pPr>
        <w:snapToGrid w:val="0"/>
        <w:textAlignment w:val="baseline"/>
        <w:rPr>
          <w:rFonts w:ascii="仿宋" w:hAnsi="仿宋" w:eastAsia="仿宋"/>
          <w:sz w:val="20"/>
          <w:szCs w:val="32"/>
        </w:rPr>
      </w:pPr>
    </w:p>
    <w:p>
      <w:pPr>
        <w:snapToGrid w:val="0"/>
        <w:ind w:firstLine="560" w:firstLineChars="200"/>
        <w:textAlignment w:val="baseline"/>
        <w:rPr>
          <w:rFonts w:ascii="仿宋" w:hAnsi="仿宋" w:eastAsia="仿宋"/>
          <w:sz w:val="20"/>
          <w:szCs w:val="32"/>
        </w:rPr>
      </w:pPr>
      <w:r>
        <w:rPr>
          <w:rFonts w:hint="eastAsia" w:ascii="仿宋" w:hAnsi="仿宋" w:eastAsia="仿宋"/>
          <w:szCs w:val="32"/>
        </w:rPr>
        <w:t>本人已经充分阅读并理解会议资料</w:t>
      </w:r>
      <w:r>
        <w:rPr>
          <w:rFonts w:hint="eastAsia" w:ascii="仿宋" w:hAnsi="仿宋" w:eastAsia="仿宋"/>
          <w:szCs w:val="32"/>
          <w:lang w:eastAsia="zh-CN"/>
        </w:rPr>
        <w:t>、</w:t>
      </w:r>
      <w:r>
        <w:rPr>
          <w:rFonts w:hint="eastAsia" w:ascii="仿宋" w:hAnsi="仿宋" w:eastAsia="仿宋"/>
          <w:szCs w:val="32"/>
          <w:lang w:val="en-US" w:eastAsia="zh-CN"/>
        </w:rPr>
        <w:t>异议规则</w:t>
      </w:r>
      <w:r>
        <w:rPr>
          <w:rFonts w:hint="eastAsia" w:ascii="仿宋" w:hAnsi="仿宋" w:eastAsia="仿宋"/>
          <w:szCs w:val="32"/>
        </w:rPr>
        <w:t>，清楚债权人会议核查债权的法律效力，将按照法律规定及正坤公司债权人会议资料规定行使权利。</w:t>
      </w:r>
    </w:p>
    <w:p>
      <w:pPr>
        <w:snapToGrid w:val="0"/>
        <w:ind w:firstLine="400" w:firstLineChars="200"/>
        <w:textAlignment w:val="baseline"/>
        <w:rPr>
          <w:rFonts w:ascii="仿宋" w:hAnsi="仿宋" w:eastAsia="仿宋"/>
          <w:sz w:val="20"/>
          <w:szCs w:val="32"/>
        </w:rPr>
      </w:pPr>
    </w:p>
    <w:p>
      <w:pPr>
        <w:snapToGrid w:val="0"/>
        <w:ind w:firstLine="400" w:firstLineChars="200"/>
        <w:textAlignment w:val="baseline"/>
        <w:rPr>
          <w:rFonts w:ascii="仿宋" w:hAnsi="仿宋" w:eastAsia="仿宋"/>
          <w:sz w:val="20"/>
          <w:szCs w:val="32"/>
        </w:rPr>
      </w:pPr>
    </w:p>
    <w:p>
      <w:pPr>
        <w:snapToGrid w:val="0"/>
        <w:ind w:firstLine="400" w:firstLineChars="200"/>
        <w:textAlignment w:val="baseline"/>
        <w:rPr>
          <w:rFonts w:ascii="仿宋" w:hAnsi="仿宋" w:eastAsia="仿宋"/>
          <w:sz w:val="20"/>
          <w:szCs w:val="32"/>
        </w:rPr>
      </w:pPr>
    </w:p>
    <w:p>
      <w:pPr>
        <w:snapToGrid w:val="0"/>
        <w:ind w:firstLine="400" w:firstLineChars="200"/>
        <w:textAlignment w:val="baseline"/>
        <w:rPr>
          <w:rFonts w:ascii="仿宋" w:hAnsi="仿宋" w:eastAsia="仿宋"/>
          <w:sz w:val="20"/>
          <w:szCs w:val="32"/>
        </w:rPr>
      </w:pPr>
    </w:p>
    <w:p>
      <w:pPr>
        <w:snapToGrid w:val="0"/>
        <w:ind w:firstLine="560" w:firstLineChars="200"/>
        <w:textAlignment w:val="baseline"/>
        <w:rPr>
          <w:rFonts w:ascii="仿宋" w:hAnsi="仿宋" w:eastAsia="仿宋"/>
          <w:sz w:val="20"/>
          <w:szCs w:val="32"/>
          <w:u w:val="single"/>
        </w:rPr>
      </w:pPr>
      <w:r>
        <w:rPr>
          <w:rFonts w:hint="eastAsia" w:ascii="仿宋" w:hAnsi="仿宋" w:eastAsia="仿宋"/>
          <w:szCs w:val="32"/>
        </w:rPr>
        <w:t>异议人（签字/盖章）：</w:t>
      </w:r>
      <w:r>
        <w:rPr>
          <w:rFonts w:hint="eastAsia" w:ascii="仿宋" w:hAnsi="仿宋" w:eastAsia="仿宋"/>
          <w:szCs w:val="32"/>
          <w:u w:val="single" w:color="000000"/>
        </w:rPr>
        <w:t xml:space="preserve">                    </w:t>
      </w:r>
    </w:p>
    <w:p>
      <w:pPr>
        <w:snapToGrid w:val="0"/>
        <w:ind w:firstLine="3400" w:firstLineChars="1700"/>
        <w:textAlignment w:val="baseline"/>
        <w:rPr>
          <w:rFonts w:ascii="仿宋" w:hAnsi="仿宋" w:eastAsia="仿宋"/>
          <w:sz w:val="20"/>
          <w:szCs w:val="32"/>
        </w:rPr>
      </w:pPr>
    </w:p>
    <w:p>
      <w:pPr>
        <w:snapToGrid w:val="0"/>
        <w:ind w:firstLine="4760" w:firstLineChars="1700"/>
        <w:textAlignment w:val="baseline"/>
        <w:rPr>
          <w:rFonts w:ascii="仿宋" w:hAnsi="仿宋" w:eastAsia="仿宋"/>
          <w:sz w:val="20"/>
          <w:szCs w:val="32"/>
        </w:rPr>
      </w:pPr>
      <w:r>
        <w:rPr>
          <w:rFonts w:hint="eastAsia" w:ascii="仿宋" w:hAnsi="仿宋" w:eastAsia="仿宋"/>
          <w:szCs w:val="32"/>
        </w:rPr>
        <w:t>日期：</w:t>
      </w:r>
      <w:r>
        <w:rPr>
          <w:rFonts w:hint="eastAsia" w:ascii="仿宋" w:hAnsi="仿宋" w:eastAsia="仿宋"/>
          <w:szCs w:val="32"/>
          <w:u w:val="single" w:color="000000"/>
        </w:rPr>
        <w:t xml:space="preserve"> </w:t>
      </w:r>
      <w:r>
        <w:rPr>
          <w:rFonts w:ascii="仿宋" w:hAnsi="仿宋" w:eastAsia="仿宋"/>
          <w:szCs w:val="32"/>
          <w:u w:val="single" w:color="000000"/>
        </w:rPr>
        <w:t>202</w:t>
      </w:r>
      <w:r>
        <w:rPr>
          <w:rFonts w:hint="eastAsia" w:ascii="仿宋" w:hAnsi="仿宋" w:eastAsia="仿宋"/>
          <w:szCs w:val="32"/>
          <w:u w:val="single" w:color="000000"/>
          <w:lang w:val="en-US" w:eastAsia="zh-CN"/>
        </w:rPr>
        <w:t>5</w:t>
      </w:r>
      <w:r>
        <w:rPr>
          <w:rFonts w:ascii="仿宋" w:hAnsi="仿宋" w:eastAsia="仿宋"/>
          <w:szCs w:val="32"/>
          <w:u w:val="single" w:color="000000"/>
        </w:rPr>
        <w:t xml:space="preserve"> </w:t>
      </w:r>
      <w:r>
        <w:rPr>
          <w:rFonts w:hint="eastAsia" w:ascii="仿宋" w:hAnsi="仿宋" w:eastAsia="仿宋"/>
          <w:szCs w:val="32"/>
        </w:rPr>
        <w:t>年</w:t>
      </w:r>
      <w:r>
        <w:rPr>
          <w:rFonts w:hint="eastAsia" w:ascii="仿宋" w:hAnsi="仿宋" w:eastAsia="仿宋"/>
          <w:szCs w:val="32"/>
          <w:u w:val="single" w:color="000000"/>
        </w:rPr>
        <w:t xml:space="preserve"> </w:t>
      </w:r>
      <w:r>
        <w:rPr>
          <w:rFonts w:ascii="仿宋" w:hAnsi="仿宋" w:eastAsia="仿宋"/>
          <w:szCs w:val="32"/>
          <w:u w:val="single" w:color="000000"/>
        </w:rPr>
        <w:t xml:space="preserve">  </w:t>
      </w:r>
      <w:r>
        <w:rPr>
          <w:rFonts w:hint="eastAsia" w:ascii="仿宋" w:hAnsi="仿宋" w:eastAsia="仿宋"/>
          <w:szCs w:val="32"/>
          <w:u w:val="single" w:color="000000"/>
        </w:rPr>
        <w:t xml:space="preserve"> </w:t>
      </w:r>
      <w:r>
        <w:rPr>
          <w:rFonts w:hint="eastAsia" w:ascii="仿宋" w:hAnsi="仿宋" w:eastAsia="仿宋"/>
          <w:szCs w:val="32"/>
        </w:rPr>
        <w:t>月</w:t>
      </w:r>
      <w:r>
        <w:rPr>
          <w:rFonts w:hint="eastAsia" w:ascii="仿宋" w:hAnsi="仿宋" w:eastAsia="仿宋"/>
          <w:szCs w:val="32"/>
          <w:u w:val="single" w:color="000000"/>
        </w:rPr>
        <w:t xml:space="preserve">    </w:t>
      </w:r>
      <w:r>
        <w:rPr>
          <w:rFonts w:hint="eastAsia" w:ascii="仿宋" w:hAnsi="仿宋" w:eastAsia="仿宋"/>
          <w:szCs w:val="32"/>
        </w:rPr>
        <w:t>日</w:t>
      </w:r>
    </w:p>
    <w:p>
      <w:pPr>
        <w:rPr>
          <w:rFonts w:hint="eastAsia" w:ascii="宋体" w:hAnsi="宋体"/>
          <w:b/>
          <w:color w:val="000000"/>
          <w:sz w:val="44"/>
          <w:szCs w:val="44"/>
        </w:rPr>
      </w:pPr>
      <w:r>
        <w:rPr>
          <w:rFonts w:ascii="宋体" w:hAnsi="宋体"/>
          <w:b/>
          <w:color w:val="000000"/>
          <w:sz w:val="44"/>
          <w:szCs w:val="44"/>
        </w:rPr>
        <w:br w:type="page"/>
      </w:r>
    </w:p>
    <w:p>
      <w:pPr>
        <w:snapToGrid w:val="0"/>
        <w:spacing w:before="156" w:after="156" w:line="360" w:lineRule="auto"/>
        <w:jc w:val="center"/>
        <w:textAlignment w:val="baseline"/>
        <w:rPr>
          <w:rFonts w:ascii="仿宋" w:hAnsi="仿宋" w:eastAsia="仿宋" w:cs="仿宋"/>
        </w:rPr>
      </w:pPr>
      <w:r>
        <w:rPr>
          <w:rFonts w:hint="eastAsia" w:ascii="仿宋" w:hAnsi="仿宋" w:eastAsia="仿宋" w:cs="Times New Roman"/>
          <w:b/>
          <w:sz w:val="36"/>
          <w:szCs w:val="36"/>
        </w:rPr>
        <w:t>异议规则告知</w:t>
      </w:r>
    </w:p>
    <w:p>
      <w:pPr>
        <w:numPr>
          <w:ilvl w:val="0"/>
          <w:numId w:val="2"/>
        </w:numPr>
        <w:snapToGrid w:val="0"/>
        <w:spacing w:line="360" w:lineRule="auto"/>
        <w:ind w:firstLine="560" w:firstLineChars="200"/>
        <w:textAlignment w:val="baseline"/>
        <w:rPr>
          <w:rFonts w:ascii="仿宋" w:hAnsi="仿宋" w:eastAsia="仿宋" w:cs="仿宋"/>
          <w:bCs/>
        </w:rPr>
      </w:pPr>
      <w:r>
        <w:rPr>
          <w:rFonts w:ascii="仿宋" w:hAnsi="仿宋" w:eastAsia="仿宋" w:cs="仿宋"/>
        </w:rPr>
        <w:t>本次</w:t>
      </w:r>
      <w:r>
        <w:rPr>
          <w:rFonts w:hint="eastAsia" w:ascii="仿宋" w:hAnsi="仿宋" w:eastAsia="仿宋" w:cs="仿宋"/>
        </w:rPr>
        <w:t>会议结束、核查债权结束之日为</w:t>
      </w:r>
      <w:r>
        <w:rPr>
          <w:rFonts w:hint="eastAsia" w:ascii="仿宋" w:hAnsi="仿宋" w:eastAsia="仿宋" w:cs="仿宋"/>
          <w:b/>
          <w:bCs/>
        </w:rPr>
        <w:t>2</w:t>
      </w:r>
      <w:r>
        <w:rPr>
          <w:rFonts w:ascii="仿宋" w:hAnsi="仿宋" w:eastAsia="仿宋" w:cs="仿宋"/>
          <w:b/>
          <w:bCs/>
        </w:rPr>
        <w:t>02</w:t>
      </w:r>
      <w:r>
        <w:rPr>
          <w:rFonts w:hint="eastAsia" w:ascii="仿宋" w:hAnsi="仿宋" w:eastAsia="仿宋" w:cs="仿宋"/>
          <w:b/>
          <w:bCs/>
          <w:lang w:val="en-US" w:eastAsia="zh-CN"/>
        </w:rPr>
        <w:t>5</w:t>
      </w:r>
      <w:r>
        <w:rPr>
          <w:rFonts w:hint="eastAsia" w:ascii="仿宋" w:hAnsi="仿宋" w:eastAsia="仿宋" w:cs="仿宋"/>
          <w:b/>
          <w:bCs/>
        </w:rPr>
        <w:t>年</w:t>
      </w:r>
      <w:r>
        <w:rPr>
          <w:rFonts w:hint="eastAsia" w:ascii="仿宋" w:hAnsi="仿宋" w:eastAsia="仿宋" w:cs="仿宋"/>
          <w:b/>
          <w:bCs/>
          <w:lang w:val="en-US" w:eastAsia="zh-CN"/>
        </w:rPr>
        <w:t>1</w:t>
      </w:r>
      <w:r>
        <w:rPr>
          <w:rFonts w:hint="eastAsia" w:ascii="仿宋" w:hAnsi="仿宋" w:eastAsia="仿宋" w:cs="仿宋"/>
          <w:b/>
          <w:bCs/>
        </w:rPr>
        <w:t>月2</w:t>
      </w:r>
      <w:r>
        <w:rPr>
          <w:rFonts w:hint="eastAsia" w:ascii="仿宋" w:hAnsi="仿宋" w:eastAsia="仿宋" w:cs="仿宋"/>
          <w:b/>
          <w:bCs/>
          <w:lang w:val="en-US" w:eastAsia="zh-CN"/>
        </w:rPr>
        <w:t>3</w:t>
      </w:r>
      <w:r>
        <w:rPr>
          <w:rFonts w:hint="eastAsia" w:ascii="仿宋" w:hAnsi="仿宋" w:eastAsia="仿宋" w:cs="仿宋"/>
          <w:b/>
          <w:bCs/>
        </w:rPr>
        <w:t>日</w:t>
      </w:r>
      <w:r>
        <w:rPr>
          <w:rFonts w:hint="eastAsia" w:ascii="仿宋" w:hAnsi="仿宋" w:eastAsia="仿宋" w:cs="仿宋"/>
        </w:rPr>
        <w:t>。债务人、债权人对债权表记载债权有异议的，应当按规定填写《异议表》，说明理由和法律依据</w:t>
      </w:r>
      <w:r>
        <w:rPr>
          <w:rFonts w:ascii="仿宋" w:hAnsi="仿宋" w:eastAsia="仿宋" w:cs="仿宋"/>
        </w:rPr>
        <w:t>并附相关</w:t>
      </w:r>
      <w:r>
        <w:rPr>
          <w:rFonts w:hint="eastAsia" w:ascii="仿宋" w:hAnsi="仿宋" w:eastAsia="仿宋" w:cs="仿宋"/>
        </w:rPr>
        <w:t>必要</w:t>
      </w:r>
      <w:r>
        <w:rPr>
          <w:rFonts w:ascii="仿宋" w:hAnsi="仿宋" w:eastAsia="仿宋" w:cs="仿宋"/>
        </w:rPr>
        <w:t>证明材料</w:t>
      </w:r>
      <w:r>
        <w:rPr>
          <w:rFonts w:hint="eastAsia" w:ascii="仿宋" w:hAnsi="仿宋" w:eastAsia="仿宋" w:cs="仿宋"/>
        </w:rPr>
        <w:t>，并于本次债权人会议结束前</w:t>
      </w:r>
      <w:r>
        <w:rPr>
          <w:rFonts w:ascii="仿宋" w:hAnsi="仿宋" w:eastAsia="仿宋" w:cs="仿宋"/>
        </w:rPr>
        <w:t>通过</w:t>
      </w:r>
      <w:r>
        <w:rPr>
          <w:rFonts w:hint="eastAsia" w:ascii="仿宋" w:hAnsi="仿宋" w:eastAsia="仿宋" w:cs="仿宋"/>
        </w:rPr>
        <w:t>E</w:t>
      </w:r>
      <w:r>
        <w:rPr>
          <w:rFonts w:ascii="仿宋" w:hAnsi="仿宋" w:eastAsia="仿宋" w:cs="仿宋"/>
        </w:rPr>
        <w:t>MS</w:t>
      </w:r>
      <w:r>
        <w:rPr>
          <w:rFonts w:hint="eastAsia" w:ascii="仿宋" w:hAnsi="仿宋" w:eastAsia="仿宋" w:cs="仿宋"/>
        </w:rPr>
        <w:t>中国邮政快递</w:t>
      </w:r>
      <w:r>
        <w:rPr>
          <w:rFonts w:ascii="仿宋" w:hAnsi="仿宋" w:eastAsia="仿宋" w:cs="仿宋"/>
        </w:rPr>
        <w:t>邮寄（以寄件邮戳</w:t>
      </w:r>
      <w:r>
        <w:rPr>
          <w:rFonts w:hint="eastAsia" w:ascii="仿宋" w:hAnsi="仿宋" w:eastAsia="仿宋" w:cs="仿宋"/>
        </w:rPr>
        <w:t>时间</w:t>
      </w:r>
      <w:r>
        <w:rPr>
          <w:rFonts w:ascii="仿宋" w:hAnsi="仿宋" w:eastAsia="仿宋" w:cs="仿宋"/>
        </w:rPr>
        <w:t>为准）送达管理人。</w:t>
      </w:r>
    </w:p>
    <w:p>
      <w:pPr>
        <w:snapToGrid w:val="0"/>
        <w:spacing w:line="360" w:lineRule="auto"/>
        <w:ind w:firstLine="560" w:firstLineChars="200"/>
        <w:textAlignment w:val="baseline"/>
        <w:rPr>
          <w:rFonts w:ascii="仿宋" w:hAnsi="仿宋" w:eastAsia="仿宋" w:cs="仿宋"/>
          <w:bCs/>
        </w:rPr>
      </w:pPr>
      <w:r>
        <w:rPr>
          <w:rFonts w:hint="eastAsia" w:ascii="仿宋" w:hAnsi="仿宋" w:eastAsia="仿宋" w:cs="仿宋"/>
        </w:rPr>
        <w:t>2.经管理人解释或调整后，异议人对审查意见仍然不服的，或者管理人在</w:t>
      </w:r>
      <w:r>
        <w:rPr>
          <w:rFonts w:hint="eastAsia" w:ascii="仿宋" w:hAnsi="仿宋" w:eastAsia="仿宋" w:cs="仿宋"/>
          <w:b/>
          <w:bCs/>
        </w:rPr>
        <w:t>202</w:t>
      </w:r>
      <w:r>
        <w:rPr>
          <w:rFonts w:hint="eastAsia" w:ascii="仿宋" w:hAnsi="仿宋" w:eastAsia="仿宋" w:cs="仿宋"/>
          <w:b/>
          <w:bCs/>
          <w:lang w:val="en-US" w:eastAsia="zh-CN"/>
        </w:rPr>
        <w:t>5</w:t>
      </w:r>
      <w:r>
        <w:rPr>
          <w:rFonts w:hint="eastAsia" w:ascii="仿宋" w:hAnsi="仿宋" w:eastAsia="仿宋" w:cs="仿宋"/>
          <w:b/>
          <w:bCs/>
        </w:rPr>
        <w:t>年</w:t>
      </w:r>
      <w:r>
        <w:rPr>
          <w:rFonts w:hint="eastAsia" w:ascii="仿宋" w:hAnsi="仿宋" w:eastAsia="仿宋" w:cs="仿宋"/>
          <w:b/>
          <w:bCs/>
          <w:lang w:val="en-US" w:eastAsia="zh-CN"/>
        </w:rPr>
        <w:t>1</w:t>
      </w:r>
      <w:r>
        <w:rPr>
          <w:rFonts w:hint="eastAsia" w:ascii="仿宋" w:hAnsi="仿宋" w:eastAsia="仿宋" w:cs="仿宋"/>
          <w:b/>
          <w:bCs/>
        </w:rPr>
        <w:t>月25日</w:t>
      </w:r>
      <w:r>
        <w:rPr>
          <w:rFonts w:hint="eastAsia" w:ascii="仿宋" w:hAnsi="仿宋" w:eastAsia="仿宋" w:cs="仿宋"/>
        </w:rPr>
        <w:t>前未予以书面解释或调整的，异议人应当在债权人会议核查结束后十五日内</w:t>
      </w:r>
      <w:r>
        <w:rPr>
          <w:rFonts w:hint="eastAsia" w:ascii="仿宋" w:hAnsi="仿宋" w:eastAsia="仿宋" w:cs="仿宋"/>
          <w:b/>
          <w:bCs/>
        </w:rPr>
        <w:t>（2</w:t>
      </w:r>
      <w:r>
        <w:rPr>
          <w:rFonts w:ascii="仿宋" w:hAnsi="仿宋" w:eastAsia="仿宋" w:cs="仿宋"/>
          <w:b/>
          <w:bCs/>
        </w:rPr>
        <w:t>02</w:t>
      </w:r>
      <w:r>
        <w:rPr>
          <w:rFonts w:hint="eastAsia" w:ascii="仿宋" w:hAnsi="仿宋" w:eastAsia="仿宋" w:cs="仿宋"/>
          <w:b/>
          <w:bCs/>
          <w:lang w:val="en-US" w:eastAsia="zh-CN"/>
        </w:rPr>
        <w:t>5</w:t>
      </w:r>
      <w:r>
        <w:rPr>
          <w:rFonts w:hint="eastAsia" w:ascii="仿宋" w:hAnsi="仿宋" w:eastAsia="仿宋" w:cs="仿宋"/>
          <w:b/>
          <w:bCs/>
        </w:rPr>
        <w:t>年</w:t>
      </w:r>
      <w:r>
        <w:rPr>
          <w:rFonts w:hint="eastAsia" w:ascii="仿宋" w:hAnsi="仿宋" w:eastAsia="仿宋" w:cs="仿宋"/>
          <w:b/>
          <w:bCs/>
          <w:lang w:val="en-US" w:eastAsia="zh-CN"/>
        </w:rPr>
        <w:t>2</w:t>
      </w:r>
      <w:r>
        <w:rPr>
          <w:rFonts w:hint="eastAsia" w:ascii="仿宋" w:hAnsi="仿宋" w:eastAsia="仿宋" w:cs="仿宋"/>
          <w:b/>
          <w:bCs/>
        </w:rPr>
        <w:t>月</w:t>
      </w:r>
      <w:r>
        <w:rPr>
          <w:rFonts w:hint="eastAsia" w:ascii="仿宋" w:hAnsi="仿宋" w:eastAsia="仿宋" w:cs="仿宋"/>
          <w:b/>
          <w:bCs/>
          <w:lang w:val="en-US" w:eastAsia="zh-CN"/>
        </w:rPr>
        <w:t>7</w:t>
      </w:r>
      <w:r>
        <w:rPr>
          <w:rFonts w:hint="eastAsia" w:ascii="仿宋" w:hAnsi="仿宋" w:eastAsia="仿宋" w:cs="仿宋"/>
          <w:b/>
          <w:bCs/>
        </w:rPr>
        <w:t>日前）</w:t>
      </w:r>
      <w:r>
        <w:rPr>
          <w:rFonts w:hint="eastAsia" w:ascii="仿宋" w:hAnsi="仿宋" w:eastAsia="仿宋" w:cs="仿宋"/>
        </w:rPr>
        <w:t>向人民法院提起债权确认诉讼。</w:t>
      </w:r>
    </w:p>
    <w:p>
      <w:pPr>
        <w:snapToGrid w:val="0"/>
        <w:spacing w:line="360" w:lineRule="auto"/>
        <w:ind w:firstLine="560" w:firstLineChars="200"/>
        <w:textAlignment w:val="baseline"/>
        <w:rPr>
          <w:rFonts w:ascii="仿宋" w:hAnsi="仿宋" w:eastAsia="仿宋" w:cs="仿宋"/>
          <w:sz w:val="20"/>
        </w:rPr>
      </w:pPr>
      <w:r>
        <w:rPr>
          <w:rFonts w:hint="eastAsia" w:ascii="仿宋" w:hAnsi="仿宋" w:eastAsia="仿宋" w:cs="仿宋"/>
        </w:rPr>
        <w:t>3.债务人、债权人对债权表记载的债权无异议，或未在债权人会议核查结束后十五日内向人民法院提起债权确认诉讼的，视为无异议。</w:t>
      </w:r>
      <w:r>
        <w:rPr>
          <w:rFonts w:ascii="仿宋" w:hAnsi="仿宋" w:eastAsia="仿宋" w:cs="仿宋"/>
        </w:rPr>
        <w:t>经本次会议核查无异议的债权，</w:t>
      </w:r>
      <w:r>
        <w:rPr>
          <w:rFonts w:hint="eastAsia" w:ascii="仿宋" w:hAnsi="仿宋" w:eastAsia="仿宋" w:cs="仿宋"/>
        </w:rPr>
        <w:t>将由</w:t>
      </w:r>
      <w:r>
        <w:rPr>
          <w:rFonts w:ascii="仿宋" w:hAnsi="仿宋" w:eastAsia="仿宋" w:cs="仿宋"/>
        </w:rPr>
        <w:t>人民法院裁定确认。</w:t>
      </w:r>
    </w:p>
    <w:p>
      <w:pPr>
        <w:snapToGrid w:val="0"/>
        <w:spacing w:line="360" w:lineRule="auto"/>
        <w:ind w:firstLine="560" w:firstLineChars="200"/>
        <w:textAlignment w:val="baseline"/>
        <w:rPr>
          <w:rFonts w:ascii="仿宋" w:hAnsi="仿宋" w:eastAsia="仿宋" w:cs="仿宋"/>
          <w:bCs/>
        </w:rPr>
      </w:pPr>
      <w:r>
        <w:rPr>
          <w:rFonts w:hint="eastAsia" w:ascii="仿宋" w:hAnsi="仿宋" w:eastAsia="仿宋" w:cs="仿宋"/>
          <w:bCs/>
        </w:rPr>
        <w:t>4.</w:t>
      </w:r>
      <w:r>
        <w:rPr>
          <w:rFonts w:ascii="仿宋" w:hAnsi="仿宋" w:eastAsia="仿宋" w:cs="仿宋"/>
          <w:bCs/>
        </w:rPr>
        <w:t>管理人联系方式：</w:t>
      </w:r>
    </w:p>
    <w:p>
      <w:pPr>
        <w:snapToGrid w:val="0"/>
        <w:spacing w:line="360" w:lineRule="auto"/>
        <w:ind w:firstLine="560" w:firstLineChars="200"/>
        <w:textAlignment w:val="baseline"/>
        <w:rPr>
          <w:rFonts w:ascii="仿宋" w:hAnsi="仿宋" w:eastAsia="仿宋" w:cs="仿宋"/>
          <w:bCs/>
        </w:rPr>
      </w:pPr>
      <w:r>
        <w:rPr>
          <w:rFonts w:ascii="仿宋" w:hAnsi="仿宋" w:eastAsia="仿宋" w:cs="仿宋"/>
          <w:bCs/>
        </w:rPr>
        <w:t>收件人：</w:t>
      </w:r>
      <w:r>
        <w:rPr>
          <w:rFonts w:hint="eastAsia" w:ascii="仿宋" w:hAnsi="仿宋" w:eastAsia="仿宋" w:cs="仿宋"/>
          <w:bCs/>
        </w:rPr>
        <w:t xml:space="preserve">正坤公司管理人 </w:t>
      </w:r>
      <w:r>
        <w:rPr>
          <w:rFonts w:ascii="仿宋" w:hAnsi="仿宋" w:eastAsia="仿宋" w:cs="仿宋"/>
          <w:bCs/>
        </w:rPr>
        <w:t>18502875828</w:t>
      </w:r>
      <w:r>
        <w:rPr>
          <w:rFonts w:hint="eastAsia" w:ascii="仿宋" w:hAnsi="仿宋" w:eastAsia="仿宋" w:cs="仿宋"/>
          <w:bCs/>
        </w:rPr>
        <w:t>；</w:t>
      </w:r>
    </w:p>
    <w:p>
      <w:pPr>
        <w:snapToGrid w:val="0"/>
        <w:spacing w:line="360" w:lineRule="auto"/>
        <w:ind w:firstLine="560" w:firstLineChars="200"/>
        <w:textAlignment w:val="baseline"/>
        <w:rPr>
          <w:rFonts w:ascii="仿宋" w:hAnsi="仿宋" w:eastAsia="仿宋" w:cs="仿宋"/>
          <w:sz w:val="20"/>
        </w:rPr>
      </w:pPr>
      <w:r>
        <w:rPr>
          <w:rFonts w:ascii="仿宋" w:hAnsi="仿宋" w:eastAsia="仿宋" w:cs="仿宋"/>
          <w:bCs/>
        </w:rPr>
        <w:t>收件地址：成都市</w:t>
      </w:r>
      <w:r>
        <w:rPr>
          <w:rFonts w:hint="eastAsia" w:ascii="仿宋" w:hAnsi="仿宋" w:eastAsia="仿宋" w:cs="仿宋"/>
          <w:bCs/>
          <w:lang w:val="en-US" w:eastAsia="zh-CN"/>
        </w:rPr>
        <w:t>青白江区华逸路198号-悦澜庭项目部办公室</w:t>
      </w:r>
      <w:r>
        <w:rPr>
          <w:rFonts w:hint="eastAsia" w:ascii="仿宋" w:hAnsi="仿宋" w:eastAsia="仿宋" w:cs="仿宋"/>
          <w:bCs/>
        </w:rPr>
        <w:t>。</w:t>
      </w:r>
    </w:p>
    <w:sectPr>
      <w:footerReference r:id="rId3" w:type="default"/>
      <w:pgSz w:w="11906" w:h="16838"/>
      <w:pgMar w:top="1418" w:right="1588" w:bottom="1418" w:left="1588"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Calibri Light">
    <w:altName w:val="Helvetica Neue"/>
    <w:panose1 w:val="020F0302020204030204"/>
    <w:charset w:val="00"/>
    <w:family w:val="swiss"/>
    <w:pitch w:val="default"/>
    <w:sig w:usb0="00000000" w:usb1="00000000" w:usb2="00000009" w:usb3="00000000" w:csb0="000001FF" w:csb1="00000000"/>
  </w:font>
  <w:font w:name="DengXian Light">
    <w:altName w:val="汉仪中等线KW"/>
    <w:panose1 w:val="02010600030101010101"/>
    <w:charset w:val="86"/>
    <w:family w:val="auto"/>
    <w:pitch w:val="default"/>
    <w:sig w:usb0="00000000" w:usb1="00000000" w:usb2="00000016" w:usb3="00000000" w:csb0="0004000F" w:csb1="00000000"/>
  </w:font>
  <w:font w:name="仿宋">
    <w:altName w:val="方正仿宋_GBK"/>
    <w:panose1 w:val="02010609060101010101"/>
    <w:charset w:val="86"/>
    <w:family w:val="modern"/>
    <w:pitch w:val="default"/>
    <w:sig w:usb0="00000000" w:usb1="00000000" w:usb2="00000016" w:usb3="00000000" w:csb0="00040001" w:csb1="00000000"/>
  </w:font>
  <w:font w:name="DengXian">
    <w:altName w:val="汉仪中等线KW"/>
    <w:panose1 w:val="02010600030101010101"/>
    <w:charset w:val="86"/>
    <w:family w:val="auto"/>
    <w:pitch w:val="default"/>
    <w:sig w:usb0="00000000" w:usb1="00000000" w:usb2="00000016" w:usb3="00000000" w:csb0="0004000F" w:csb1="00000000"/>
  </w:font>
  <w:font w:name="华文中宋">
    <w:altName w:val="汉仪书宋二KW"/>
    <w:panose1 w:val="02010600040101010101"/>
    <w:charset w:val="86"/>
    <w:family w:val="auto"/>
    <w:pitch w:val="default"/>
    <w:sig w:usb0="00000000" w:usb1="00000000" w:usb2="00000010" w:usb3="00000000" w:csb0="0004009F" w:csb1="00000000"/>
  </w:font>
  <w:font w:name="-webkit-standard">
    <w:altName w:val="苹方-简"/>
    <w:panose1 w:val="020B0604020202020204"/>
    <w:charset w:val="00"/>
    <w:family w:val="auto"/>
    <w:pitch w:val="default"/>
    <w:sig w:usb0="00000000" w:usb1="00000000" w:usb2="00000000" w:usb3="00000000" w:csb0="00000000" w:csb1="00000000"/>
  </w:font>
  <w:font w:name="SimHei">
    <w:altName w:val="汉仪中黑KW"/>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汉仪中等线KW">
    <w:panose1 w:val="01010104010101010101"/>
    <w:charset w:val="86"/>
    <w:family w:val="auto"/>
    <w:pitch w:val="default"/>
    <w:sig w:usb0="800002BF" w:usb1="004F7CFA" w:usb2="00000000" w:usb3="00000000" w:csb0="00040001" w:csb1="0000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p>
  <w:p>
    <w:pPr>
      <w:pStyle w:val="5"/>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5AFAA"/>
    <w:multiLevelType w:val="singleLevel"/>
    <w:tmpl w:val="FFF5AFAA"/>
    <w:lvl w:ilvl="0" w:tentative="0">
      <w:start w:val="1"/>
      <w:numFmt w:val="decimal"/>
      <w:lvlText w:val="%1."/>
      <w:lvlJc w:val="left"/>
      <w:pPr>
        <w:tabs>
          <w:tab w:val="left" w:pos="312"/>
        </w:tabs>
      </w:pPr>
    </w:lvl>
  </w:abstractNum>
  <w:abstractNum w:abstractNumId="1">
    <w:nsid w:val="49A9134C"/>
    <w:multiLevelType w:val="multilevel"/>
    <w:tmpl w:val="49A9134C"/>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6"/>
  <w:bordersDoNotSurroundHeader w:val="0"/>
  <w:bordersDoNotSurroundFooter w:val="0"/>
  <w:documentProtection w:enforcement="0"/>
  <w:defaultTabStop w:val="420"/>
  <w:drawingGridHorizontalSpacing w:val="140"/>
  <w:drawingGridVerticalSpacing w:val="42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25C0"/>
    <w:rsid w:val="000129F7"/>
    <w:rsid w:val="00034369"/>
    <w:rsid w:val="00037E10"/>
    <w:rsid w:val="00041327"/>
    <w:rsid w:val="00047C61"/>
    <w:rsid w:val="00057696"/>
    <w:rsid w:val="00062089"/>
    <w:rsid w:val="0006438F"/>
    <w:rsid w:val="000830AB"/>
    <w:rsid w:val="0008683A"/>
    <w:rsid w:val="0009567D"/>
    <w:rsid w:val="000A0902"/>
    <w:rsid w:val="000B315D"/>
    <w:rsid w:val="000C2625"/>
    <w:rsid w:val="000C5644"/>
    <w:rsid w:val="000D0504"/>
    <w:rsid w:val="000D13C7"/>
    <w:rsid w:val="000D7801"/>
    <w:rsid w:val="000F3508"/>
    <w:rsid w:val="001102AA"/>
    <w:rsid w:val="00114288"/>
    <w:rsid w:val="00116F77"/>
    <w:rsid w:val="001207C8"/>
    <w:rsid w:val="0012267B"/>
    <w:rsid w:val="001326E3"/>
    <w:rsid w:val="00146B8E"/>
    <w:rsid w:val="00154E46"/>
    <w:rsid w:val="00157D3F"/>
    <w:rsid w:val="00164AD9"/>
    <w:rsid w:val="00177080"/>
    <w:rsid w:val="00197C43"/>
    <w:rsid w:val="001A04A1"/>
    <w:rsid w:val="001A1BCD"/>
    <w:rsid w:val="001A6DDA"/>
    <w:rsid w:val="001B5984"/>
    <w:rsid w:val="001C0E93"/>
    <w:rsid w:val="001C7207"/>
    <w:rsid w:val="001F5D99"/>
    <w:rsid w:val="00203701"/>
    <w:rsid w:val="00207784"/>
    <w:rsid w:val="002176A7"/>
    <w:rsid w:val="00217BF5"/>
    <w:rsid w:val="002249DB"/>
    <w:rsid w:val="002315E2"/>
    <w:rsid w:val="0026562E"/>
    <w:rsid w:val="00281638"/>
    <w:rsid w:val="002A6456"/>
    <w:rsid w:val="002B0B58"/>
    <w:rsid w:val="002B1257"/>
    <w:rsid w:val="002B2EA7"/>
    <w:rsid w:val="002C33F2"/>
    <w:rsid w:val="002D1DA5"/>
    <w:rsid w:val="002E2E50"/>
    <w:rsid w:val="00304DB2"/>
    <w:rsid w:val="00306587"/>
    <w:rsid w:val="00312EAA"/>
    <w:rsid w:val="0034256A"/>
    <w:rsid w:val="00344750"/>
    <w:rsid w:val="003545DD"/>
    <w:rsid w:val="00357C9A"/>
    <w:rsid w:val="003665F4"/>
    <w:rsid w:val="003667E0"/>
    <w:rsid w:val="00372646"/>
    <w:rsid w:val="0038304E"/>
    <w:rsid w:val="00384784"/>
    <w:rsid w:val="0039214E"/>
    <w:rsid w:val="003A4993"/>
    <w:rsid w:val="003A5B63"/>
    <w:rsid w:val="003A663D"/>
    <w:rsid w:val="003A6A8C"/>
    <w:rsid w:val="003C742F"/>
    <w:rsid w:val="003D4E67"/>
    <w:rsid w:val="003E1C37"/>
    <w:rsid w:val="003F0B62"/>
    <w:rsid w:val="003F48CE"/>
    <w:rsid w:val="003F5164"/>
    <w:rsid w:val="00400028"/>
    <w:rsid w:val="0040021B"/>
    <w:rsid w:val="004013C1"/>
    <w:rsid w:val="00404E48"/>
    <w:rsid w:val="00406F98"/>
    <w:rsid w:val="00407041"/>
    <w:rsid w:val="00410C5A"/>
    <w:rsid w:val="00417018"/>
    <w:rsid w:val="00425C0B"/>
    <w:rsid w:val="00426174"/>
    <w:rsid w:val="0043745E"/>
    <w:rsid w:val="00440993"/>
    <w:rsid w:val="004469BA"/>
    <w:rsid w:val="004478C3"/>
    <w:rsid w:val="00455988"/>
    <w:rsid w:val="004653A0"/>
    <w:rsid w:val="00481545"/>
    <w:rsid w:val="0049066A"/>
    <w:rsid w:val="00496015"/>
    <w:rsid w:val="004A7A75"/>
    <w:rsid w:val="004A7F5E"/>
    <w:rsid w:val="004B0588"/>
    <w:rsid w:val="004B250E"/>
    <w:rsid w:val="004B6EA6"/>
    <w:rsid w:val="004C2083"/>
    <w:rsid w:val="004C28CE"/>
    <w:rsid w:val="004F20DF"/>
    <w:rsid w:val="004F4199"/>
    <w:rsid w:val="004F4285"/>
    <w:rsid w:val="004F7F5B"/>
    <w:rsid w:val="00535AF7"/>
    <w:rsid w:val="00537399"/>
    <w:rsid w:val="005421B8"/>
    <w:rsid w:val="0054240B"/>
    <w:rsid w:val="00561C53"/>
    <w:rsid w:val="00566FCE"/>
    <w:rsid w:val="00567533"/>
    <w:rsid w:val="00577550"/>
    <w:rsid w:val="0058449A"/>
    <w:rsid w:val="00587C4C"/>
    <w:rsid w:val="005910CE"/>
    <w:rsid w:val="005910FF"/>
    <w:rsid w:val="00591FBD"/>
    <w:rsid w:val="005923C8"/>
    <w:rsid w:val="00592F62"/>
    <w:rsid w:val="005A1CE2"/>
    <w:rsid w:val="005A339D"/>
    <w:rsid w:val="005B2ED7"/>
    <w:rsid w:val="005C29F5"/>
    <w:rsid w:val="005D04C0"/>
    <w:rsid w:val="005D61B2"/>
    <w:rsid w:val="005E06A7"/>
    <w:rsid w:val="005F4919"/>
    <w:rsid w:val="00601AE7"/>
    <w:rsid w:val="0061786F"/>
    <w:rsid w:val="00630E8F"/>
    <w:rsid w:val="006338CE"/>
    <w:rsid w:val="0063472B"/>
    <w:rsid w:val="006366A9"/>
    <w:rsid w:val="00636ED8"/>
    <w:rsid w:val="0064094E"/>
    <w:rsid w:val="0067235C"/>
    <w:rsid w:val="006758D6"/>
    <w:rsid w:val="006947AE"/>
    <w:rsid w:val="006B10D2"/>
    <w:rsid w:val="006B1676"/>
    <w:rsid w:val="006C2F0F"/>
    <w:rsid w:val="006D2118"/>
    <w:rsid w:val="006E0D2A"/>
    <w:rsid w:val="006E1388"/>
    <w:rsid w:val="006E36CE"/>
    <w:rsid w:val="006E7154"/>
    <w:rsid w:val="006E746E"/>
    <w:rsid w:val="006F3D3D"/>
    <w:rsid w:val="006F6CC4"/>
    <w:rsid w:val="00702425"/>
    <w:rsid w:val="007033F5"/>
    <w:rsid w:val="00706CF5"/>
    <w:rsid w:val="00707BE4"/>
    <w:rsid w:val="007159A8"/>
    <w:rsid w:val="00736CEA"/>
    <w:rsid w:val="00752D36"/>
    <w:rsid w:val="00756350"/>
    <w:rsid w:val="00765DFD"/>
    <w:rsid w:val="007954FD"/>
    <w:rsid w:val="007B2CBE"/>
    <w:rsid w:val="007B3470"/>
    <w:rsid w:val="007B3661"/>
    <w:rsid w:val="007C6E75"/>
    <w:rsid w:val="007E0134"/>
    <w:rsid w:val="007E13AA"/>
    <w:rsid w:val="007E64B0"/>
    <w:rsid w:val="007F53CC"/>
    <w:rsid w:val="007F7CA5"/>
    <w:rsid w:val="00816B01"/>
    <w:rsid w:val="0081793D"/>
    <w:rsid w:val="00820B25"/>
    <w:rsid w:val="00820E83"/>
    <w:rsid w:val="00826C49"/>
    <w:rsid w:val="0082750E"/>
    <w:rsid w:val="00833468"/>
    <w:rsid w:val="00844515"/>
    <w:rsid w:val="00850A12"/>
    <w:rsid w:val="00864F80"/>
    <w:rsid w:val="00877998"/>
    <w:rsid w:val="008923A9"/>
    <w:rsid w:val="008A0B5B"/>
    <w:rsid w:val="008A102D"/>
    <w:rsid w:val="008A15F2"/>
    <w:rsid w:val="008B4B1D"/>
    <w:rsid w:val="008C2133"/>
    <w:rsid w:val="008C739B"/>
    <w:rsid w:val="008D1480"/>
    <w:rsid w:val="008D34B6"/>
    <w:rsid w:val="008D656C"/>
    <w:rsid w:val="008E22D6"/>
    <w:rsid w:val="008E22EF"/>
    <w:rsid w:val="008E25EA"/>
    <w:rsid w:val="008F268F"/>
    <w:rsid w:val="008F595E"/>
    <w:rsid w:val="009043CB"/>
    <w:rsid w:val="00906F7D"/>
    <w:rsid w:val="00907C35"/>
    <w:rsid w:val="00923292"/>
    <w:rsid w:val="00931B51"/>
    <w:rsid w:val="00934F79"/>
    <w:rsid w:val="009379D8"/>
    <w:rsid w:val="00940EA6"/>
    <w:rsid w:val="009442BD"/>
    <w:rsid w:val="0094440F"/>
    <w:rsid w:val="00950A91"/>
    <w:rsid w:val="0096353D"/>
    <w:rsid w:val="00965344"/>
    <w:rsid w:val="00971106"/>
    <w:rsid w:val="00976ACE"/>
    <w:rsid w:val="00980443"/>
    <w:rsid w:val="009B0458"/>
    <w:rsid w:val="009C5DDC"/>
    <w:rsid w:val="009C628D"/>
    <w:rsid w:val="009D1430"/>
    <w:rsid w:val="009E25C0"/>
    <w:rsid w:val="009E6D0F"/>
    <w:rsid w:val="009E7295"/>
    <w:rsid w:val="009F4808"/>
    <w:rsid w:val="00A116B2"/>
    <w:rsid w:val="00A141CA"/>
    <w:rsid w:val="00A24309"/>
    <w:rsid w:val="00A27B59"/>
    <w:rsid w:val="00A32C63"/>
    <w:rsid w:val="00A50F2C"/>
    <w:rsid w:val="00A61D40"/>
    <w:rsid w:val="00A707A9"/>
    <w:rsid w:val="00A76340"/>
    <w:rsid w:val="00A857BE"/>
    <w:rsid w:val="00A8777F"/>
    <w:rsid w:val="00A87D22"/>
    <w:rsid w:val="00A9448C"/>
    <w:rsid w:val="00A95031"/>
    <w:rsid w:val="00AA503B"/>
    <w:rsid w:val="00AA76FE"/>
    <w:rsid w:val="00AB547D"/>
    <w:rsid w:val="00AB5521"/>
    <w:rsid w:val="00AC66EB"/>
    <w:rsid w:val="00AD4DBA"/>
    <w:rsid w:val="00AF20F8"/>
    <w:rsid w:val="00B03B12"/>
    <w:rsid w:val="00B05DC0"/>
    <w:rsid w:val="00B0666D"/>
    <w:rsid w:val="00B12583"/>
    <w:rsid w:val="00B162BF"/>
    <w:rsid w:val="00B33B74"/>
    <w:rsid w:val="00B54256"/>
    <w:rsid w:val="00B67207"/>
    <w:rsid w:val="00B71736"/>
    <w:rsid w:val="00B76071"/>
    <w:rsid w:val="00B77FEC"/>
    <w:rsid w:val="00B8070E"/>
    <w:rsid w:val="00BB0802"/>
    <w:rsid w:val="00BB2096"/>
    <w:rsid w:val="00BB3A90"/>
    <w:rsid w:val="00BC058C"/>
    <w:rsid w:val="00BC186D"/>
    <w:rsid w:val="00BD21C6"/>
    <w:rsid w:val="00BE2597"/>
    <w:rsid w:val="00BE570A"/>
    <w:rsid w:val="00C06BF4"/>
    <w:rsid w:val="00C1017D"/>
    <w:rsid w:val="00C15370"/>
    <w:rsid w:val="00C24F80"/>
    <w:rsid w:val="00C27CCC"/>
    <w:rsid w:val="00C316B6"/>
    <w:rsid w:val="00C37AC3"/>
    <w:rsid w:val="00C441D1"/>
    <w:rsid w:val="00C47D0B"/>
    <w:rsid w:val="00C5313E"/>
    <w:rsid w:val="00C5620B"/>
    <w:rsid w:val="00C70B26"/>
    <w:rsid w:val="00C748C6"/>
    <w:rsid w:val="00C77E97"/>
    <w:rsid w:val="00C81020"/>
    <w:rsid w:val="00C859AA"/>
    <w:rsid w:val="00C91E90"/>
    <w:rsid w:val="00CA22FF"/>
    <w:rsid w:val="00CA7042"/>
    <w:rsid w:val="00CB259A"/>
    <w:rsid w:val="00CC014A"/>
    <w:rsid w:val="00CC1FD3"/>
    <w:rsid w:val="00CC2A1D"/>
    <w:rsid w:val="00CD0F51"/>
    <w:rsid w:val="00CD1A07"/>
    <w:rsid w:val="00CD5249"/>
    <w:rsid w:val="00CE2AF6"/>
    <w:rsid w:val="00CE4E65"/>
    <w:rsid w:val="00D15660"/>
    <w:rsid w:val="00D22EA0"/>
    <w:rsid w:val="00D409C8"/>
    <w:rsid w:val="00D43268"/>
    <w:rsid w:val="00D441DC"/>
    <w:rsid w:val="00D55CCE"/>
    <w:rsid w:val="00D63EC0"/>
    <w:rsid w:val="00D86ABA"/>
    <w:rsid w:val="00D87011"/>
    <w:rsid w:val="00D87CB2"/>
    <w:rsid w:val="00DA0A6E"/>
    <w:rsid w:val="00DA1DF1"/>
    <w:rsid w:val="00DA5815"/>
    <w:rsid w:val="00DC30C1"/>
    <w:rsid w:val="00DE3136"/>
    <w:rsid w:val="00DE7222"/>
    <w:rsid w:val="00DF0E3D"/>
    <w:rsid w:val="00DF22E5"/>
    <w:rsid w:val="00DF5C55"/>
    <w:rsid w:val="00DF5D68"/>
    <w:rsid w:val="00E10B40"/>
    <w:rsid w:val="00E14F53"/>
    <w:rsid w:val="00E25345"/>
    <w:rsid w:val="00E261B0"/>
    <w:rsid w:val="00E275C7"/>
    <w:rsid w:val="00E2761B"/>
    <w:rsid w:val="00E30D5D"/>
    <w:rsid w:val="00E3671E"/>
    <w:rsid w:val="00E626EA"/>
    <w:rsid w:val="00E76914"/>
    <w:rsid w:val="00E92FB9"/>
    <w:rsid w:val="00E93AA6"/>
    <w:rsid w:val="00E94E42"/>
    <w:rsid w:val="00E96EB7"/>
    <w:rsid w:val="00EA268A"/>
    <w:rsid w:val="00EB1645"/>
    <w:rsid w:val="00EC2A0B"/>
    <w:rsid w:val="00EC45EE"/>
    <w:rsid w:val="00EC5E19"/>
    <w:rsid w:val="00EC70F8"/>
    <w:rsid w:val="00ED01B4"/>
    <w:rsid w:val="00ED6EF4"/>
    <w:rsid w:val="00EE385D"/>
    <w:rsid w:val="00EE4DCE"/>
    <w:rsid w:val="00EF35FB"/>
    <w:rsid w:val="00EF6B7D"/>
    <w:rsid w:val="00F020D1"/>
    <w:rsid w:val="00F40137"/>
    <w:rsid w:val="00F5426E"/>
    <w:rsid w:val="00F55B8A"/>
    <w:rsid w:val="00F5667A"/>
    <w:rsid w:val="00F620EA"/>
    <w:rsid w:val="00F7391B"/>
    <w:rsid w:val="00F75326"/>
    <w:rsid w:val="00F8294C"/>
    <w:rsid w:val="00F83993"/>
    <w:rsid w:val="00F85750"/>
    <w:rsid w:val="00F864E1"/>
    <w:rsid w:val="00F87BD1"/>
    <w:rsid w:val="00FA6C91"/>
    <w:rsid w:val="00FA6D19"/>
    <w:rsid w:val="00FB5CFE"/>
    <w:rsid w:val="00FC0AF3"/>
    <w:rsid w:val="00FC587D"/>
    <w:rsid w:val="00FD35AC"/>
    <w:rsid w:val="00FD50D4"/>
    <w:rsid w:val="00FE4B15"/>
    <w:rsid w:val="00FE6C96"/>
    <w:rsid w:val="00FF2EDD"/>
    <w:rsid w:val="00FF5B1D"/>
    <w:rsid w:val="00FF7958"/>
    <w:rsid w:val="392D12AD"/>
    <w:rsid w:val="5D5E4F64"/>
    <w:rsid w:val="62150D49"/>
    <w:rsid w:val="71FF7577"/>
    <w:rsid w:val="77F7F554"/>
    <w:rsid w:val="BFEE1569"/>
    <w:rsid w:val="EEF574AC"/>
    <w:rsid w:val="FEB91662"/>
    <w:rsid w:val="FFB88E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仿宋_GB2312"/>
      <w:kern w:val="2"/>
      <w:sz w:val="28"/>
      <w:szCs w:val="28"/>
      <w:lang w:val="en-US" w:eastAsia="zh-CN" w:bidi="ar-SA"/>
    </w:rPr>
  </w:style>
  <w:style w:type="paragraph" w:styleId="2">
    <w:name w:val="heading 2"/>
    <w:basedOn w:val="1"/>
    <w:next w:val="1"/>
    <w:link w:val="13"/>
    <w:qFormat/>
    <w:uiPriority w:val="0"/>
    <w:pPr>
      <w:keepNext/>
      <w:keepLines/>
      <w:spacing w:before="260" w:after="260" w:line="416" w:lineRule="auto"/>
      <w:outlineLvl w:val="1"/>
    </w:pPr>
    <w:rPr>
      <w:rFonts w:ascii="Calibri Light" w:hAnsi="Calibri Light" w:eastAsia="Calibri Light" w:cs="Times New Roman"/>
      <w:b/>
      <w:sz w:val="32"/>
      <w:szCs w:val="32"/>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Date"/>
    <w:basedOn w:val="1"/>
    <w:next w:val="1"/>
    <w:link w:val="48"/>
    <w:semiHidden/>
    <w:unhideWhenUsed/>
    <w:uiPriority w:val="99"/>
    <w:pPr>
      <w:ind w:left="100" w:leftChars="2500"/>
    </w:pPr>
  </w:style>
  <w:style w:type="paragraph" w:styleId="4">
    <w:name w:val="Balloon Text"/>
    <w:basedOn w:val="1"/>
    <w:link w:val="46"/>
    <w:semiHidden/>
    <w:unhideWhenUsed/>
    <w:uiPriority w:val="99"/>
    <w:rPr>
      <w:sz w:val="18"/>
      <w:szCs w:val="18"/>
    </w:rPr>
  </w:style>
  <w:style w:type="paragraph" w:styleId="5">
    <w:name w:val="footer"/>
    <w:basedOn w:val="1"/>
    <w:link w:val="17"/>
    <w:unhideWhenUsed/>
    <w:uiPriority w:val="99"/>
    <w:pPr>
      <w:tabs>
        <w:tab w:val="center" w:pos="4153"/>
        <w:tab w:val="right" w:pos="8306"/>
      </w:tabs>
      <w:snapToGrid w:val="0"/>
      <w:jc w:val="left"/>
    </w:pPr>
    <w:rPr>
      <w:sz w:val="18"/>
      <w:szCs w:val="18"/>
    </w:rPr>
  </w:style>
  <w:style w:type="paragraph" w:styleId="6">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uiPriority w:val="99"/>
    <w:rPr>
      <w:sz w:val="24"/>
    </w:rPr>
  </w:style>
  <w:style w:type="table" w:styleId="9">
    <w:name w:val="Table Grid"/>
    <w:basedOn w:val="8"/>
    <w:qFormat/>
    <w:uiPriority w:val="99"/>
    <w:pPr>
      <w:widowControl w:val="0"/>
      <w:jc w:val="both"/>
    </w:pPr>
    <w:rPr>
      <w:rFonts w:ascii="Calibri" w:hAnsi="Calibri"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FollowedHyperlink"/>
    <w:semiHidden/>
    <w:unhideWhenUsed/>
    <w:uiPriority w:val="99"/>
    <w:rPr>
      <w:color w:val="800080"/>
      <w:u w:val="single"/>
    </w:rPr>
  </w:style>
  <w:style w:type="character" w:styleId="12">
    <w:name w:val="Hyperlink"/>
    <w:unhideWhenUsed/>
    <w:qFormat/>
    <w:uiPriority w:val="99"/>
    <w:rPr>
      <w:color w:val="0000FF"/>
      <w:u w:val="single"/>
    </w:rPr>
  </w:style>
  <w:style w:type="character" w:customStyle="1" w:styleId="13">
    <w:name w:val="标题 2 字符"/>
    <w:link w:val="2"/>
    <w:qFormat/>
    <w:uiPriority w:val="0"/>
    <w:rPr>
      <w:rFonts w:ascii="Calibri Light" w:hAnsi="Calibri Light" w:eastAsia="Calibri Light" w:cs="Times New Roman"/>
      <w:b/>
      <w:sz w:val="32"/>
      <w:szCs w:val="32"/>
    </w:rPr>
  </w:style>
  <w:style w:type="character" w:customStyle="1" w:styleId="14">
    <w:name w:val="标题 2字符"/>
    <w:semiHidden/>
    <w:uiPriority w:val="9"/>
    <w:rPr>
      <w:rFonts w:ascii="DengXian Light" w:hAnsi="DengXian Light" w:eastAsia="DengXian Light" w:cs="Times New Roman"/>
      <w:b/>
      <w:bCs/>
      <w:sz w:val="32"/>
      <w:szCs w:val="32"/>
    </w:rPr>
  </w:style>
  <w:style w:type="paragraph" w:styleId="15">
    <w:name w:val="List Paragraph"/>
    <w:basedOn w:val="1"/>
    <w:qFormat/>
    <w:uiPriority w:val="34"/>
    <w:pPr>
      <w:ind w:firstLine="420" w:firstLineChars="200"/>
    </w:pPr>
  </w:style>
  <w:style w:type="character" w:customStyle="1" w:styleId="16">
    <w:name w:val="页眉 字符"/>
    <w:link w:val="6"/>
    <w:uiPriority w:val="99"/>
    <w:rPr>
      <w:rFonts w:ascii="Calibri" w:hAnsi="Calibri" w:eastAsia="宋体" w:cs="仿宋_GB2312"/>
      <w:kern w:val="2"/>
      <w:sz w:val="18"/>
      <w:szCs w:val="18"/>
    </w:rPr>
  </w:style>
  <w:style w:type="character" w:customStyle="1" w:styleId="17">
    <w:name w:val="页脚 字符"/>
    <w:link w:val="5"/>
    <w:qFormat/>
    <w:uiPriority w:val="99"/>
    <w:rPr>
      <w:rFonts w:ascii="Calibri" w:hAnsi="Calibri" w:eastAsia="宋体" w:cs="仿宋_GB2312"/>
      <w:kern w:val="2"/>
      <w:sz w:val="18"/>
      <w:szCs w:val="18"/>
    </w:rPr>
  </w:style>
  <w:style w:type="paragraph" w:customStyle="1" w:styleId="18">
    <w:name w:val="font5"/>
    <w:basedOn w:val="1"/>
    <w:uiPriority w:val="0"/>
    <w:pPr>
      <w:widowControl/>
      <w:spacing w:before="100" w:beforeAutospacing="1" w:after="100" w:afterAutospacing="1"/>
      <w:jc w:val="left"/>
    </w:pPr>
    <w:rPr>
      <w:rFonts w:ascii="宋体" w:hAnsi="宋体" w:cs="宋体"/>
      <w:kern w:val="0"/>
      <w:sz w:val="18"/>
      <w:szCs w:val="18"/>
    </w:rPr>
  </w:style>
  <w:style w:type="paragraph" w:customStyle="1" w:styleId="19">
    <w:name w:val="xl63"/>
    <w:basedOn w:val="1"/>
    <w:qFormat/>
    <w:uiPriority w:val="0"/>
    <w:pPr>
      <w:widowControl/>
      <w:pBdr>
        <w:left w:val="single" w:color="auto" w:sz="4" w:space="0"/>
        <w:bottom w:val="single" w:color="auto" w:sz="4" w:space="0"/>
        <w:right w:val="single" w:color="auto" w:sz="4" w:space="0"/>
      </w:pBdr>
      <w:shd w:val="clear" w:color="000000" w:fill="AEAAAA"/>
      <w:spacing w:before="100" w:beforeAutospacing="1" w:after="100" w:afterAutospacing="1"/>
      <w:jc w:val="center"/>
    </w:pPr>
    <w:rPr>
      <w:rFonts w:ascii="仿宋" w:hAnsi="仿宋" w:eastAsia="仿宋" w:cs="宋体"/>
      <w:b/>
      <w:bCs/>
      <w:kern w:val="0"/>
      <w:sz w:val="18"/>
      <w:szCs w:val="18"/>
    </w:rPr>
  </w:style>
  <w:style w:type="paragraph" w:customStyle="1" w:styleId="20">
    <w:name w:val="xl64"/>
    <w:basedOn w:val="1"/>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21">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18"/>
      <w:szCs w:val="18"/>
    </w:rPr>
  </w:style>
  <w:style w:type="paragraph" w:customStyle="1" w:styleId="22">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18"/>
      <w:szCs w:val="18"/>
    </w:rPr>
  </w:style>
  <w:style w:type="paragraph" w:customStyle="1" w:styleId="23">
    <w:name w:val="xl6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18"/>
      <w:szCs w:val="18"/>
    </w:rPr>
  </w:style>
  <w:style w:type="paragraph" w:customStyle="1" w:styleId="24">
    <w:name w:val="xl6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top"/>
    </w:pPr>
    <w:rPr>
      <w:rFonts w:ascii="仿宋" w:hAnsi="仿宋" w:eastAsia="仿宋" w:cs="宋体"/>
      <w:kern w:val="0"/>
      <w:sz w:val="18"/>
      <w:szCs w:val="18"/>
    </w:rPr>
  </w:style>
  <w:style w:type="paragraph" w:customStyle="1" w:styleId="25">
    <w:name w:val="xl6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26">
    <w:name w:val="xl7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16"/>
      <w:szCs w:val="16"/>
    </w:rPr>
  </w:style>
  <w:style w:type="paragraph" w:customStyle="1" w:styleId="27">
    <w:name w:val="xl7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28">
    <w:name w:val="xl7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29">
    <w:name w:val="xl7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1">
    <w:name w:val="xl7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18"/>
      <w:szCs w:val="18"/>
    </w:rPr>
  </w:style>
  <w:style w:type="paragraph" w:customStyle="1" w:styleId="32">
    <w:name w:val="xl7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18"/>
      <w:szCs w:val="18"/>
    </w:rPr>
  </w:style>
  <w:style w:type="paragraph" w:customStyle="1" w:styleId="33">
    <w:name w:val="xl7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DengXian" w:hAnsi="DengXian" w:eastAsia="DengXian" w:cs="宋体"/>
      <w:kern w:val="0"/>
      <w:sz w:val="24"/>
      <w:szCs w:val="24"/>
    </w:rPr>
  </w:style>
  <w:style w:type="paragraph" w:customStyle="1" w:styleId="34">
    <w:name w:val="xl7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5">
    <w:name w:val="xl79"/>
    <w:basedOn w:val="1"/>
    <w:uiPriority w:val="0"/>
    <w:pPr>
      <w:widowControl/>
      <w:pBdr>
        <w:bottom w:val="single" w:color="auto" w:sz="4" w:space="0"/>
        <w:right w:val="single" w:color="auto" w:sz="4" w:space="0"/>
      </w:pBdr>
      <w:shd w:val="clear" w:color="000000" w:fill="AEAAAA"/>
      <w:spacing w:before="100" w:beforeAutospacing="1" w:after="100" w:afterAutospacing="1"/>
      <w:jc w:val="left"/>
    </w:pPr>
    <w:rPr>
      <w:rFonts w:ascii="仿宋" w:hAnsi="仿宋" w:eastAsia="仿宋" w:cs="宋体"/>
      <w:b/>
      <w:bCs/>
      <w:kern w:val="0"/>
      <w:sz w:val="18"/>
      <w:szCs w:val="18"/>
    </w:rPr>
  </w:style>
  <w:style w:type="paragraph" w:customStyle="1" w:styleId="36">
    <w:name w:val="xl80"/>
    <w:basedOn w:val="1"/>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18"/>
      <w:szCs w:val="18"/>
    </w:rPr>
  </w:style>
  <w:style w:type="paragraph" w:customStyle="1" w:styleId="37">
    <w:name w:val="xl81"/>
    <w:basedOn w:val="1"/>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仿宋" w:hAnsi="仿宋" w:eastAsia="仿宋" w:cs="宋体"/>
      <w:kern w:val="0"/>
      <w:sz w:val="18"/>
      <w:szCs w:val="18"/>
    </w:rPr>
  </w:style>
  <w:style w:type="paragraph" w:customStyle="1" w:styleId="38">
    <w:name w:val="xl82"/>
    <w:basedOn w:val="1"/>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9">
    <w:name w:val="xl83"/>
    <w:basedOn w:val="1"/>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仿宋" w:hAnsi="仿宋" w:eastAsia="仿宋" w:cs="宋体"/>
      <w:kern w:val="0"/>
      <w:sz w:val="18"/>
      <w:szCs w:val="18"/>
    </w:rPr>
  </w:style>
  <w:style w:type="paragraph" w:customStyle="1" w:styleId="40">
    <w:name w:val="xl84"/>
    <w:basedOn w:val="1"/>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仿宋" w:hAnsi="仿宋" w:eastAsia="仿宋" w:cs="宋体"/>
      <w:kern w:val="0"/>
      <w:sz w:val="18"/>
      <w:szCs w:val="18"/>
    </w:rPr>
  </w:style>
  <w:style w:type="paragraph" w:customStyle="1" w:styleId="41">
    <w:name w:val="xl85"/>
    <w:basedOn w:val="1"/>
    <w:uiPriority w:val="0"/>
    <w:pPr>
      <w:widowControl/>
      <w:pBdr>
        <w:top w:val="single" w:color="auto" w:sz="4" w:space="0"/>
        <w:right w:val="single" w:color="auto" w:sz="4" w:space="0"/>
      </w:pBdr>
      <w:spacing w:before="100" w:beforeAutospacing="1" w:after="100" w:afterAutospacing="1"/>
      <w:jc w:val="left"/>
    </w:pPr>
    <w:rPr>
      <w:rFonts w:ascii="仿宋" w:hAnsi="仿宋" w:eastAsia="仿宋" w:cs="宋体"/>
      <w:kern w:val="0"/>
      <w:sz w:val="18"/>
      <w:szCs w:val="18"/>
    </w:rPr>
  </w:style>
  <w:style w:type="paragraph" w:customStyle="1" w:styleId="42">
    <w:name w:val="xl86"/>
    <w:basedOn w:val="1"/>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仿宋" w:hAnsi="仿宋" w:eastAsia="仿宋" w:cs="宋体"/>
      <w:kern w:val="0"/>
      <w:sz w:val="18"/>
      <w:szCs w:val="18"/>
    </w:rPr>
  </w:style>
  <w:style w:type="paragraph" w:customStyle="1" w:styleId="43">
    <w:name w:val="xl87"/>
    <w:basedOn w:val="1"/>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仿宋" w:hAnsi="仿宋" w:eastAsia="仿宋" w:cs="宋体"/>
      <w:kern w:val="0"/>
      <w:sz w:val="18"/>
      <w:szCs w:val="18"/>
    </w:rPr>
  </w:style>
  <w:style w:type="paragraph" w:customStyle="1" w:styleId="44">
    <w:name w:val="Default"/>
    <w:uiPriority w:val="0"/>
    <w:pPr>
      <w:widowControl w:val="0"/>
      <w:autoSpaceDE w:val="0"/>
      <w:autoSpaceDN w:val="0"/>
      <w:adjustRightInd w:val="0"/>
    </w:pPr>
    <w:rPr>
      <w:rFonts w:ascii="华文中宋" w:hAnsi="DengXian" w:eastAsia="华文中宋" w:cs="华文中宋"/>
      <w:color w:val="000000"/>
      <w:sz w:val="24"/>
      <w:szCs w:val="24"/>
      <w:lang w:val="en-US" w:eastAsia="zh-CN" w:bidi="ar-SA"/>
    </w:rPr>
  </w:style>
  <w:style w:type="character" w:customStyle="1" w:styleId="45">
    <w:name w:val="未处理的提及1"/>
    <w:semiHidden/>
    <w:unhideWhenUsed/>
    <w:uiPriority w:val="99"/>
    <w:rPr>
      <w:color w:val="605E5C"/>
      <w:shd w:val="clear" w:color="auto" w:fill="E1DFDD"/>
    </w:rPr>
  </w:style>
  <w:style w:type="character" w:customStyle="1" w:styleId="46">
    <w:name w:val="批注框文本 字符"/>
    <w:link w:val="4"/>
    <w:semiHidden/>
    <w:uiPriority w:val="99"/>
    <w:rPr>
      <w:rFonts w:ascii="Calibri" w:hAnsi="Calibri" w:eastAsia="宋体" w:cs="仿宋_GB2312"/>
      <w:kern w:val="2"/>
      <w:sz w:val="18"/>
      <w:szCs w:val="18"/>
    </w:rPr>
  </w:style>
  <w:style w:type="paragraph" w:customStyle="1" w:styleId="47">
    <w:name w:val="修订1"/>
    <w:hidden/>
    <w:unhideWhenUsed/>
    <w:uiPriority w:val="99"/>
    <w:rPr>
      <w:rFonts w:ascii="Calibri" w:hAnsi="Calibri" w:eastAsia="宋体" w:cs="仿宋_GB2312"/>
      <w:kern w:val="2"/>
      <w:sz w:val="28"/>
      <w:szCs w:val="28"/>
      <w:lang w:val="en-US" w:eastAsia="zh-CN" w:bidi="ar-SA"/>
    </w:rPr>
  </w:style>
  <w:style w:type="character" w:customStyle="1" w:styleId="48">
    <w:name w:val="日期 字符"/>
    <w:basedOn w:val="10"/>
    <w:link w:val="3"/>
    <w:semiHidden/>
    <w:uiPriority w:val="99"/>
    <w:rPr>
      <w:rFonts w:ascii="Calibri" w:hAnsi="Calibri" w:eastAsia="宋体" w:cs="仿宋_GB2312"/>
      <w:kern w:val="2"/>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215</Words>
  <Characters>1232</Characters>
  <Lines>10</Lines>
  <Paragraphs>2</Paragraphs>
  <TotalTime>20</TotalTime>
  <ScaleCrop>false</ScaleCrop>
  <LinksUpToDate>false</LinksUpToDate>
  <CharactersWithSpaces>1445</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2022-10-21T03:33:00Z</dcterms:created>
  <dc:creator>谢天</dc:creator>
  <cp:lastModifiedBy>CDUT</cp:lastModifiedBy>
  <cp:lastPrinted>2022-10-21T03:30:00Z</cp:lastPrinted>
  <dcterms:modified xsi:type="dcterms:W3CDTF">2025-01-23T08:34:27Z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C3C3A552C68F927E938E91671D9A48FD_43</vt:lpwstr>
  </property>
</Properties>
</file>