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405FCB">
      <w:pPr>
        <w:adjustRightInd w:val="0"/>
        <w:snapToGrid w:val="0"/>
        <w:spacing w:before="156" w:beforeLines="50" w:line="460" w:lineRule="exact"/>
        <w:jc w:val="center"/>
        <w:rPr>
          <w:rFonts w:ascii="仿宋" w:hAnsi="仿宋" w:eastAsia="仿宋" w:cs="仿宋"/>
          <w:sz w:val="28"/>
          <w:szCs w:val="28"/>
        </w:rPr>
      </w:pPr>
      <w:r>
        <w:rPr>
          <w:rFonts w:hint="eastAsia" w:ascii="仿宋" w:hAnsi="仿宋" w:eastAsia="仿宋" w:cs="仿宋"/>
          <w:b/>
          <w:bCs/>
          <w:sz w:val="40"/>
          <w:szCs w:val="40"/>
        </w:rPr>
        <w:t>重整投资协议</w:t>
      </w:r>
    </w:p>
    <w:p w14:paraId="49A7A8E4">
      <w:pPr>
        <w:adjustRightInd w:val="0"/>
        <w:snapToGrid w:val="0"/>
        <w:spacing w:before="156" w:beforeLines="50" w:line="460" w:lineRule="exact"/>
        <w:ind w:firstLine="560" w:firstLineChars="200"/>
        <w:rPr>
          <w:rFonts w:ascii="仿宋" w:hAnsi="仿宋" w:eastAsia="仿宋" w:cs="仿宋"/>
          <w:sz w:val="28"/>
          <w:szCs w:val="28"/>
        </w:rPr>
      </w:pPr>
    </w:p>
    <w:p w14:paraId="6938D0E5">
      <w:pPr>
        <w:adjustRightInd w:val="0"/>
        <w:snapToGrid w:val="0"/>
        <w:spacing w:before="156" w:beforeLines="50" w:line="460" w:lineRule="exact"/>
        <w:ind w:firstLine="560" w:firstLineChars="200"/>
        <w:rPr>
          <w:rFonts w:ascii="仿宋" w:hAnsi="仿宋" w:eastAsia="仿宋" w:cs="仿宋"/>
          <w:sz w:val="28"/>
          <w:szCs w:val="28"/>
        </w:rPr>
      </w:pPr>
      <w:r>
        <w:rPr>
          <w:rFonts w:hint="eastAsia" w:ascii="仿宋" w:hAnsi="仿宋" w:eastAsia="仿宋" w:cs="仿宋"/>
          <w:sz w:val="28"/>
          <w:szCs w:val="28"/>
        </w:rPr>
        <w:t>本协议由以下各方于202</w:t>
      </w:r>
      <w:r>
        <w:rPr>
          <w:rFonts w:hint="eastAsia" w:ascii="仿宋" w:hAnsi="仿宋" w:eastAsia="仿宋" w:cs="仿宋"/>
          <w:sz w:val="28"/>
          <w:szCs w:val="28"/>
          <w:lang w:val="en-US" w:eastAsia="zh-CN"/>
        </w:rPr>
        <w:t>4</w:t>
      </w:r>
      <w:r>
        <w:rPr>
          <w:rFonts w:hint="eastAsia" w:ascii="仿宋" w:hAnsi="仿宋" w:eastAsia="仿宋" w:cs="仿宋"/>
          <w:sz w:val="28"/>
          <w:szCs w:val="28"/>
        </w:rPr>
        <w:t>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】日在山东省</w:t>
      </w:r>
      <w:r>
        <w:rPr>
          <w:rFonts w:hint="eastAsia" w:ascii="仿宋" w:hAnsi="仿宋" w:eastAsia="仿宋" w:cs="仿宋"/>
          <w:sz w:val="28"/>
          <w:szCs w:val="28"/>
          <w:lang w:val="en-US" w:eastAsia="zh-CN"/>
        </w:rPr>
        <w:t>潍坊市</w:t>
      </w:r>
      <w:r>
        <w:rPr>
          <w:rFonts w:hint="eastAsia" w:ascii="仿宋" w:hAnsi="仿宋" w:eastAsia="仿宋" w:cs="仿宋"/>
          <w:sz w:val="28"/>
          <w:szCs w:val="28"/>
        </w:rPr>
        <w:t>签订：</w:t>
      </w:r>
    </w:p>
    <w:p w14:paraId="43B2D0C2">
      <w:pPr>
        <w:adjustRightInd w:val="0"/>
        <w:snapToGrid w:val="0"/>
        <w:spacing w:before="156" w:beforeLines="50" w:line="460" w:lineRule="exact"/>
        <w:ind w:firstLine="560" w:firstLineChars="200"/>
        <w:rPr>
          <w:rFonts w:hint="eastAsia" w:ascii="仿宋" w:hAnsi="仿宋" w:eastAsia="仿宋" w:cs="仿宋"/>
          <w:sz w:val="28"/>
          <w:szCs w:val="28"/>
          <w:lang w:eastAsia="zh-Hans"/>
        </w:rPr>
      </w:pPr>
      <w:r>
        <w:rPr>
          <w:rFonts w:hint="eastAsia" w:ascii="仿宋" w:hAnsi="仿宋" w:eastAsia="仿宋" w:cs="仿宋"/>
          <w:sz w:val="28"/>
          <w:szCs w:val="28"/>
        </w:rPr>
        <w:t xml:space="preserve">甲方: </w:t>
      </w:r>
      <w:r>
        <w:rPr>
          <w:rFonts w:hint="eastAsia" w:ascii="仿宋" w:hAnsi="仿宋" w:eastAsia="仿宋" w:cs="仿宋"/>
          <w:sz w:val="28"/>
          <w:szCs w:val="28"/>
          <w:u w:val="double"/>
          <w:lang w:val="en-US" w:eastAsia="zh-CN"/>
        </w:rPr>
        <w:t xml:space="preserve">                      </w:t>
      </w:r>
      <w:r>
        <w:rPr>
          <w:rFonts w:hint="eastAsia" w:ascii="仿宋" w:hAnsi="仿宋" w:eastAsia="仿宋" w:cs="仿宋"/>
          <w:sz w:val="28"/>
          <w:szCs w:val="28"/>
          <w:lang w:eastAsia="zh-Hans"/>
        </w:rPr>
        <w:t>管理人</w:t>
      </w:r>
    </w:p>
    <w:p w14:paraId="7CC7ED62">
      <w:pPr>
        <w:adjustRightInd w:val="0"/>
        <w:snapToGrid w:val="0"/>
        <w:spacing w:before="156" w:beforeLines="50" w:line="460" w:lineRule="exact"/>
        <w:ind w:firstLine="1400" w:firstLineChars="500"/>
        <w:rPr>
          <w:rFonts w:hint="default" w:ascii="仿宋" w:hAnsi="仿宋" w:eastAsia="仿宋" w:cs="仿宋"/>
          <w:sz w:val="28"/>
          <w:szCs w:val="28"/>
          <w:lang w:val="en-US" w:eastAsia="zh-Hans"/>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公司</w:t>
      </w:r>
    </w:p>
    <w:p w14:paraId="78E778D1">
      <w:pPr>
        <w:adjustRightInd w:val="0"/>
        <w:snapToGrid w:val="0"/>
        <w:spacing w:before="156" w:beforeLines="50" w:line="460" w:lineRule="exact"/>
        <w:ind w:firstLine="560" w:firstLineChars="200"/>
        <w:rPr>
          <w:rFonts w:ascii="仿宋" w:hAnsi="仿宋" w:eastAsia="仿宋" w:cs="仿宋"/>
          <w:sz w:val="28"/>
          <w:szCs w:val="28"/>
        </w:rPr>
      </w:pPr>
      <w:r>
        <w:rPr>
          <w:rFonts w:hint="eastAsia" w:ascii="仿宋" w:hAnsi="仿宋" w:eastAsia="仿宋" w:cs="仿宋"/>
          <w:sz w:val="28"/>
          <w:szCs w:val="28"/>
        </w:rPr>
        <w:t>乙方：</w:t>
      </w:r>
    </w:p>
    <w:p w14:paraId="6312E0D6">
      <w:pPr>
        <w:adjustRightInd w:val="0"/>
        <w:snapToGrid w:val="0"/>
        <w:spacing w:before="156" w:beforeLines="50" w:line="460" w:lineRule="exact"/>
        <w:ind w:firstLine="560" w:firstLineChars="200"/>
        <w:rPr>
          <w:rFonts w:ascii="仿宋" w:hAnsi="仿宋" w:eastAsia="仿宋" w:cs="仿宋"/>
          <w:sz w:val="28"/>
          <w:szCs w:val="28"/>
        </w:rPr>
      </w:pPr>
    </w:p>
    <w:p w14:paraId="24EDE874">
      <w:pPr>
        <w:adjustRightInd w:val="0"/>
        <w:snapToGrid w:val="0"/>
        <w:spacing w:before="156" w:beforeLines="50"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鉴于：</w:t>
      </w:r>
      <w:r>
        <w:rPr>
          <w:rFonts w:hint="eastAsia" w:ascii="仿宋" w:hAnsi="仿宋" w:eastAsia="仿宋" w:cs="仿宋"/>
          <w:sz w:val="28"/>
          <w:szCs w:val="28"/>
          <w:lang w:val="en-US" w:eastAsia="zh-CN"/>
        </w:rPr>
        <w:t>潍坊市滨海经济技术开发区人民法院</w:t>
      </w:r>
      <w:r>
        <w:rPr>
          <w:rFonts w:hint="eastAsia" w:ascii="仿宋" w:hAnsi="仿宋" w:eastAsia="仿宋" w:cs="仿宋"/>
          <w:color w:val="auto"/>
          <w:sz w:val="28"/>
          <w:szCs w:val="28"/>
          <w:lang w:val="en-US" w:eastAsia="zh-Hans"/>
        </w:rPr>
        <w:t>裁定</w:t>
      </w:r>
      <w:r>
        <w:rPr>
          <w:rFonts w:hint="eastAsia" w:ascii="仿宋" w:hAnsi="仿宋" w:eastAsia="仿宋" w:cs="仿宋"/>
          <w:color w:val="auto"/>
          <w:sz w:val="28"/>
          <w:szCs w:val="28"/>
          <w:lang w:val="en-US" w:eastAsia="zh-CN"/>
        </w:rPr>
        <w:t>受理与</w:t>
      </w:r>
      <w:r>
        <w:rPr>
          <w:rFonts w:hint="eastAsia" w:ascii="仿宋" w:hAnsi="仿宋" w:eastAsia="仿宋" w:cs="仿宋"/>
          <w:color w:val="auto"/>
          <w:sz w:val="28"/>
          <w:szCs w:val="28"/>
          <w:lang w:val="en-US" w:eastAsia="zh-Hans"/>
        </w:rPr>
        <w:t>潍坊联兴</w:t>
      </w:r>
      <w:r>
        <w:rPr>
          <w:rFonts w:hint="eastAsia" w:ascii="仿宋" w:hAnsi="仿宋" w:eastAsia="仿宋" w:cs="仿宋"/>
          <w:color w:val="auto"/>
          <w:sz w:val="28"/>
          <w:szCs w:val="28"/>
          <w:lang w:val="en-US" w:eastAsia="zh-CN"/>
        </w:rPr>
        <w:t>新材料</w:t>
      </w:r>
      <w:r>
        <w:rPr>
          <w:rFonts w:hint="eastAsia" w:ascii="仿宋" w:hAnsi="仿宋" w:eastAsia="仿宋" w:cs="仿宋"/>
          <w:color w:val="auto"/>
          <w:sz w:val="28"/>
          <w:szCs w:val="28"/>
          <w:lang w:val="en-US" w:eastAsia="zh-Hans"/>
        </w:rPr>
        <w:t>科技股份有限公司</w:t>
      </w:r>
      <w:r>
        <w:rPr>
          <w:rFonts w:hint="eastAsia" w:ascii="仿宋" w:hAnsi="仿宋" w:eastAsia="仿宋" w:cs="仿宋"/>
          <w:color w:val="auto"/>
          <w:sz w:val="28"/>
          <w:szCs w:val="28"/>
          <w:lang w:val="en-US" w:eastAsia="zh-CN"/>
        </w:rPr>
        <w:t>、</w:t>
      </w:r>
      <w:r>
        <w:rPr>
          <w:rFonts w:hint="eastAsia" w:ascii="仿宋" w:hAnsi="仿宋" w:eastAsia="仿宋" w:cs="仿宋"/>
          <w:color w:val="auto"/>
          <w:sz w:val="28"/>
          <w:szCs w:val="28"/>
          <w:lang w:val="en-US" w:eastAsia="zh-Hans"/>
        </w:rPr>
        <w:t>山东联兴石油焦市场有限公司</w:t>
      </w:r>
      <w:r>
        <w:rPr>
          <w:rFonts w:hint="default" w:ascii="仿宋" w:hAnsi="仿宋" w:eastAsia="仿宋" w:cs="仿宋"/>
          <w:color w:val="auto"/>
          <w:sz w:val="28"/>
          <w:szCs w:val="28"/>
          <w:lang w:val="en-US" w:eastAsia="zh-Hans"/>
        </w:rPr>
        <w:t>、</w:t>
      </w:r>
      <w:r>
        <w:rPr>
          <w:rFonts w:hint="eastAsia" w:ascii="仿宋" w:hAnsi="仿宋" w:eastAsia="仿宋" w:cs="仿宋"/>
          <w:color w:val="auto"/>
          <w:sz w:val="28"/>
          <w:szCs w:val="28"/>
          <w:lang w:val="en-US" w:eastAsia="zh-Hans"/>
        </w:rPr>
        <w:t>青海和兴炭素有限公司、潍坊邦信检测有限公司、潍坊恒通热力股份有限公司、潍坊正奥电气自控有限公</w:t>
      </w:r>
      <w:r>
        <w:rPr>
          <w:rFonts w:hint="eastAsia" w:ascii="仿宋" w:hAnsi="仿宋" w:eastAsia="仿宋" w:cs="仿宋"/>
          <w:color w:val="auto"/>
          <w:sz w:val="28"/>
          <w:szCs w:val="28"/>
          <w:lang w:val="en-US" w:eastAsia="zh-CN"/>
        </w:rPr>
        <w:t>司实质合并破产重整，</w:t>
      </w:r>
      <w:r>
        <w:rPr>
          <w:rFonts w:hint="eastAsia" w:ascii="仿宋" w:hAnsi="仿宋" w:eastAsia="仿宋" w:cs="仿宋"/>
          <w:sz w:val="28"/>
          <w:szCs w:val="28"/>
        </w:rPr>
        <w:t>经投资人公开招募流程，乙方自愿作为</w:t>
      </w:r>
      <w:r>
        <w:rPr>
          <w:rFonts w:hint="eastAsia" w:ascii="仿宋" w:hAnsi="仿宋" w:eastAsia="仿宋" w:cs="仿宋"/>
          <w:sz w:val="28"/>
          <w:szCs w:val="28"/>
          <w:u w:val="double"/>
          <w:lang w:val="en-US" w:eastAsia="zh-CN"/>
        </w:rPr>
        <w:t xml:space="preserve">          </w:t>
      </w:r>
      <w:r>
        <w:rPr>
          <w:rFonts w:hint="eastAsia" w:ascii="仿宋" w:hAnsi="仿宋" w:eastAsia="仿宋" w:cs="仿宋"/>
          <w:sz w:val="28"/>
          <w:szCs w:val="28"/>
          <w:u w:val="none"/>
          <w:lang w:val="en-US" w:eastAsia="zh-CN"/>
        </w:rPr>
        <w:t>公司（以下简称“目标公司”）</w:t>
      </w:r>
      <w:r>
        <w:rPr>
          <w:rFonts w:hint="eastAsia" w:ascii="仿宋" w:hAnsi="仿宋" w:eastAsia="仿宋" w:cs="仿宋"/>
          <w:sz w:val="28"/>
          <w:szCs w:val="28"/>
        </w:rPr>
        <w:t>重整投资人，支付重整</w:t>
      </w:r>
      <w:r>
        <w:rPr>
          <w:rFonts w:hint="eastAsia" w:ascii="仿宋" w:hAnsi="仿宋" w:eastAsia="仿宋" w:cs="仿宋"/>
          <w:sz w:val="28"/>
          <w:szCs w:val="28"/>
          <w:lang w:val="en-US" w:eastAsia="zh-CN"/>
        </w:rPr>
        <w:t>投资</w:t>
      </w:r>
      <w:r>
        <w:rPr>
          <w:rFonts w:hint="eastAsia" w:ascii="仿宋" w:hAnsi="仿宋" w:eastAsia="仿宋" w:cs="仿宋"/>
          <w:sz w:val="28"/>
          <w:szCs w:val="28"/>
        </w:rPr>
        <w:t>款，向债权人清偿债务，以取得</w:t>
      </w:r>
      <w:r>
        <w:rPr>
          <w:rFonts w:hint="eastAsia" w:ascii="仿宋" w:hAnsi="仿宋" w:eastAsia="仿宋" w:cs="仿宋"/>
          <w:sz w:val="28"/>
          <w:szCs w:val="28"/>
          <w:lang w:val="en-US" w:eastAsia="zh-CN"/>
        </w:rPr>
        <w:t>目标</w:t>
      </w:r>
      <w:r>
        <w:rPr>
          <w:rFonts w:hint="eastAsia" w:ascii="仿宋" w:hAnsi="仿宋" w:eastAsia="仿宋" w:cs="仿宋"/>
          <w:sz w:val="28"/>
          <w:szCs w:val="28"/>
          <w:u w:val="none"/>
          <w:lang w:val="en-US" w:eastAsia="zh-CN"/>
        </w:rPr>
        <w:t>公司</w:t>
      </w:r>
      <w:r>
        <w:rPr>
          <w:rFonts w:hint="eastAsia" w:ascii="仿宋" w:hAnsi="仿宋" w:eastAsia="仿宋" w:cs="仿宋"/>
          <w:sz w:val="28"/>
          <w:szCs w:val="28"/>
        </w:rPr>
        <w:t>股权及对应的资产及资质。</w:t>
      </w:r>
    </w:p>
    <w:p w14:paraId="664855C5">
      <w:pPr>
        <w:adjustRightInd w:val="0"/>
        <w:snapToGrid w:val="0"/>
        <w:spacing w:before="156" w:beforeLines="50" w:line="460" w:lineRule="exact"/>
        <w:ind w:firstLine="560" w:firstLineChars="200"/>
        <w:rPr>
          <w:rFonts w:ascii="仿宋" w:hAnsi="仿宋" w:eastAsia="仿宋" w:cs="仿宋"/>
          <w:sz w:val="28"/>
          <w:szCs w:val="28"/>
        </w:rPr>
      </w:pPr>
      <w:r>
        <w:rPr>
          <w:rFonts w:hint="eastAsia" w:ascii="仿宋" w:hAnsi="仿宋" w:eastAsia="仿宋" w:cs="仿宋"/>
          <w:sz w:val="28"/>
          <w:szCs w:val="28"/>
        </w:rPr>
        <w:t>甲乙双方根据相关法律法规，达成如下协议：</w:t>
      </w:r>
    </w:p>
    <w:p w14:paraId="000F5337">
      <w:pPr>
        <w:adjustRightInd w:val="0"/>
        <w:snapToGrid w:val="0"/>
        <w:spacing w:before="156" w:beforeLines="50" w:line="460" w:lineRule="exact"/>
        <w:ind w:firstLine="560" w:firstLineChars="200"/>
        <w:rPr>
          <w:rFonts w:ascii="仿宋" w:hAnsi="仿宋" w:eastAsia="仿宋" w:cs="仿宋"/>
          <w:sz w:val="28"/>
          <w:szCs w:val="28"/>
        </w:rPr>
      </w:pPr>
      <w:r>
        <w:rPr>
          <w:rFonts w:hint="eastAsia" w:ascii="仿宋" w:hAnsi="仿宋" w:eastAsia="仿宋" w:cs="仿宋"/>
          <w:sz w:val="28"/>
          <w:szCs w:val="28"/>
        </w:rPr>
        <w:t>第一条 资产范围</w:t>
      </w:r>
    </w:p>
    <w:p w14:paraId="66F826FE">
      <w:pPr>
        <w:adjustRightInd w:val="0"/>
        <w:snapToGrid w:val="0"/>
        <w:spacing w:before="156" w:beforeLines="50" w:line="460" w:lineRule="exact"/>
        <w:ind w:firstLine="560" w:firstLineChars="200"/>
        <w:rPr>
          <w:rFonts w:ascii="仿宋" w:hAnsi="仿宋" w:eastAsia="仿宋" w:cs="仿宋"/>
          <w:sz w:val="28"/>
          <w:szCs w:val="28"/>
        </w:rPr>
      </w:pPr>
      <w:r>
        <w:rPr>
          <w:rFonts w:hint="eastAsia" w:ascii="仿宋" w:hAnsi="仿宋" w:eastAsia="仿宋" w:cs="仿宋"/>
          <w:sz w:val="28"/>
          <w:szCs w:val="28"/>
        </w:rPr>
        <w:t>重整资产标的为</w:t>
      </w:r>
      <w:r>
        <w:rPr>
          <w:rFonts w:hint="eastAsia" w:ascii="仿宋" w:hAnsi="仿宋" w:eastAsia="仿宋" w:cs="仿宋"/>
          <w:sz w:val="28"/>
          <w:szCs w:val="28"/>
          <w:lang w:val="en-US" w:eastAsia="zh-CN"/>
        </w:rPr>
        <w:t>目标公司</w:t>
      </w:r>
      <w:r>
        <w:rPr>
          <w:rFonts w:hint="eastAsia" w:ascii="仿宋" w:hAnsi="仿宋" w:eastAsia="仿宋" w:cs="仿宋"/>
          <w:sz w:val="28"/>
          <w:szCs w:val="28"/>
        </w:rPr>
        <w:t>股权，对应的资产范围为</w:t>
      </w:r>
      <w:r>
        <w:rPr>
          <w:rFonts w:hint="eastAsia" w:ascii="仿宋" w:hAnsi="仿宋" w:eastAsia="仿宋" w:cs="仿宋"/>
          <w:sz w:val="28"/>
          <w:szCs w:val="28"/>
          <w:u w:val="none"/>
          <w:lang w:val="en-US" w:eastAsia="zh-CN"/>
        </w:rPr>
        <w:t>目标公司</w:t>
      </w:r>
      <w:r>
        <w:rPr>
          <w:rFonts w:hint="eastAsia" w:ascii="仿宋" w:hAnsi="仿宋" w:eastAsia="仿宋" w:cs="仿宋"/>
          <w:sz w:val="28"/>
          <w:szCs w:val="28"/>
        </w:rPr>
        <w:t>固定资产（含房屋建筑物、构筑物机器设备、车辆、电子设备等）、无形资产（含土地使用权、</w:t>
      </w:r>
      <w:r>
        <w:rPr>
          <w:rFonts w:hint="eastAsia" w:ascii="仿宋" w:hAnsi="仿宋" w:eastAsia="仿宋" w:cs="仿宋"/>
          <w:sz w:val="28"/>
          <w:szCs w:val="28"/>
          <w:lang w:val="en-US" w:eastAsia="zh-CN"/>
        </w:rPr>
        <w:t>知识产权</w:t>
      </w:r>
      <w:r>
        <w:rPr>
          <w:rFonts w:hint="eastAsia" w:ascii="仿宋" w:hAnsi="仿宋" w:eastAsia="仿宋" w:cs="仿宋"/>
          <w:sz w:val="28"/>
          <w:szCs w:val="28"/>
        </w:rPr>
        <w:t>等），具体详见附件1资产清单。</w:t>
      </w:r>
    </w:p>
    <w:p w14:paraId="58FCB916">
      <w:pPr>
        <w:adjustRightInd w:val="0"/>
        <w:snapToGrid w:val="0"/>
        <w:spacing w:before="156" w:beforeLines="50" w:line="460" w:lineRule="exact"/>
        <w:ind w:firstLine="560" w:firstLineChars="200"/>
        <w:rPr>
          <w:rFonts w:ascii="仿宋" w:hAnsi="仿宋" w:eastAsia="仿宋" w:cs="仿宋"/>
          <w:sz w:val="28"/>
          <w:szCs w:val="28"/>
        </w:rPr>
      </w:pPr>
      <w:r>
        <w:rPr>
          <w:rFonts w:hint="eastAsia" w:ascii="仿宋" w:hAnsi="仿宋" w:eastAsia="仿宋" w:cs="仿宋"/>
          <w:sz w:val="28"/>
          <w:szCs w:val="28"/>
        </w:rPr>
        <w:t>上述资产</w:t>
      </w:r>
      <w:r>
        <w:rPr>
          <w:rFonts w:hint="eastAsia" w:ascii="仿宋" w:hAnsi="仿宋" w:eastAsia="仿宋" w:cs="仿宋"/>
          <w:sz w:val="28"/>
          <w:szCs w:val="28"/>
          <w:lang w:val="en-US" w:eastAsia="zh-CN"/>
        </w:rPr>
        <w:t>标的</w:t>
      </w:r>
      <w:r>
        <w:rPr>
          <w:rFonts w:hint="eastAsia" w:ascii="仿宋" w:hAnsi="仿宋" w:eastAsia="仿宋" w:cs="仿宋"/>
          <w:sz w:val="28"/>
          <w:szCs w:val="28"/>
        </w:rPr>
        <w:t>不包括</w:t>
      </w:r>
      <w:r>
        <w:rPr>
          <w:rFonts w:hint="eastAsia" w:ascii="仿宋" w:hAnsi="仿宋" w:eastAsia="仿宋" w:cs="仿宋"/>
          <w:sz w:val="28"/>
          <w:szCs w:val="28"/>
          <w:lang w:val="en-US" w:eastAsia="zh-CN"/>
        </w:rPr>
        <w:t>目标公司货币资金、</w:t>
      </w:r>
      <w:r>
        <w:rPr>
          <w:rFonts w:hint="eastAsia" w:ascii="仿宋" w:hAnsi="仿宋" w:eastAsia="仿宋" w:cs="仿宋"/>
          <w:sz w:val="28"/>
          <w:szCs w:val="28"/>
        </w:rPr>
        <w:t>管理人已经清收的应收账款及管理人账户资金，流动性及非流动性资产均按照交接日现状交接，资产评估基准日至</w:t>
      </w:r>
      <w:r>
        <w:rPr>
          <w:rFonts w:hint="eastAsia" w:ascii="仿宋" w:hAnsi="仿宋" w:eastAsia="仿宋" w:cs="仿宋"/>
          <w:sz w:val="28"/>
          <w:szCs w:val="28"/>
          <w:lang w:val="en-US" w:eastAsia="zh-CN"/>
        </w:rPr>
        <w:t>重整计划表决通过或法院裁定批准期间的经营收益</w:t>
      </w:r>
      <w:r>
        <w:rPr>
          <w:rFonts w:hint="eastAsia" w:ascii="仿宋" w:hAnsi="仿宋" w:eastAsia="仿宋" w:cs="仿宋"/>
          <w:sz w:val="28"/>
          <w:szCs w:val="28"/>
        </w:rPr>
        <w:t>由</w:t>
      </w:r>
      <w:r>
        <w:rPr>
          <w:rFonts w:hint="eastAsia" w:ascii="仿宋" w:hAnsi="仿宋" w:eastAsia="仿宋" w:cs="仿宋"/>
          <w:sz w:val="28"/>
          <w:szCs w:val="28"/>
          <w:lang w:val="en-US" w:eastAsia="zh-CN"/>
        </w:rPr>
        <w:t>甲</w:t>
      </w:r>
      <w:r>
        <w:rPr>
          <w:rFonts w:hint="eastAsia" w:ascii="仿宋" w:hAnsi="仿宋" w:eastAsia="仿宋" w:cs="仿宋"/>
          <w:sz w:val="28"/>
          <w:szCs w:val="28"/>
        </w:rPr>
        <w:t>方享有。乙方了解并知悉资产的实际情况及可能存在的风险，自愿接受资产的现状及其潜在变化和风险。</w:t>
      </w:r>
    </w:p>
    <w:p w14:paraId="72556E29">
      <w:pPr>
        <w:adjustRightInd w:val="0"/>
        <w:snapToGrid w:val="0"/>
        <w:spacing w:before="156" w:beforeLines="50" w:line="460" w:lineRule="exact"/>
        <w:ind w:firstLine="560" w:firstLineChars="200"/>
        <w:rPr>
          <w:rFonts w:ascii="仿宋" w:hAnsi="仿宋" w:eastAsia="仿宋" w:cs="仿宋"/>
          <w:sz w:val="28"/>
          <w:szCs w:val="28"/>
        </w:rPr>
      </w:pPr>
      <w:r>
        <w:rPr>
          <w:rFonts w:hint="eastAsia" w:ascii="仿宋" w:hAnsi="仿宋" w:eastAsia="仿宋" w:cs="仿宋"/>
          <w:sz w:val="28"/>
          <w:szCs w:val="28"/>
          <w:lang w:eastAsia="zh-Hans"/>
        </w:rPr>
        <w:t>本协议项下的资产范围不包含厂区内</w:t>
      </w:r>
      <w:r>
        <w:rPr>
          <w:rFonts w:hint="eastAsia" w:ascii="仿宋" w:hAnsi="仿宋" w:eastAsia="仿宋" w:cs="仿宋"/>
          <w:sz w:val="28"/>
          <w:szCs w:val="28"/>
          <w:lang w:val="en-US" w:eastAsia="zh-CN"/>
        </w:rPr>
        <w:t>破产前承租</w:t>
      </w:r>
      <w:r>
        <w:rPr>
          <w:rFonts w:hint="eastAsia" w:ascii="仿宋" w:hAnsi="仿宋" w:eastAsia="仿宋" w:cs="仿宋"/>
          <w:sz w:val="28"/>
          <w:szCs w:val="28"/>
          <w:lang w:eastAsia="zh-Hans"/>
        </w:rPr>
        <w:t>方</w:t>
      </w:r>
      <w:r>
        <w:rPr>
          <w:rFonts w:hint="eastAsia" w:ascii="仿宋" w:hAnsi="仿宋" w:eastAsia="仿宋" w:cs="仿宋"/>
          <w:sz w:val="28"/>
          <w:szCs w:val="28"/>
          <w:lang w:val="en-US" w:eastAsia="zh-CN"/>
        </w:rPr>
        <w:t>山东裕源集团有限公司、山东昊通节能股份有限公司添置的设备设施，</w:t>
      </w:r>
      <w:r>
        <w:rPr>
          <w:rFonts w:hint="eastAsia" w:ascii="仿宋" w:hAnsi="仿宋" w:eastAsia="仿宋" w:cs="仿宋"/>
          <w:sz w:val="28"/>
          <w:szCs w:val="28"/>
          <w:lang w:eastAsia="zh-Hans"/>
        </w:rPr>
        <w:t>该</w:t>
      </w:r>
      <w:r>
        <w:rPr>
          <w:rFonts w:hint="eastAsia" w:ascii="仿宋" w:hAnsi="仿宋" w:eastAsia="仿宋" w:cs="仿宋"/>
          <w:sz w:val="28"/>
          <w:szCs w:val="28"/>
          <w:lang w:val="en-US" w:eastAsia="zh-CN"/>
        </w:rPr>
        <w:t>部分资产由</w:t>
      </w:r>
      <w:r>
        <w:rPr>
          <w:rFonts w:hint="eastAsia" w:ascii="仿宋" w:hAnsi="仿宋" w:eastAsia="仿宋" w:cs="仿宋"/>
          <w:sz w:val="28"/>
          <w:szCs w:val="28"/>
          <w:lang w:eastAsia="zh-Hans"/>
        </w:rPr>
        <w:t>乙方</w:t>
      </w:r>
      <w:r>
        <w:rPr>
          <w:rFonts w:hint="eastAsia" w:ascii="仿宋" w:hAnsi="仿宋" w:eastAsia="仿宋" w:cs="仿宋"/>
          <w:sz w:val="28"/>
          <w:szCs w:val="28"/>
          <w:lang w:val="en-US" w:eastAsia="zh-CN"/>
        </w:rPr>
        <w:t>另行出资</w:t>
      </w:r>
      <w:r>
        <w:rPr>
          <w:rFonts w:ascii="仿宋" w:hAnsi="仿宋" w:eastAsia="仿宋" w:cs="仿宋"/>
          <w:sz w:val="28"/>
          <w:szCs w:val="28"/>
          <w:lang w:eastAsia="zh-Hans"/>
        </w:rPr>
        <w:t>。</w:t>
      </w:r>
    </w:p>
    <w:p w14:paraId="52700DAF">
      <w:pPr>
        <w:adjustRightInd w:val="0"/>
        <w:snapToGrid w:val="0"/>
        <w:spacing w:before="156" w:beforeLines="50" w:line="460" w:lineRule="exact"/>
        <w:ind w:firstLine="560" w:firstLineChars="200"/>
        <w:rPr>
          <w:rFonts w:ascii="仿宋" w:hAnsi="仿宋" w:eastAsia="仿宋" w:cs="仿宋"/>
          <w:sz w:val="28"/>
          <w:szCs w:val="28"/>
        </w:rPr>
      </w:pPr>
      <w:r>
        <w:rPr>
          <w:rFonts w:hint="eastAsia" w:ascii="仿宋" w:hAnsi="仿宋" w:eastAsia="仿宋" w:cs="仿宋"/>
          <w:sz w:val="28"/>
          <w:szCs w:val="28"/>
        </w:rPr>
        <w:t>第二条 交易方式</w:t>
      </w:r>
    </w:p>
    <w:p w14:paraId="2FC9D6E8">
      <w:pPr>
        <w:adjustRightInd w:val="0"/>
        <w:snapToGrid w:val="0"/>
        <w:spacing w:before="156" w:beforeLines="50" w:line="460" w:lineRule="exact"/>
        <w:ind w:firstLine="560" w:firstLineChars="200"/>
        <w:rPr>
          <w:rFonts w:ascii="仿宋" w:hAnsi="仿宋" w:eastAsia="仿宋" w:cs="仿宋"/>
          <w:sz w:val="28"/>
          <w:szCs w:val="28"/>
        </w:rPr>
      </w:pPr>
      <w:r>
        <w:rPr>
          <w:rFonts w:hint="eastAsia" w:ascii="仿宋" w:hAnsi="仿宋" w:eastAsia="仿宋" w:cs="仿宋"/>
          <w:sz w:val="28"/>
          <w:szCs w:val="28"/>
        </w:rPr>
        <w:t>乙方付清本协议约定的重整对价款，即取得</w:t>
      </w:r>
      <w:r>
        <w:rPr>
          <w:rFonts w:hint="eastAsia" w:ascii="仿宋" w:hAnsi="仿宋" w:eastAsia="仿宋" w:cs="仿宋"/>
          <w:sz w:val="28"/>
          <w:szCs w:val="28"/>
          <w:lang w:val="en-US" w:eastAsia="zh-CN"/>
        </w:rPr>
        <w:t>目标公司</w:t>
      </w:r>
      <w:r>
        <w:rPr>
          <w:rFonts w:hint="eastAsia" w:ascii="仿宋" w:hAnsi="仿宋" w:eastAsia="仿宋" w:cs="仿宋"/>
          <w:sz w:val="28"/>
          <w:szCs w:val="28"/>
        </w:rPr>
        <w:t>股权及对应的资产、资质及权益。</w:t>
      </w:r>
    </w:p>
    <w:p w14:paraId="6D463E12">
      <w:pPr>
        <w:adjustRightInd w:val="0"/>
        <w:snapToGrid w:val="0"/>
        <w:spacing w:before="156" w:beforeLines="50" w:line="460" w:lineRule="exact"/>
        <w:ind w:firstLine="560" w:firstLineChars="200"/>
        <w:rPr>
          <w:rFonts w:ascii="仿宋" w:hAnsi="仿宋" w:eastAsia="仿宋" w:cs="仿宋"/>
          <w:sz w:val="28"/>
          <w:szCs w:val="28"/>
        </w:rPr>
      </w:pPr>
      <w:r>
        <w:rPr>
          <w:rFonts w:hint="eastAsia" w:ascii="仿宋" w:hAnsi="仿宋" w:eastAsia="仿宋" w:cs="仿宋"/>
          <w:sz w:val="28"/>
          <w:szCs w:val="28"/>
        </w:rPr>
        <w:t>第三条 重整对价款</w:t>
      </w:r>
    </w:p>
    <w:p w14:paraId="3AC836CB">
      <w:pPr>
        <w:adjustRightInd w:val="0"/>
        <w:snapToGrid w:val="0"/>
        <w:spacing w:before="156" w:beforeLines="50" w:line="460" w:lineRule="exact"/>
        <w:ind w:firstLine="560" w:firstLineChars="200"/>
        <w:rPr>
          <w:rFonts w:ascii="仿宋" w:hAnsi="仿宋" w:eastAsia="仿宋" w:cs="仿宋"/>
          <w:sz w:val="28"/>
          <w:szCs w:val="28"/>
        </w:rPr>
      </w:pPr>
      <w:r>
        <w:rPr>
          <w:rFonts w:hint="eastAsia" w:ascii="仿宋" w:hAnsi="仿宋" w:eastAsia="仿宋" w:cs="仿宋"/>
          <w:sz w:val="28"/>
          <w:szCs w:val="28"/>
        </w:rPr>
        <w:t>乙方应支付的重整对价款为</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en-US" w:eastAsia="zh-CN"/>
        </w:rPr>
        <w:t>元</w:t>
      </w:r>
      <w:r>
        <w:rPr>
          <w:rFonts w:hint="eastAsia" w:ascii="仿宋" w:hAnsi="仿宋" w:eastAsia="仿宋" w:cs="仿宋"/>
          <w:sz w:val="28"/>
          <w:szCs w:val="28"/>
        </w:rPr>
        <w:t>，该价款用于清偿</w:t>
      </w:r>
      <w:r>
        <w:rPr>
          <w:rFonts w:hint="eastAsia" w:ascii="仿宋" w:hAnsi="仿宋" w:eastAsia="仿宋" w:cs="仿宋"/>
          <w:sz w:val="28"/>
          <w:szCs w:val="28"/>
          <w:lang w:val="en-US" w:eastAsia="zh-CN"/>
        </w:rPr>
        <w:t>联兴科技等六家公司</w:t>
      </w:r>
      <w:r>
        <w:rPr>
          <w:rFonts w:hint="eastAsia" w:ascii="仿宋" w:hAnsi="仿宋" w:eastAsia="仿宋" w:cs="仿宋"/>
          <w:sz w:val="28"/>
          <w:szCs w:val="28"/>
        </w:rPr>
        <w:t>的债务</w:t>
      </w:r>
      <w:r>
        <w:rPr>
          <w:rFonts w:hint="eastAsia" w:ascii="仿宋" w:hAnsi="仿宋" w:eastAsia="仿宋" w:cs="仿宋"/>
          <w:sz w:val="28"/>
          <w:szCs w:val="28"/>
          <w:lang w:eastAsia="zh-Hans"/>
        </w:rPr>
        <w:t>及破产费用</w:t>
      </w:r>
      <w:r>
        <w:rPr>
          <w:rFonts w:hint="eastAsia" w:ascii="仿宋" w:hAnsi="仿宋" w:eastAsia="仿宋" w:cs="仿宋"/>
          <w:sz w:val="28"/>
          <w:szCs w:val="28"/>
        </w:rPr>
        <w:t>。</w:t>
      </w:r>
    </w:p>
    <w:p w14:paraId="46C83A30">
      <w:pPr>
        <w:adjustRightInd w:val="0"/>
        <w:snapToGrid w:val="0"/>
        <w:spacing w:before="156" w:beforeLines="50" w:line="460" w:lineRule="exact"/>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债务人</w:t>
      </w:r>
      <w:r>
        <w:rPr>
          <w:rFonts w:hint="eastAsia" w:ascii="仿宋" w:hAnsi="仿宋" w:eastAsia="仿宋" w:cs="仿宋"/>
          <w:sz w:val="28"/>
          <w:szCs w:val="28"/>
        </w:rPr>
        <w:t>负债</w:t>
      </w:r>
      <w:r>
        <w:rPr>
          <w:rFonts w:ascii="仿宋" w:hAnsi="仿宋" w:eastAsia="仿宋" w:cs="仿宋"/>
          <w:sz w:val="28"/>
          <w:szCs w:val="28"/>
        </w:rPr>
        <w:t>以</w:t>
      </w:r>
      <w:r>
        <w:rPr>
          <w:rFonts w:hint="eastAsia" w:ascii="仿宋" w:hAnsi="仿宋" w:eastAsia="仿宋" w:cs="仿宋"/>
          <w:sz w:val="28"/>
          <w:szCs w:val="28"/>
          <w:lang w:val="en-US" w:eastAsia="zh-CN"/>
        </w:rPr>
        <w:t>滨海</w:t>
      </w:r>
      <w:r>
        <w:rPr>
          <w:rFonts w:ascii="仿宋" w:hAnsi="仿宋" w:eastAsia="仿宋" w:cs="仿宋"/>
          <w:sz w:val="28"/>
          <w:szCs w:val="28"/>
        </w:rPr>
        <w:t>法院裁定确认的金额为准，根据《中华人民共和国企业破产法》</w:t>
      </w:r>
      <w:r>
        <w:rPr>
          <w:rFonts w:hint="eastAsia" w:ascii="仿宋" w:hAnsi="仿宋" w:eastAsia="仿宋" w:cs="仿宋"/>
          <w:sz w:val="28"/>
          <w:szCs w:val="28"/>
        </w:rPr>
        <w:t>规定的清偿顺序予以清偿</w:t>
      </w:r>
      <w:r>
        <w:rPr>
          <w:rFonts w:ascii="仿宋" w:hAnsi="仿宋" w:eastAsia="仿宋" w:cs="仿宋"/>
          <w:sz w:val="28"/>
          <w:szCs w:val="28"/>
        </w:rPr>
        <w:t>，</w:t>
      </w:r>
      <w:r>
        <w:rPr>
          <w:rFonts w:hint="eastAsia" w:ascii="仿宋" w:hAnsi="仿宋" w:eastAsia="仿宋" w:cs="仿宋"/>
          <w:sz w:val="28"/>
          <w:szCs w:val="28"/>
        </w:rPr>
        <w:t>重整对价款不</w:t>
      </w:r>
      <w:r>
        <w:rPr>
          <w:rFonts w:ascii="仿宋" w:hAnsi="仿宋" w:eastAsia="仿宋" w:cs="仿宋"/>
          <w:sz w:val="28"/>
          <w:szCs w:val="28"/>
        </w:rPr>
        <w:t>足以支付的部分免于清偿。</w:t>
      </w:r>
      <w:r>
        <w:rPr>
          <w:rFonts w:hint="eastAsia" w:ascii="仿宋" w:hAnsi="仿宋" w:eastAsia="仿宋" w:cs="仿宋"/>
          <w:sz w:val="28"/>
          <w:szCs w:val="28"/>
          <w:lang w:val="en-US" w:eastAsia="zh-CN"/>
        </w:rPr>
        <w:t>对于未申报的债权人，在重整计划执行完毕后予以申报并确认的，由乙方按照重整计划规定的同类债权的清偿条件清偿。</w:t>
      </w:r>
    </w:p>
    <w:p w14:paraId="2D8B0BEE">
      <w:pPr>
        <w:adjustRightInd w:val="0"/>
        <w:snapToGrid w:val="0"/>
        <w:spacing w:before="156" w:beforeLines="50" w:line="460" w:lineRule="exact"/>
        <w:ind w:firstLine="560" w:firstLineChars="200"/>
        <w:rPr>
          <w:rFonts w:ascii="仿宋" w:hAnsi="仿宋" w:eastAsia="仿宋" w:cs="仿宋"/>
          <w:sz w:val="28"/>
          <w:szCs w:val="28"/>
        </w:rPr>
      </w:pPr>
      <w:r>
        <w:rPr>
          <w:rFonts w:hint="eastAsia" w:ascii="仿宋" w:hAnsi="仿宋" w:eastAsia="仿宋" w:cs="仿宋"/>
          <w:sz w:val="28"/>
          <w:szCs w:val="28"/>
        </w:rPr>
        <w:t>第四条 支付方式</w:t>
      </w:r>
    </w:p>
    <w:p w14:paraId="45BB2BC0">
      <w:pPr>
        <w:adjustRightInd w:val="0"/>
        <w:snapToGrid w:val="0"/>
        <w:spacing w:before="156" w:beforeLines="50" w:line="460" w:lineRule="exact"/>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rPr>
        <w:t>（一）</w:t>
      </w:r>
      <w:r>
        <w:rPr>
          <w:rFonts w:hint="eastAsia" w:ascii="仿宋" w:hAnsi="仿宋" w:eastAsia="仿宋" w:cs="仿宋"/>
          <w:sz w:val="28"/>
          <w:szCs w:val="28"/>
          <w:lang w:val="en-US" w:eastAsia="zh-CN"/>
        </w:rPr>
        <w:t>乙方选择以下</w:t>
      </w:r>
      <w:r>
        <w:rPr>
          <w:rFonts w:hint="eastAsia" w:ascii="仿宋" w:hAnsi="仿宋" w:eastAsia="仿宋" w:cs="仿宋"/>
          <w:sz w:val="28"/>
          <w:szCs w:val="28"/>
          <w:u w:val="double" w:color="000000" w:themeColor="text1"/>
          <w:lang w:val="en-US" w:eastAsia="zh-CN"/>
        </w:rPr>
        <w:t xml:space="preserve">      </w:t>
      </w:r>
      <w:r>
        <w:rPr>
          <w:rFonts w:hint="eastAsia" w:ascii="仿宋" w:hAnsi="仿宋" w:eastAsia="仿宋" w:cs="仿宋"/>
          <w:sz w:val="28"/>
          <w:szCs w:val="28"/>
          <w:lang w:val="en-US" w:eastAsia="zh-CN"/>
        </w:rPr>
        <w:t>作为交易价款支付方式</w:t>
      </w:r>
    </w:p>
    <w:p w14:paraId="63851A18">
      <w:pPr>
        <w:adjustRightInd w:val="0"/>
        <w:snapToGrid w:val="0"/>
        <w:spacing w:before="156" w:beforeLines="50" w:line="460" w:lineRule="exact"/>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方式1，一次性支付：</w:t>
      </w:r>
      <w:r>
        <w:rPr>
          <w:rFonts w:hint="eastAsia" w:ascii="仿宋" w:hAnsi="仿宋" w:eastAsia="仿宋" w:cs="仿宋"/>
          <w:sz w:val="28"/>
          <w:szCs w:val="28"/>
        </w:rPr>
        <w:t>本协议签订前乙方已交纳的重整保证金1</w:t>
      </w:r>
      <w:r>
        <w:rPr>
          <w:rFonts w:hint="eastAsia" w:ascii="仿宋" w:hAnsi="仿宋" w:eastAsia="仿宋" w:cs="仿宋"/>
          <w:sz w:val="28"/>
          <w:szCs w:val="28"/>
          <w:lang w:val="en-US" w:eastAsia="zh-CN"/>
        </w:rPr>
        <w:t>0</w:t>
      </w:r>
      <w:r>
        <w:rPr>
          <w:rFonts w:hint="eastAsia" w:ascii="仿宋" w:hAnsi="仿宋" w:eastAsia="仿宋" w:cs="仿宋"/>
          <w:sz w:val="28"/>
          <w:szCs w:val="28"/>
        </w:rPr>
        <w:t>00万元</w:t>
      </w:r>
      <w:r>
        <w:rPr>
          <w:rFonts w:ascii="仿宋" w:hAnsi="仿宋" w:eastAsia="仿宋" w:cs="仿宋"/>
          <w:sz w:val="28"/>
          <w:szCs w:val="28"/>
        </w:rPr>
        <w:t>，</w:t>
      </w:r>
      <w:r>
        <w:rPr>
          <w:rFonts w:hint="eastAsia" w:ascii="仿宋" w:hAnsi="仿宋" w:eastAsia="仿宋" w:cs="仿宋"/>
          <w:sz w:val="28"/>
          <w:szCs w:val="28"/>
        </w:rPr>
        <w:t>直接转为重整对价款。本协议签订后</w:t>
      </w:r>
      <w:r>
        <w:rPr>
          <w:rFonts w:hint="eastAsia" w:ascii="仿宋" w:hAnsi="仿宋" w:eastAsia="仿宋" w:cs="仿宋"/>
          <w:sz w:val="28"/>
          <w:szCs w:val="28"/>
          <w:lang w:val="en-US" w:eastAsia="zh-CN"/>
        </w:rPr>
        <w:t>7</w:t>
      </w:r>
      <w:r>
        <w:rPr>
          <w:rFonts w:hint="eastAsia" w:ascii="仿宋" w:hAnsi="仿宋" w:eastAsia="仿宋" w:cs="仿宋"/>
          <w:sz w:val="28"/>
          <w:szCs w:val="28"/>
        </w:rPr>
        <w:t>日内</w:t>
      </w:r>
      <w:r>
        <w:rPr>
          <w:rFonts w:hint="eastAsia" w:ascii="仿宋" w:hAnsi="仿宋" w:eastAsia="仿宋" w:cs="仿宋"/>
          <w:sz w:val="28"/>
          <w:szCs w:val="28"/>
          <w:lang w:eastAsia="zh-Hans"/>
        </w:rPr>
        <w:t>支付全部</w:t>
      </w:r>
      <w:r>
        <w:rPr>
          <w:rFonts w:hint="eastAsia" w:ascii="仿宋" w:hAnsi="仿宋" w:eastAsia="仿宋" w:cs="仿宋"/>
          <w:sz w:val="28"/>
          <w:szCs w:val="28"/>
          <w:lang w:val="en-US" w:eastAsia="zh-CN"/>
        </w:rPr>
        <w:t>剩余</w:t>
      </w:r>
      <w:r>
        <w:rPr>
          <w:rFonts w:hint="eastAsia" w:ascii="仿宋" w:hAnsi="仿宋" w:eastAsia="仿宋" w:cs="仿宋"/>
          <w:sz w:val="28"/>
          <w:szCs w:val="28"/>
          <w:lang w:eastAsia="zh-Hans"/>
        </w:rPr>
        <w:t>投资价款</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en-US" w:eastAsia="zh-CN"/>
        </w:rPr>
        <w:t>元</w:t>
      </w:r>
      <w:r>
        <w:rPr>
          <w:rFonts w:hint="eastAsia" w:ascii="仿宋" w:hAnsi="仿宋" w:eastAsia="仿宋" w:cs="仿宋"/>
          <w:sz w:val="28"/>
          <w:szCs w:val="28"/>
          <w:lang w:eastAsia="zh-Hans"/>
        </w:rPr>
        <w:t>，每逾期一日</w:t>
      </w:r>
      <w:r>
        <w:rPr>
          <w:rFonts w:hint="eastAsia" w:ascii="仿宋" w:hAnsi="仿宋" w:eastAsia="仿宋" w:cs="仿宋"/>
          <w:sz w:val="28"/>
          <w:szCs w:val="28"/>
          <w:lang w:val="en-US" w:eastAsia="zh-CN"/>
        </w:rPr>
        <w:t>需</w:t>
      </w:r>
      <w:r>
        <w:rPr>
          <w:rFonts w:hint="eastAsia" w:ascii="仿宋" w:hAnsi="仿宋" w:eastAsia="仿宋" w:cs="仿宋"/>
          <w:sz w:val="28"/>
          <w:szCs w:val="28"/>
          <w:lang w:eastAsia="zh-Hans"/>
        </w:rPr>
        <w:t>支付逾期部分日千分之</w:t>
      </w:r>
      <w:r>
        <w:rPr>
          <w:rFonts w:hint="eastAsia" w:ascii="仿宋" w:hAnsi="仿宋" w:eastAsia="仿宋" w:cs="仿宋"/>
          <w:sz w:val="28"/>
          <w:szCs w:val="28"/>
          <w:lang w:val="en-US" w:eastAsia="zh-CN"/>
        </w:rPr>
        <w:t>五</w:t>
      </w:r>
      <w:r>
        <w:rPr>
          <w:rFonts w:hint="eastAsia" w:ascii="仿宋" w:hAnsi="仿宋" w:eastAsia="仿宋" w:cs="仿宋"/>
          <w:sz w:val="28"/>
          <w:szCs w:val="28"/>
          <w:lang w:eastAsia="zh-Hans"/>
        </w:rPr>
        <w:t>的违约金</w:t>
      </w:r>
      <w:r>
        <w:rPr>
          <w:rFonts w:hint="eastAsia" w:ascii="仿宋" w:hAnsi="仿宋" w:eastAsia="仿宋" w:cs="仿宋"/>
          <w:sz w:val="28"/>
          <w:szCs w:val="28"/>
          <w:lang w:eastAsia="zh-CN"/>
        </w:rPr>
        <w:t>，逾期超过</w:t>
      </w:r>
      <w:r>
        <w:rPr>
          <w:rFonts w:hint="eastAsia" w:ascii="仿宋" w:hAnsi="仿宋" w:eastAsia="仿宋" w:cs="仿宋"/>
          <w:sz w:val="28"/>
          <w:szCs w:val="28"/>
          <w:lang w:val="en-US" w:eastAsia="zh-CN"/>
        </w:rPr>
        <w:t>7</w:t>
      </w:r>
      <w:r>
        <w:rPr>
          <w:rFonts w:hint="eastAsia" w:ascii="仿宋" w:hAnsi="仿宋" w:eastAsia="仿宋" w:cs="仿宋"/>
          <w:sz w:val="28"/>
          <w:szCs w:val="28"/>
          <w:lang w:eastAsia="zh-CN"/>
        </w:rPr>
        <w:t>日，</w:t>
      </w:r>
      <w:r>
        <w:rPr>
          <w:rFonts w:hint="eastAsia" w:ascii="仿宋" w:hAnsi="仿宋" w:eastAsia="仿宋" w:cs="仿宋"/>
          <w:sz w:val="28"/>
          <w:szCs w:val="28"/>
          <w:lang w:val="en-US" w:eastAsia="zh-CN"/>
        </w:rPr>
        <w:t>甲方</w:t>
      </w:r>
      <w:r>
        <w:rPr>
          <w:rFonts w:hint="eastAsia" w:ascii="仿宋" w:hAnsi="仿宋" w:eastAsia="仿宋" w:cs="仿宋"/>
          <w:sz w:val="28"/>
          <w:szCs w:val="28"/>
          <w:lang w:eastAsia="zh-CN"/>
        </w:rPr>
        <w:t>有权</w:t>
      </w:r>
      <w:r>
        <w:rPr>
          <w:rFonts w:hint="eastAsia" w:ascii="仿宋" w:hAnsi="仿宋" w:eastAsia="仿宋" w:cs="仿宋"/>
          <w:sz w:val="28"/>
          <w:szCs w:val="28"/>
          <w:lang w:val="en-US" w:eastAsia="zh-CN"/>
        </w:rPr>
        <w:t>解除本投资协议</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并扣收保证金1000万元。</w:t>
      </w:r>
    </w:p>
    <w:p w14:paraId="4C6ED7E1">
      <w:pPr>
        <w:adjustRightInd w:val="0"/>
        <w:snapToGrid w:val="0"/>
        <w:spacing w:before="156" w:beforeLines="50" w:line="460" w:lineRule="exact"/>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方式2，分期支付：</w:t>
      </w:r>
      <w:r>
        <w:rPr>
          <w:rFonts w:hint="eastAsia" w:ascii="仿宋" w:hAnsi="仿宋" w:eastAsia="仿宋" w:cs="仿宋"/>
          <w:sz w:val="28"/>
          <w:szCs w:val="28"/>
        </w:rPr>
        <w:t>本协议签订前乙方已交纳的重整保证金1</w:t>
      </w:r>
      <w:r>
        <w:rPr>
          <w:rFonts w:hint="eastAsia" w:ascii="仿宋" w:hAnsi="仿宋" w:eastAsia="仿宋" w:cs="仿宋"/>
          <w:sz w:val="28"/>
          <w:szCs w:val="28"/>
          <w:lang w:val="en-US" w:eastAsia="zh-CN"/>
        </w:rPr>
        <w:t>0</w:t>
      </w:r>
      <w:r>
        <w:rPr>
          <w:rFonts w:hint="eastAsia" w:ascii="仿宋" w:hAnsi="仿宋" w:eastAsia="仿宋" w:cs="仿宋"/>
          <w:sz w:val="28"/>
          <w:szCs w:val="28"/>
        </w:rPr>
        <w:t>00万元</w:t>
      </w:r>
      <w:r>
        <w:rPr>
          <w:rFonts w:ascii="仿宋" w:hAnsi="仿宋" w:eastAsia="仿宋" w:cs="仿宋"/>
          <w:sz w:val="28"/>
          <w:szCs w:val="28"/>
        </w:rPr>
        <w:t>，</w:t>
      </w:r>
      <w:r>
        <w:rPr>
          <w:rFonts w:hint="eastAsia" w:ascii="仿宋" w:hAnsi="仿宋" w:eastAsia="仿宋" w:cs="仿宋"/>
          <w:sz w:val="28"/>
          <w:szCs w:val="28"/>
        </w:rPr>
        <w:t>直接转为重整对价款。本协议签订后</w:t>
      </w:r>
      <w:r>
        <w:rPr>
          <w:rFonts w:hint="eastAsia" w:ascii="仿宋" w:hAnsi="仿宋" w:eastAsia="仿宋" w:cs="仿宋"/>
          <w:sz w:val="28"/>
          <w:szCs w:val="28"/>
          <w:lang w:val="en-US" w:eastAsia="zh-CN"/>
        </w:rPr>
        <w:t>7</w:t>
      </w:r>
      <w:r>
        <w:rPr>
          <w:rFonts w:hint="eastAsia" w:ascii="仿宋" w:hAnsi="仿宋" w:eastAsia="仿宋" w:cs="仿宋"/>
          <w:sz w:val="28"/>
          <w:szCs w:val="28"/>
        </w:rPr>
        <w:t>日内</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支付</w:t>
      </w:r>
      <w:r>
        <w:rPr>
          <w:rFonts w:hint="eastAsia" w:ascii="仿宋" w:hAnsi="仿宋" w:eastAsia="仿宋" w:cs="仿宋"/>
          <w:b w:val="0"/>
          <w:bCs/>
          <w:color w:val="auto"/>
          <w:sz w:val="28"/>
          <w:szCs w:val="28"/>
          <w:lang w:val="en-US" w:eastAsia="zh-Hans"/>
        </w:rPr>
        <w:t>比例不得低于总投资额</w:t>
      </w:r>
      <w:r>
        <w:rPr>
          <w:rFonts w:hint="eastAsia" w:ascii="仿宋" w:hAnsi="仿宋" w:eastAsia="仿宋" w:cs="仿宋"/>
          <w:b w:val="0"/>
          <w:bCs/>
          <w:color w:val="auto"/>
          <w:sz w:val="28"/>
          <w:szCs w:val="28"/>
          <w:u w:val="double"/>
          <w:lang w:val="en-US" w:eastAsia="zh-CN"/>
        </w:rPr>
        <w:t xml:space="preserve">    </w:t>
      </w:r>
      <w:r>
        <w:rPr>
          <w:rFonts w:hint="eastAsia" w:ascii="仿宋" w:hAnsi="仿宋" w:eastAsia="仿宋" w:cs="仿宋"/>
          <w:b w:val="0"/>
          <w:bCs/>
          <w:color w:val="auto"/>
          <w:sz w:val="28"/>
          <w:szCs w:val="28"/>
          <w:lang w:val="en-US" w:eastAsia="zh-CN"/>
        </w:rPr>
        <w:t>%的投资价款</w:t>
      </w:r>
      <w:r>
        <w:rPr>
          <w:rFonts w:hint="eastAsia" w:ascii="仿宋" w:hAnsi="仿宋" w:eastAsia="仿宋" w:cs="仿宋"/>
          <w:b w:val="0"/>
          <w:bCs/>
          <w:color w:val="auto"/>
          <w:sz w:val="28"/>
          <w:szCs w:val="28"/>
          <w:lang w:eastAsia="zh-Hans"/>
        </w:rPr>
        <w:t>，</w:t>
      </w:r>
      <w:r>
        <w:rPr>
          <w:rFonts w:hint="eastAsia" w:ascii="仿宋" w:hAnsi="仿宋" w:eastAsia="仿宋" w:cs="仿宋"/>
          <w:color w:val="auto"/>
          <w:sz w:val="28"/>
          <w:szCs w:val="28"/>
          <w:lang w:val="en-US" w:eastAsia="zh-Hans"/>
        </w:rPr>
        <w:t>同时</w:t>
      </w:r>
      <w:r>
        <w:rPr>
          <w:rFonts w:hint="eastAsia" w:ascii="仿宋" w:hAnsi="仿宋" w:eastAsia="仿宋" w:cs="仿宋"/>
          <w:b w:val="0"/>
          <w:bCs/>
          <w:color w:val="auto"/>
          <w:sz w:val="28"/>
          <w:szCs w:val="28"/>
          <w:lang w:val="en-US" w:eastAsia="zh-Hans"/>
        </w:rPr>
        <w:t>需提</w:t>
      </w:r>
      <w:r>
        <w:rPr>
          <w:rFonts w:hint="eastAsia" w:ascii="仿宋" w:hAnsi="仿宋" w:eastAsia="仿宋" w:cs="仿宋"/>
          <w:b w:val="0"/>
          <w:bCs/>
          <w:color w:val="auto"/>
          <w:sz w:val="28"/>
          <w:szCs w:val="28"/>
          <w:lang w:val="en-US" w:eastAsia="zh-CN"/>
        </w:rPr>
        <w:t>供</w:t>
      </w:r>
      <w:r>
        <w:rPr>
          <w:rFonts w:hint="eastAsia" w:ascii="仿宋" w:hAnsi="仿宋" w:eastAsia="仿宋" w:cs="仿宋"/>
          <w:b w:val="0"/>
          <w:bCs/>
          <w:color w:val="auto"/>
          <w:sz w:val="28"/>
          <w:szCs w:val="28"/>
          <w:u w:val="double"/>
          <w:lang w:val="en-US" w:eastAsia="zh-CN"/>
        </w:rPr>
        <w:t xml:space="preserve">               </w:t>
      </w:r>
      <w:r>
        <w:rPr>
          <w:rFonts w:hint="eastAsia" w:ascii="仿宋" w:hAnsi="仿宋" w:eastAsia="仿宋" w:cs="仿宋"/>
          <w:b w:val="0"/>
          <w:bCs/>
          <w:color w:val="auto"/>
          <w:sz w:val="28"/>
          <w:szCs w:val="28"/>
          <w:u w:val="none"/>
          <w:lang w:val="en-US" w:eastAsia="zh-CN"/>
        </w:rPr>
        <w:t>作为履约</w:t>
      </w:r>
      <w:r>
        <w:rPr>
          <w:rFonts w:hint="eastAsia" w:ascii="仿宋" w:hAnsi="仿宋" w:eastAsia="仿宋" w:cs="仿宋"/>
          <w:b w:val="0"/>
          <w:bCs/>
          <w:color w:val="auto"/>
          <w:sz w:val="28"/>
          <w:szCs w:val="28"/>
          <w:lang w:val="en-US" w:eastAsia="zh-Hans"/>
        </w:rPr>
        <w:t>担保措施</w:t>
      </w:r>
      <w:r>
        <w:rPr>
          <w:rFonts w:hint="eastAsia" w:ascii="仿宋" w:hAnsi="仿宋" w:eastAsia="仿宋" w:cs="仿宋"/>
          <w:b w:val="0"/>
          <w:bCs/>
          <w:color w:val="auto"/>
          <w:sz w:val="28"/>
          <w:szCs w:val="28"/>
          <w:lang w:eastAsia="zh-Hans"/>
        </w:rPr>
        <w:t>，</w:t>
      </w:r>
      <w:r>
        <w:rPr>
          <w:rFonts w:hint="eastAsia" w:ascii="仿宋" w:hAnsi="仿宋" w:eastAsia="仿宋" w:cs="仿宋"/>
          <w:b w:val="0"/>
          <w:bCs/>
          <w:color w:val="auto"/>
          <w:sz w:val="28"/>
          <w:szCs w:val="28"/>
          <w:lang w:val="en-US" w:eastAsia="zh-CN"/>
        </w:rPr>
        <w:t>对于</w:t>
      </w:r>
      <w:r>
        <w:rPr>
          <w:rFonts w:hint="eastAsia" w:ascii="仿宋" w:hAnsi="仿宋" w:eastAsia="仿宋" w:cs="仿宋"/>
          <w:color w:val="auto"/>
          <w:sz w:val="28"/>
          <w:szCs w:val="28"/>
          <w:highlight w:val="none"/>
          <w:lang w:val="en-US" w:eastAsia="zh-Hans"/>
        </w:rPr>
        <w:t>分期</w:t>
      </w:r>
      <w:r>
        <w:rPr>
          <w:rFonts w:hint="eastAsia" w:ascii="仿宋" w:hAnsi="仿宋" w:eastAsia="仿宋" w:cs="仿宋"/>
          <w:color w:val="auto"/>
          <w:sz w:val="28"/>
          <w:szCs w:val="28"/>
          <w:highlight w:val="none"/>
          <w:lang w:val="en-US" w:eastAsia="zh-CN"/>
        </w:rPr>
        <w:t>部分，乙方按照</w:t>
      </w:r>
      <w:r>
        <w:rPr>
          <w:rFonts w:hint="default" w:ascii="仿宋" w:hAnsi="仿宋" w:eastAsia="仿宋" w:cs="仿宋"/>
          <w:color w:val="auto"/>
          <w:sz w:val="28"/>
          <w:szCs w:val="28"/>
          <w:highlight w:val="none"/>
          <w:lang w:val="en-US" w:eastAsia="zh-CN"/>
        </w:rPr>
        <w:t>lpr</w:t>
      </w:r>
      <w:r>
        <w:rPr>
          <w:rFonts w:hint="eastAsia" w:ascii="仿宋" w:hAnsi="仿宋" w:eastAsia="仿宋" w:cs="仿宋"/>
          <w:color w:val="auto"/>
          <w:sz w:val="28"/>
          <w:szCs w:val="28"/>
          <w:highlight w:val="none"/>
          <w:lang w:val="en-US" w:eastAsia="zh-CN"/>
        </w:rPr>
        <w:t>上浮50%向甲方支付利息，合计总投资金额为</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lang w:val="en-US" w:eastAsia="zh-CN"/>
        </w:rPr>
        <w:t>元。剩余价款分为</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lang w:val="en-US" w:eastAsia="zh-CN"/>
        </w:rPr>
        <w:t>期，分别为</w:t>
      </w:r>
      <w:r>
        <w:rPr>
          <w:rFonts w:hint="eastAsia" w:ascii="仿宋" w:hAnsi="仿宋" w:eastAsia="仿宋" w:cs="仿宋"/>
          <w:color w:val="auto"/>
          <w:sz w:val="28"/>
          <w:szCs w:val="28"/>
          <w:highlight w:val="none"/>
          <w:u w:val="single"/>
          <w:lang w:val="en-US" w:eastAsia="zh-CN"/>
        </w:rPr>
        <w:t xml:space="preserve">         </w:t>
      </w:r>
      <w:bookmarkStart w:id="0" w:name="_GoBack"/>
      <w:bookmarkEnd w:id="0"/>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lang w:val="en-US" w:eastAsia="zh-CN"/>
        </w:rPr>
        <w:t>，最长</w:t>
      </w:r>
      <w:r>
        <w:rPr>
          <w:rFonts w:hint="eastAsia" w:ascii="仿宋" w:hAnsi="仿宋" w:eastAsia="仿宋" w:cs="仿宋"/>
          <w:color w:val="auto"/>
          <w:sz w:val="28"/>
          <w:szCs w:val="28"/>
          <w:highlight w:val="none"/>
          <w:lang w:val="en-US" w:eastAsia="zh-Hans"/>
        </w:rPr>
        <w:t>不得超过</w:t>
      </w:r>
      <w:r>
        <w:rPr>
          <w:rFonts w:hint="eastAsia" w:ascii="仿宋" w:hAnsi="仿宋" w:eastAsia="仿宋" w:cs="仿宋"/>
          <w:color w:val="auto"/>
          <w:sz w:val="28"/>
          <w:szCs w:val="28"/>
          <w:highlight w:val="none"/>
          <w:lang w:val="en-US" w:eastAsia="zh-CN"/>
        </w:rPr>
        <w:t>2025年7月31日。</w:t>
      </w:r>
      <w:r>
        <w:rPr>
          <w:rFonts w:hint="eastAsia" w:ascii="仿宋" w:hAnsi="仿宋" w:eastAsia="仿宋" w:cs="仿宋"/>
          <w:sz w:val="28"/>
          <w:szCs w:val="28"/>
          <w:lang w:eastAsia="zh-Hans"/>
        </w:rPr>
        <w:t>每逾期一日</w:t>
      </w:r>
      <w:r>
        <w:rPr>
          <w:rFonts w:hint="eastAsia" w:ascii="仿宋" w:hAnsi="仿宋" w:eastAsia="仿宋" w:cs="仿宋"/>
          <w:sz w:val="28"/>
          <w:szCs w:val="28"/>
          <w:lang w:val="en-US" w:eastAsia="zh-CN"/>
        </w:rPr>
        <w:t>需</w:t>
      </w:r>
      <w:r>
        <w:rPr>
          <w:rFonts w:hint="eastAsia" w:ascii="仿宋" w:hAnsi="仿宋" w:eastAsia="仿宋" w:cs="仿宋"/>
          <w:sz w:val="28"/>
          <w:szCs w:val="28"/>
          <w:lang w:eastAsia="zh-Hans"/>
        </w:rPr>
        <w:t>支付逾期部分日千分之</w:t>
      </w:r>
      <w:r>
        <w:rPr>
          <w:rFonts w:hint="eastAsia" w:ascii="仿宋" w:hAnsi="仿宋" w:eastAsia="仿宋" w:cs="仿宋"/>
          <w:sz w:val="28"/>
          <w:szCs w:val="28"/>
          <w:lang w:val="en-US" w:eastAsia="zh-CN"/>
        </w:rPr>
        <w:t>五</w:t>
      </w:r>
      <w:r>
        <w:rPr>
          <w:rFonts w:hint="eastAsia" w:ascii="仿宋" w:hAnsi="仿宋" w:eastAsia="仿宋" w:cs="仿宋"/>
          <w:sz w:val="28"/>
          <w:szCs w:val="28"/>
          <w:lang w:eastAsia="zh-Hans"/>
        </w:rPr>
        <w:t>的违约金</w:t>
      </w:r>
      <w:r>
        <w:rPr>
          <w:rFonts w:hint="eastAsia" w:ascii="仿宋" w:hAnsi="仿宋" w:eastAsia="仿宋" w:cs="仿宋"/>
          <w:sz w:val="28"/>
          <w:szCs w:val="28"/>
          <w:lang w:eastAsia="zh-CN"/>
        </w:rPr>
        <w:t>，逾期超过</w:t>
      </w:r>
      <w:r>
        <w:rPr>
          <w:rFonts w:hint="eastAsia" w:ascii="仿宋" w:hAnsi="仿宋" w:eastAsia="仿宋" w:cs="仿宋"/>
          <w:sz w:val="28"/>
          <w:szCs w:val="28"/>
          <w:lang w:val="en-US" w:eastAsia="zh-CN"/>
        </w:rPr>
        <w:t>7</w:t>
      </w:r>
      <w:r>
        <w:rPr>
          <w:rFonts w:hint="eastAsia" w:ascii="仿宋" w:hAnsi="仿宋" w:eastAsia="仿宋" w:cs="仿宋"/>
          <w:sz w:val="28"/>
          <w:szCs w:val="28"/>
          <w:lang w:eastAsia="zh-CN"/>
        </w:rPr>
        <w:t>日，</w:t>
      </w:r>
      <w:r>
        <w:rPr>
          <w:rFonts w:hint="eastAsia" w:ascii="仿宋" w:hAnsi="仿宋" w:eastAsia="仿宋" w:cs="仿宋"/>
          <w:sz w:val="28"/>
          <w:szCs w:val="28"/>
          <w:lang w:val="en-US" w:eastAsia="zh-CN"/>
        </w:rPr>
        <w:t>甲方</w:t>
      </w:r>
      <w:r>
        <w:rPr>
          <w:rFonts w:hint="eastAsia" w:ascii="仿宋" w:hAnsi="仿宋" w:eastAsia="仿宋" w:cs="仿宋"/>
          <w:sz w:val="28"/>
          <w:szCs w:val="28"/>
          <w:lang w:eastAsia="zh-CN"/>
        </w:rPr>
        <w:t>有权</w:t>
      </w:r>
      <w:r>
        <w:rPr>
          <w:rFonts w:hint="eastAsia" w:ascii="仿宋" w:hAnsi="仿宋" w:eastAsia="仿宋" w:cs="仿宋"/>
          <w:sz w:val="28"/>
          <w:szCs w:val="28"/>
          <w:lang w:val="en-US" w:eastAsia="zh-CN"/>
        </w:rPr>
        <w:t>解除本投资协议</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并扣收保证金1000万元及已经支付的投资价款，仍不足以弥补甲方损失的，包括但不限于对厂区不动产、设施设备进行整改维修无法恢复原状、恢复所需费用、恢复期间的经营损失、施工过程造成的甲方资产价值减损、股权回转变更费用等，甲方有权对乙方已投入的资产进行留置并处置。</w:t>
      </w:r>
    </w:p>
    <w:p w14:paraId="0446FAE4">
      <w:pPr>
        <w:adjustRightInd w:val="0"/>
        <w:snapToGrid w:val="0"/>
        <w:spacing w:before="156" w:beforeLines="50" w:line="460" w:lineRule="exact"/>
        <w:ind w:firstLine="560" w:firstLineChars="200"/>
        <w:rPr>
          <w:rFonts w:ascii="仿宋" w:hAnsi="仿宋" w:eastAsia="仿宋" w:cs="仿宋"/>
          <w:sz w:val="28"/>
          <w:szCs w:val="28"/>
        </w:rPr>
      </w:pPr>
      <w:r>
        <w:rPr>
          <w:rFonts w:hint="eastAsia" w:ascii="仿宋" w:hAnsi="仿宋" w:eastAsia="仿宋" w:cs="仿宋"/>
          <w:sz w:val="28"/>
          <w:szCs w:val="28"/>
        </w:rPr>
        <w:t>（二）甲方指定下列账户接收乙方支付的交易价款：</w:t>
      </w:r>
    </w:p>
    <w:p w14:paraId="36513A45">
      <w:pPr>
        <w:keepNext w:val="0"/>
        <w:keepLines w:val="0"/>
        <w:pageBreakBefore w:val="0"/>
        <w:widowControl w:val="0"/>
        <w:kinsoku/>
        <w:wordWrap/>
        <w:overflowPunct/>
        <w:topLinePunct w:val="0"/>
        <w:autoSpaceDE/>
        <w:autoSpaceDN/>
        <w:bidi w:val="0"/>
        <w:adjustRightInd w:val="0"/>
        <w:snapToGrid w:val="0"/>
        <w:spacing w:before="157" w:beforeLines="50" w:line="480" w:lineRule="exact"/>
        <w:ind w:left="0" w:leftChars="0" w:right="0" w:rightChars="0" w:firstLine="560"/>
        <w:jc w:val="both"/>
        <w:textAlignment w:val="auto"/>
        <w:outlineLvl w:val="9"/>
        <w:rPr>
          <w:rFonts w:hint="eastAsia" w:ascii="仿宋" w:hAnsi="仿宋" w:eastAsia="仿宋" w:cs="仿宋"/>
          <w:color w:val="auto"/>
          <w:sz w:val="28"/>
          <w:szCs w:val="28"/>
          <w:lang w:eastAsia="zh-Hans"/>
        </w:rPr>
      </w:pPr>
      <w:r>
        <w:rPr>
          <w:rFonts w:hint="eastAsia" w:ascii="仿宋" w:hAnsi="仿宋" w:eastAsia="仿宋" w:cs="仿宋"/>
          <w:color w:val="auto"/>
          <w:sz w:val="28"/>
          <w:szCs w:val="28"/>
          <w:lang w:val="en-US" w:eastAsia="zh-Hans"/>
        </w:rPr>
        <w:t>户名</w:t>
      </w:r>
      <w:r>
        <w:rPr>
          <w:rFonts w:hint="eastAsia" w:ascii="仿宋" w:hAnsi="仿宋" w:eastAsia="仿宋" w:cs="仿宋"/>
          <w:color w:val="auto"/>
          <w:sz w:val="28"/>
          <w:szCs w:val="28"/>
          <w:lang w:eastAsia="zh-Hans"/>
        </w:rPr>
        <w:t>：</w:t>
      </w:r>
      <w:r>
        <w:rPr>
          <w:rFonts w:hint="eastAsia" w:ascii="仿宋" w:hAnsi="仿宋" w:eastAsia="仿宋" w:cs="仿宋"/>
          <w:color w:val="auto"/>
          <w:sz w:val="28"/>
          <w:szCs w:val="28"/>
          <w:lang w:val="en-US" w:eastAsia="zh-Hans"/>
        </w:rPr>
        <w:t>潍坊联兴科技新材料股份有限公司管理人</w:t>
      </w:r>
    </w:p>
    <w:p w14:paraId="4DB14F39">
      <w:pPr>
        <w:keepNext w:val="0"/>
        <w:keepLines w:val="0"/>
        <w:pageBreakBefore w:val="0"/>
        <w:widowControl w:val="0"/>
        <w:kinsoku/>
        <w:wordWrap/>
        <w:overflowPunct/>
        <w:topLinePunct w:val="0"/>
        <w:autoSpaceDE/>
        <w:autoSpaceDN/>
        <w:bidi w:val="0"/>
        <w:adjustRightInd w:val="0"/>
        <w:snapToGrid w:val="0"/>
        <w:spacing w:line="480" w:lineRule="exact"/>
        <w:ind w:left="0" w:leftChars="0" w:right="0" w:rightChars="0" w:firstLine="561"/>
        <w:jc w:val="both"/>
        <w:textAlignment w:val="auto"/>
        <w:outlineLvl w:val="9"/>
        <w:rPr>
          <w:rFonts w:hint="eastAsia" w:ascii="仿宋" w:hAnsi="仿宋" w:eastAsia="仿宋" w:cs="仿宋"/>
          <w:color w:val="auto"/>
          <w:sz w:val="28"/>
          <w:szCs w:val="28"/>
          <w:lang w:eastAsia="zh-Hans"/>
        </w:rPr>
      </w:pPr>
      <w:r>
        <w:rPr>
          <w:rFonts w:hint="eastAsia" w:ascii="仿宋" w:hAnsi="仿宋" w:eastAsia="仿宋" w:cs="仿宋"/>
          <w:color w:val="auto"/>
          <w:sz w:val="28"/>
          <w:szCs w:val="28"/>
          <w:lang w:val="en-US" w:eastAsia="zh-Hans"/>
        </w:rPr>
        <w:t>账号</w:t>
      </w:r>
      <w:r>
        <w:rPr>
          <w:rFonts w:hint="eastAsia" w:ascii="仿宋" w:hAnsi="仿宋" w:eastAsia="仿宋" w:cs="仿宋"/>
          <w:color w:val="auto"/>
          <w:sz w:val="28"/>
          <w:szCs w:val="28"/>
          <w:lang w:eastAsia="zh-Hans"/>
        </w:rPr>
        <w:t>：</w:t>
      </w:r>
      <w:r>
        <w:rPr>
          <w:rFonts w:hint="eastAsia" w:ascii="仿宋" w:hAnsi="仿宋" w:eastAsia="仿宋" w:cs="仿宋"/>
          <w:color w:val="auto"/>
          <w:sz w:val="28"/>
          <w:szCs w:val="28"/>
          <w:lang w:val="en-US" w:eastAsia="zh-Hans"/>
        </w:rPr>
        <w:t>937078013000159470</w:t>
      </w:r>
    </w:p>
    <w:p w14:paraId="1F0AF9E0">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textAlignment w:val="auto"/>
        <w:rPr>
          <w:rFonts w:ascii="仿宋" w:hAnsi="仿宋" w:eastAsia="仿宋" w:cs="仿宋"/>
          <w:sz w:val="28"/>
          <w:szCs w:val="28"/>
        </w:rPr>
      </w:pPr>
      <w:r>
        <w:rPr>
          <w:rFonts w:hint="eastAsia" w:ascii="仿宋" w:hAnsi="仿宋" w:eastAsia="仿宋" w:cs="仿宋"/>
          <w:color w:val="auto"/>
          <w:sz w:val="28"/>
          <w:szCs w:val="28"/>
          <w:lang w:val="en-US" w:eastAsia="zh-Hans"/>
        </w:rPr>
        <w:t>开户银行</w:t>
      </w:r>
      <w:r>
        <w:rPr>
          <w:rFonts w:hint="eastAsia" w:ascii="仿宋" w:hAnsi="仿宋" w:eastAsia="仿宋" w:cs="仿宋"/>
          <w:color w:val="auto"/>
          <w:sz w:val="28"/>
          <w:szCs w:val="28"/>
          <w:lang w:eastAsia="zh-Hans"/>
        </w:rPr>
        <w:t>：</w:t>
      </w:r>
      <w:r>
        <w:rPr>
          <w:rFonts w:hint="eastAsia" w:ascii="仿宋" w:hAnsi="仿宋" w:eastAsia="仿宋" w:cs="仿宋"/>
          <w:color w:val="auto"/>
          <w:sz w:val="28"/>
          <w:szCs w:val="28"/>
          <w:lang w:val="en-US" w:eastAsia="zh-Hans"/>
        </w:rPr>
        <w:t>中国邮政储蓄银行潍坊市寒亭支行</w:t>
      </w:r>
    </w:p>
    <w:p w14:paraId="7794EFD6">
      <w:pPr>
        <w:adjustRightInd w:val="0"/>
        <w:snapToGrid w:val="0"/>
        <w:spacing w:before="156" w:beforeLines="50"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第五条 资产交接及股权调整</w:t>
      </w:r>
    </w:p>
    <w:p w14:paraId="5A64C56B">
      <w:pPr>
        <w:adjustRightInd w:val="0"/>
        <w:snapToGrid w:val="0"/>
        <w:spacing w:before="156" w:beforeLines="50" w:line="460" w:lineRule="exact"/>
        <w:ind w:firstLine="560" w:firstLineChars="200"/>
        <w:rPr>
          <w:rFonts w:ascii="仿宋" w:hAnsi="仿宋" w:eastAsia="仿宋" w:cs="仿宋"/>
          <w:sz w:val="28"/>
          <w:szCs w:val="28"/>
        </w:rPr>
      </w:pPr>
      <w:r>
        <w:rPr>
          <w:rFonts w:hint="eastAsia" w:ascii="仿宋" w:hAnsi="仿宋" w:eastAsia="仿宋" w:cs="仿宋"/>
          <w:sz w:val="28"/>
          <w:szCs w:val="28"/>
        </w:rPr>
        <w:t>本协议生效且乙方付清</w:t>
      </w:r>
      <w:r>
        <w:rPr>
          <w:rFonts w:hint="eastAsia" w:ascii="仿宋" w:hAnsi="仿宋" w:eastAsia="仿宋" w:cs="仿宋"/>
          <w:sz w:val="28"/>
          <w:szCs w:val="28"/>
          <w:lang w:val="en-US" w:eastAsia="zh-CN"/>
        </w:rPr>
        <w:t>约定</w:t>
      </w:r>
      <w:r>
        <w:rPr>
          <w:rFonts w:hint="eastAsia" w:ascii="仿宋" w:hAnsi="仿宋" w:eastAsia="仿宋" w:cs="仿宋"/>
          <w:sz w:val="28"/>
          <w:szCs w:val="28"/>
        </w:rPr>
        <w:t>交易价款后十日内，甲方将第一条列示的资产</w:t>
      </w:r>
      <w:r>
        <w:rPr>
          <w:rFonts w:hint="eastAsia" w:ascii="仿宋" w:hAnsi="仿宋" w:eastAsia="仿宋" w:cs="仿宋"/>
          <w:sz w:val="28"/>
          <w:szCs w:val="28"/>
          <w:lang w:eastAsia="zh-Hans"/>
        </w:rPr>
        <w:t>以现场</w:t>
      </w:r>
      <w:r>
        <w:rPr>
          <w:rFonts w:hint="eastAsia" w:ascii="仿宋" w:hAnsi="仿宋" w:eastAsia="仿宋" w:cs="仿宋"/>
          <w:sz w:val="28"/>
          <w:szCs w:val="28"/>
        </w:rPr>
        <w:t>交</w:t>
      </w:r>
      <w:r>
        <w:rPr>
          <w:rFonts w:hint="eastAsia" w:ascii="仿宋" w:hAnsi="仿宋" w:eastAsia="仿宋" w:cs="仿宋"/>
          <w:sz w:val="28"/>
          <w:szCs w:val="28"/>
          <w:lang w:eastAsia="zh-Hans"/>
        </w:rPr>
        <w:t>接的方式交付</w:t>
      </w:r>
      <w:r>
        <w:rPr>
          <w:rFonts w:hint="eastAsia" w:ascii="仿宋" w:hAnsi="仿宋" w:eastAsia="仿宋" w:cs="仿宋"/>
          <w:sz w:val="28"/>
          <w:szCs w:val="28"/>
        </w:rPr>
        <w:t>给乙方或乙方指定的第三方</w:t>
      </w:r>
      <w:r>
        <w:rPr>
          <w:rFonts w:ascii="仿宋" w:hAnsi="仿宋" w:eastAsia="仿宋" w:cs="仿宋"/>
          <w:sz w:val="28"/>
          <w:szCs w:val="28"/>
        </w:rPr>
        <w:t>（</w:t>
      </w:r>
      <w:r>
        <w:rPr>
          <w:rFonts w:hint="eastAsia" w:ascii="仿宋" w:hAnsi="仿宋" w:eastAsia="仿宋" w:cs="仿宋"/>
          <w:sz w:val="28"/>
          <w:szCs w:val="28"/>
          <w:lang w:eastAsia="zh-Hans"/>
        </w:rPr>
        <w:t>因本协议项下为股权投资</w:t>
      </w:r>
      <w:r>
        <w:rPr>
          <w:rFonts w:ascii="仿宋" w:hAnsi="仿宋" w:eastAsia="仿宋" w:cs="仿宋"/>
          <w:sz w:val="28"/>
          <w:szCs w:val="28"/>
          <w:lang w:eastAsia="zh-Hans"/>
        </w:rPr>
        <w:t>，</w:t>
      </w:r>
      <w:r>
        <w:rPr>
          <w:rFonts w:hint="eastAsia" w:ascii="仿宋" w:hAnsi="仿宋" w:eastAsia="仿宋" w:cs="仿宋"/>
          <w:sz w:val="28"/>
          <w:szCs w:val="28"/>
          <w:lang w:eastAsia="zh-Hans"/>
        </w:rPr>
        <w:t>相关不动产不以变更登记为交付方式</w:t>
      </w:r>
      <w:r>
        <w:rPr>
          <w:rFonts w:ascii="仿宋" w:hAnsi="仿宋" w:eastAsia="仿宋" w:cs="仿宋"/>
          <w:sz w:val="28"/>
          <w:szCs w:val="28"/>
          <w:lang w:eastAsia="zh-Hans"/>
        </w:rPr>
        <w:t>）</w:t>
      </w:r>
      <w:r>
        <w:rPr>
          <w:rFonts w:hint="eastAsia" w:ascii="仿宋" w:hAnsi="仿宋" w:eastAsia="仿宋" w:cs="仿宋"/>
          <w:sz w:val="28"/>
          <w:szCs w:val="28"/>
        </w:rPr>
        <w:t>，</w:t>
      </w:r>
      <w:r>
        <w:rPr>
          <w:rFonts w:ascii="仿宋" w:hAnsi="仿宋" w:eastAsia="仿宋" w:cs="仿宋"/>
          <w:sz w:val="28"/>
          <w:szCs w:val="28"/>
          <w:lang w:eastAsia="zh-Hans"/>
        </w:rPr>
        <w:t>六</w:t>
      </w:r>
      <w:r>
        <w:rPr>
          <w:rFonts w:hint="eastAsia" w:ascii="仿宋" w:hAnsi="仿宋" w:eastAsia="仿宋" w:cs="仿宋"/>
          <w:sz w:val="28"/>
          <w:szCs w:val="28"/>
          <w:lang w:eastAsia="zh-Hans"/>
        </w:rPr>
        <w:t>个月</w:t>
      </w:r>
      <w:r>
        <w:rPr>
          <w:rFonts w:hint="eastAsia" w:ascii="仿宋" w:hAnsi="仿宋" w:eastAsia="仿宋" w:cs="仿宋"/>
          <w:sz w:val="28"/>
          <w:szCs w:val="28"/>
        </w:rPr>
        <w:t>内</w:t>
      </w:r>
      <w:r>
        <w:rPr>
          <w:rFonts w:hint="eastAsia" w:ascii="仿宋" w:hAnsi="仿宋" w:eastAsia="仿宋" w:cs="仿宋"/>
          <w:sz w:val="28"/>
          <w:szCs w:val="28"/>
          <w:lang w:val="en-US" w:eastAsia="zh-CN"/>
        </w:rPr>
        <w:t>且乙方全款到位后</w:t>
      </w:r>
      <w:r>
        <w:rPr>
          <w:rFonts w:hint="eastAsia" w:ascii="仿宋" w:hAnsi="仿宋" w:eastAsia="仿宋" w:cs="仿宋"/>
          <w:sz w:val="28"/>
          <w:szCs w:val="28"/>
        </w:rPr>
        <w:t>将</w:t>
      </w:r>
      <w:r>
        <w:rPr>
          <w:rFonts w:hint="eastAsia" w:ascii="仿宋" w:hAnsi="仿宋" w:eastAsia="仿宋" w:cs="仿宋"/>
          <w:sz w:val="28"/>
          <w:szCs w:val="28"/>
          <w:lang w:val="en-US" w:eastAsia="zh-CN"/>
        </w:rPr>
        <w:t>目标公司</w:t>
      </w:r>
      <w:r>
        <w:rPr>
          <w:rFonts w:hint="eastAsia" w:ascii="仿宋" w:hAnsi="仿宋" w:eastAsia="仿宋" w:cs="仿宋"/>
          <w:sz w:val="28"/>
          <w:szCs w:val="28"/>
        </w:rPr>
        <w:t>股权调整变更至乙方名下。</w:t>
      </w:r>
    </w:p>
    <w:p w14:paraId="200D5650">
      <w:pPr>
        <w:adjustRightInd w:val="0"/>
        <w:snapToGrid w:val="0"/>
        <w:spacing w:before="156" w:beforeLines="50" w:line="460" w:lineRule="exac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Hans"/>
        </w:rPr>
        <w:t>因目前</w:t>
      </w:r>
      <w:r>
        <w:rPr>
          <w:rFonts w:hint="eastAsia" w:ascii="仿宋" w:hAnsi="仿宋" w:eastAsia="仿宋" w:cs="仿宋"/>
          <w:sz w:val="28"/>
          <w:szCs w:val="28"/>
          <w:lang w:val="en-US" w:eastAsia="zh-CN"/>
        </w:rPr>
        <w:t>目标公司由承租方整体</w:t>
      </w:r>
      <w:r>
        <w:rPr>
          <w:rFonts w:hint="eastAsia" w:ascii="仿宋" w:hAnsi="仿宋" w:eastAsia="仿宋" w:cs="仿宋"/>
          <w:sz w:val="28"/>
          <w:szCs w:val="28"/>
          <w:lang w:eastAsia="zh-Hans"/>
        </w:rPr>
        <w:t>租赁</w:t>
      </w:r>
      <w:r>
        <w:rPr>
          <w:rFonts w:hint="eastAsia" w:ascii="仿宋" w:hAnsi="仿宋" w:eastAsia="仿宋" w:cs="仿宋"/>
          <w:sz w:val="28"/>
          <w:szCs w:val="28"/>
          <w:lang w:val="en-US" w:eastAsia="zh-CN"/>
        </w:rPr>
        <w:t>/来料加工方生产经营</w:t>
      </w:r>
      <w:r>
        <w:rPr>
          <w:rFonts w:ascii="仿宋" w:hAnsi="仿宋" w:eastAsia="仿宋" w:cs="仿宋"/>
          <w:sz w:val="28"/>
          <w:szCs w:val="28"/>
          <w:lang w:eastAsia="zh-Hans"/>
        </w:rPr>
        <w:t>，</w:t>
      </w:r>
      <w:r>
        <w:rPr>
          <w:rFonts w:hint="eastAsia" w:ascii="仿宋" w:hAnsi="仿宋" w:eastAsia="仿宋" w:cs="仿宋"/>
          <w:sz w:val="28"/>
          <w:szCs w:val="28"/>
          <w:lang w:eastAsia="zh-Hans"/>
        </w:rPr>
        <w:t>乙方在进驻厂区</w:t>
      </w:r>
      <w:r>
        <w:rPr>
          <w:rFonts w:hint="eastAsia" w:ascii="仿宋" w:hAnsi="仿宋" w:eastAsia="仿宋" w:cs="仿宋"/>
          <w:sz w:val="28"/>
          <w:szCs w:val="28"/>
          <w:lang w:val="en-US" w:eastAsia="zh-CN"/>
        </w:rPr>
        <w:t>正式</w:t>
      </w:r>
      <w:r>
        <w:rPr>
          <w:rFonts w:hint="eastAsia" w:ascii="仿宋" w:hAnsi="仿宋" w:eastAsia="仿宋" w:cs="仿宋"/>
          <w:sz w:val="28"/>
          <w:szCs w:val="28"/>
          <w:lang w:eastAsia="zh-Hans"/>
        </w:rPr>
        <w:t>开展生产经营之前</w:t>
      </w:r>
      <w:r>
        <w:rPr>
          <w:rFonts w:ascii="仿宋" w:hAnsi="仿宋" w:eastAsia="仿宋" w:cs="仿宋"/>
          <w:sz w:val="28"/>
          <w:szCs w:val="28"/>
          <w:lang w:eastAsia="zh-Hans"/>
        </w:rPr>
        <w:t>，</w:t>
      </w:r>
      <w:r>
        <w:rPr>
          <w:rFonts w:hint="eastAsia" w:ascii="仿宋" w:hAnsi="仿宋" w:eastAsia="仿宋" w:cs="仿宋"/>
          <w:sz w:val="28"/>
          <w:szCs w:val="28"/>
          <w:lang w:eastAsia="zh-Hans"/>
        </w:rPr>
        <w:t>应给其留出</w:t>
      </w:r>
      <w:r>
        <w:rPr>
          <w:rFonts w:hint="eastAsia" w:ascii="仿宋" w:hAnsi="仿宋" w:eastAsia="仿宋" w:cs="仿宋"/>
          <w:sz w:val="28"/>
          <w:szCs w:val="28"/>
          <w:lang w:val="en-US" w:eastAsia="zh-CN"/>
        </w:rPr>
        <w:t>不低于30日</w:t>
      </w:r>
      <w:r>
        <w:rPr>
          <w:rFonts w:hint="eastAsia" w:ascii="仿宋" w:hAnsi="仿宋" w:eastAsia="仿宋" w:cs="仿宋"/>
          <w:sz w:val="28"/>
          <w:szCs w:val="28"/>
          <w:lang w:eastAsia="zh-Hans"/>
        </w:rPr>
        <w:t>的退出时间</w:t>
      </w:r>
      <w:r>
        <w:rPr>
          <w:rFonts w:hint="eastAsia" w:ascii="仿宋" w:hAnsi="仿宋" w:eastAsia="仿宋" w:cs="仿宋"/>
          <w:sz w:val="28"/>
          <w:szCs w:val="28"/>
          <w:lang w:eastAsia="zh-CN"/>
        </w:rPr>
        <w:t>。</w:t>
      </w:r>
    </w:p>
    <w:p w14:paraId="1253AA1D">
      <w:pPr>
        <w:adjustRightInd w:val="0"/>
        <w:snapToGrid w:val="0"/>
        <w:spacing w:before="156" w:beforeLines="50" w:line="460" w:lineRule="exact"/>
        <w:ind w:firstLine="560" w:firstLineChars="200"/>
        <w:rPr>
          <w:rFonts w:ascii="仿宋" w:hAnsi="仿宋" w:eastAsia="仿宋" w:cs="仿宋"/>
          <w:sz w:val="28"/>
          <w:szCs w:val="28"/>
        </w:rPr>
      </w:pPr>
      <w:r>
        <w:rPr>
          <w:rFonts w:hint="eastAsia" w:ascii="仿宋" w:hAnsi="仿宋" w:eastAsia="仿宋" w:cs="仿宋"/>
          <w:sz w:val="28"/>
          <w:szCs w:val="28"/>
        </w:rPr>
        <w:t>第六条 特殊事项约定</w:t>
      </w:r>
    </w:p>
    <w:p w14:paraId="2EB1DC2C">
      <w:pPr>
        <w:adjustRightInd w:val="0"/>
        <w:snapToGrid w:val="0"/>
        <w:spacing w:before="156" w:beforeLines="50" w:line="460" w:lineRule="exact"/>
        <w:ind w:firstLine="560" w:firstLineChars="200"/>
        <w:rPr>
          <w:rFonts w:ascii="仿宋" w:hAnsi="仿宋" w:eastAsia="仿宋" w:cs="仿宋"/>
          <w:sz w:val="28"/>
          <w:szCs w:val="28"/>
        </w:rPr>
      </w:pPr>
      <w:r>
        <w:rPr>
          <w:rFonts w:hint="eastAsia" w:ascii="仿宋" w:hAnsi="仿宋" w:eastAsia="仿宋" w:cs="仿宋"/>
          <w:sz w:val="28"/>
          <w:szCs w:val="28"/>
        </w:rPr>
        <w:t>（一）乙方在本协议签订前审阅了与资产交易有关的审计与评估报告并进行了现场查勘，交易价款以审计或评估报告作为参考依据，乙方愿按资产在交接时的现状进行接收。</w:t>
      </w:r>
    </w:p>
    <w:p w14:paraId="380574B4">
      <w:pPr>
        <w:adjustRightInd w:val="0"/>
        <w:snapToGrid w:val="0"/>
        <w:spacing w:before="156" w:beforeLines="50"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（二）乙方接收</w:t>
      </w:r>
      <w:r>
        <w:rPr>
          <w:rFonts w:hint="eastAsia" w:ascii="仿宋" w:hAnsi="仿宋" w:eastAsia="仿宋" w:cs="仿宋"/>
          <w:sz w:val="28"/>
          <w:szCs w:val="28"/>
          <w:lang w:val="en-US" w:eastAsia="zh-CN"/>
        </w:rPr>
        <w:t>目标公司</w:t>
      </w:r>
      <w:r>
        <w:rPr>
          <w:rFonts w:hint="eastAsia" w:ascii="仿宋" w:hAnsi="仿宋" w:eastAsia="仿宋" w:cs="仿宋"/>
          <w:sz w:val="28"/>
          <w:szCs w:val="28"/>
        </w:rPr>
        <w:t>股权的同时接收其全部现有员工。</w:t>
      </w:r>
    </w:p>
    <w:p w14:paraId="7C980B50">
      <w:pPr>
        <w:adjustRightInd w:val="0"/>
        <w:snapToGrid w:val="0"/>
        <w:spacing w:before="156" w:beforeLines="50" w:line="460" w:lineRule="exact"/>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三）分期付款的，乙方在支付完毕全部交易对价之前，不得对目标公司资产设置抵押、质押等权利限制，不得利用目标公司资产融资。</w:t>
      </w:r>
    </w:p>
    <w:p w14:paraId="445AFAC0">
      <w:pPr>
        <w:numPr>
          <w:ilvl w:val="-1"/>
          <w:numId w:val="0"/>
        </w:numPr>
        <w:adjustRightInd w:val="0"/>
        <w:snapToGrid w:val="0"/>
        <w:spacing w:before="156" w:beforeLines="50" w:line="460" w:lineRule="exact"/>
        <w:ind w:firstLine="560" w:firstLineChars="200"/>
        <w:rPr>
          <w:rFonts w:ascii="仿宋" w:hAnsi="仿宋" w:eastAsia="仿宋" w:cs="仿宋"/>
          <w:sz w:val="28"/>
          <w:szCs w:val="28"/>
        </w:rPr>
      </w:pPr>
      <w:r>
        <w:rPr>
          <w:rFonts w:hint="eastAsia" w:ascii="仿宋" w:hAnsi="仿宋" w:eastAsia="仿宋" w:cs="仿宋"/>
          <w:sz w:val="28"/>
          <w:szCs w:val="28"/>
          <w:lang w:val="en-US" w:eastAsia="zh-CN"/>
        </w:rPr>
        <w:t>（四）</w:t>
      </w:r>
      <w:r>
        <w:rPr>
          <w:rFonts w:hint="eastAsia" w:ascii="仿宋" w:hAnsi="仿宋" w:eastAsia="仿宋" w:cs="仿宋"/>
          <w:sz w:val="28"/>
          <w:szCs w:val="28"/>
        </w:rPr>
        <w:t>本协议为附条件生效合同，若</w:t>
      </w:r>
      <w:r>
        <w:rPr>
          <w:rFonts w:hint="eastAsia" w:ascii="仿宋" w:hAnsi="仿宋" w:eastAsia="仿宋" w:cs="仿宋"/>
          <w:sz w:val="28"/>
          <w:szCs w:val="28"/>
          <w:lang w:eastAsia="zh-CN"/>
        </w:rPr>
        <w:t>滨海法院</w:t>
      </w:r>
      <w:r>
        <w:rPr>
          <w:rFonts w:hint="eastAsia" w:ascii="仿宋" w:hAnsi="仿宋" w:eastAsia="仿宋" w:cs="仿宋"/>
          <w:sz w:val="28"/>
          <w:szCs w:val="28"/>
          <w:lang w:eastAsia="zh-Hans"/>
        </w:rPr>
        <w:t>未裁定批准重整计划草案</w:t>
      </w:r>
      <w:r>
        <w:rPr>
          <w:rFonts w:hint="eastAsia" w:ascii="仿宋" w:hAnsi="仿宋" w:eastAsia="仿宋" w:cs="仿宋"/>
          <w:sz w:val="28"/>
          <w:szCs w:val="28"/>
        </w:rPr>
        <w:t>，则本协议自动解除。甲乙双方可就投资事宜另行协商，协商不成的，甲乙双方有权向对方发送解除通知，甲方应在向乙方发出解除通知或收到乙方发出解除通知后三个工作日内，按照原付款路径无息退回乙方</w:t>
      </w:r>
      <w:r>
        <w:rPr>
          <w:rFonts w:hint="eastAsia" w:ascii="仿宋" w:hAnsi="仿宋" w:eastAsia="仿宋" w:cs="仿宋"/>
          <w:sz w:val="28"/>
          <w:szCs w:val="28"/>
          <w:lang w:eastAsia="zh-Hans"/>
        </w:rPr>
        <w:t>已</w:t>
      </w:r>
      <w:r>
        <w:rPr>
          <w:rFonts w:hint="eastAsia" w:ascii="仿宋" w:hAnsi="仿宋" w:eastAsia="仿宋" w:cs="仿宋"/>
          <w:sz w:val="28"/>
          <w:szCs w:val="28"/>
        </w:rPr>
        <w:t>支付的投资价款。为免歧义，该款独立于本协议第十二条合同成立与生效条款，即使合同生效条件未成就，该款对双方仍具有约束力。</w:t>
      </w:r>
    </w:p>
    <w:p w14:paraId="4C786D35">
      <w:pPr>
        <w:adjustRightInd w:val="0"/>
        <w:snapToGrid w:val="0"/>
        <w:spacing w:before="156" w:beforeLines="50" w:line="460" w:lineRule="exact"/>
        <w:ind w:firstLine="700" w:firstLineChars="250"/>
        <w:rPr>
          <w:rFonts w:ascii="仿宋" w:hAnsi="仿宋" w:eastAsia="仿宋" w:cs="仿宋"/>
          <w:sz w:val="28"/>
          <w:szCs w:val="28"/>
        </w:rPr>
      </w:pPr>
      <w:r>
        <w:rPr>
          <w:rFonts w:hint="eastAsia" w:ascii="仿宋" w:hAnsi="仿宋" w:eastAsia="仿宋" w:cs="仿宋"/>
          <w:sz w:val="28"/>
          <w:szCs w:val="28"/>
        </w:rPr>
        <w:t>第七条 税费承担</w:t>
      </w:r>
    </w:p>
    <w:p w14:paraId="4302733B">
      <w:pPr>
        <w:adjustRightInd w:val="0"/>
        <w:snapToGrid w:val="0"/>
        <w:spacing w:before="156" w:beforeLines="50" w:line="46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 因</w:t>
      </w:r>
      <w:r>
        <w:rPr>
          <w:rFonts w:hint="eastAsia" w:ascii="仿宋" w:hAnsi="仿宋" w:eastAsia="仿宋" w:cs="仿宋"/>
          <w:sz w:val="28"/>
          <w:szCs w:val="28"/>
          <w:lang w:val="en-US" w:eastAsia="zh-CN"/>
        </w:rPr>
        <w:t>资产</w:t>
      </w:r>
      <w:r>
        <w:rPr>
          <w:rFonts w:hint="eastAsia" w:ascii="仿宋" w:hAnsi="仿宋" w:eastAsia="仿宋" w:cs="仿宋"/>
          <w:sz w:val="28"/>
          <w:szCs w:val="28"/>
        </w:rPr>
        <w:t>交割所产生的税费由乙方承担，如果依法需要以甲方或第三方名义缴纳的，则相应款项由乙方支付给甲方或第三方，再由甲方或第三方以其名义进行缴纳。</w:t>
      </w:r>
    </w:p>
    <w:p w14:paraId="500B6444">
      <w:pPr>
        <w:adjustRightInd w:val="0"/>
        <w:snapToGrid w:val="0"/>
        <w:spacing w:before="156" w:beforeLines="50" w:line="460" w:lineRule="exact"/>
        <w:ind w:firstLine="560" w:firstLineChars="200"/>
        <w:rPr>
          <w:rFonts w:ascii="仿宋" w:hAnsi="仿宋" w:eastAsia="仿宋" w:cs="仿宋"/>
          <w:sz w:val="28"/>
          <w:szCs w:val="28"/>
        </w:rPr>
      </w:pPr>
      <w:r>
        <w:rPr>
          <w:rFonts w:hint="eastAsia" w:ascii="仿宋" w:hAnsi="仿宋" w:eastAsia="仿宋" w:cs="仿宋"/>
          <w:sz w:val="28"/>
          <w:szCs w:val="28"/>
        </w:rPr>
        <w:t>重整利得</w:t>
      </w:r>
      <w:r>
        <w:rPr>
          <w:rFonts w:hint="eastAsia" w:ascii="仿宋" w:hAnsi="仿宋" w:eastAsia="仿宋" w:cs="仿宋"/>
          <w:sz w:val="28"/>
          <w:szCs w:val="28"/>
          <w:lang w:val="en-US" w:eastAsia="zh-CN"/>
        </w:rPr>
        <w:t>相关税费由乙方与税务部门自行协商，</w:t>
      </w:r>
      <w:r>
        <w:rPr>
          <w:rFonts w:hint="eastAsia" w:ascii="仿宋" w:hAnsi="仿宋" w:eastAsia="仿宋" w:cs="仿宋"/>
          <w:sz w:val="28"/>
          <w:szCs w:val="28"/>
        </w:rPr>
        <w:t>甲方</w:t>
      </w:r>
      <w:r>
        <w:rPr>
          <w:rFonts w:hint="eastAsia" w:ascii="仿宋" w:hAnsi="仿宋" w:eastAsia="仿宋" w:cs="仿宋"/>
          <w:sz w:val="28"/>
          <w:szCs w:val="28"/>
          <w:lang w:val="en-US" w:eastAsia="zh-CN"/>
        </w:rPr>
        <w:t>予以</w:t>
      </w:r>
      <w:r>
        <w:rPr>
          <w:rFonts w:hint="eastAsia" w:ascii="仿宋" w:hAnsi="仿宋" w:eastAsia="仿宋" w:cs="仿宋"/>
          <w:sz w:val="28"/>
          <w:szCs w:val="28"/>
        </w:rPr>
        <w:t>协助。</w:t>
      </w:r>
    </w:p>
    <w:p w14:paraId="601269A1">
      <w:pPr>
        <w:adjustRightInd w:val="0"/>
        <w:snapToGrid w:val="0"/>
        <w:spacing w:before="156" w:beforeLines="50" w:line="460" w:lineRule="exact"/>
        <w:ind w:firstLine="560" w:firstLineChars="200"/>
        <w:rPr>
          <w:rFonts w:ascii="仿宋" w:hAnsi="仿宋" w:eastAsia="仿宋" w:cs="仿宋"/>
          <w:sz w:val="28"/>
          <w:szCs w:val="28"/>
        </w:rPr>
      </w:pPr>
      <w:r>
        <w:rPr>
          <w:rFonts w:hint="eastAsia" w:ascii="仿宋" w:hAnsi="仿宋" w:eastAsia="仿宋" w:cs="仿宋"/>
          <w:sz w:val="28"/>
          <w:szCs w:val="28"/>
        </w:rPr>
        <w:t>第八条 承诺及保证</w:t>
      </w:r>
    </w:p>
    <w:p w14:paraId="3D6B3907">
      <w:pPr>
        <w:adjustRightInd w:val="0"/>
        <w:snapToGrid w:val="0"/>
        <w:spacing w:before="156" w:beforeLines="50" w:line="460" w:lineRule="exact"/>
        <w:ind w:firstLine="560" w:firstLineChars="200"/>
        <w:rPr>
          <w:rFonts w:ascii="仿宋" w:hAnsi="仿宋" w:eastAsia="仿宋" w:cs="仿宋"/>
          <w:sz w:val="28"/>
          <w:szCs w:val="28"/>
        </w:rPr>
      </w:pPr>
      <w:r>
        <w:rPr>
          <w:rFonts w:hint="eastAsia" w:ascii="仿宋" w:hAnsi="仿宋" w:eastAsia="仿宋" w:cs="仿宋"/>
          <w:sz w:val="28"/>
          <w:szCs w:val="28"/>
        </w:rPr>
        <w:t>（一）如本协议的签署或本协议所载交易的履行需要由乙方获得相关授权、批准或同意的，乙方保证已获得此等授权、批准或同意，且此等授权、批准或同意具有完全的效力。</w:t>
      </w:r>
    </w:p>
    <w:p w14:paraId="55779ED4">
      <w:pPr>
        <w:adjustRightInd w:val="0"/>
        <w:snapToGrid w:val="0"/>
        <w:spacing w:before="156" w:beforeLines="50" w:line="460" w:lineRule="exact"/>
        <w:ind w:firstLine="560" w:firstLineChars="200"/>
        <w:rPr>
          <w:rFonts w:ascii="仿宋" w:hAnsi="仿宋" w:eastAsia="仿宋" w:cs="仿宋"/>
          <w:sz w:val="28"/>
          <w:szCs w:val="28"/>
        </w:rPr>
      </w:pPr>
      <w:r>
        <w:rPr>
          <w:rFonts w:hint="eastAsia" w:ascii="仿宋" w:hAnsi="仿宋" w:eastAsia="仿宋" w:cs="仿宋"/>
          <w:sz w:val="28"/>
          <w:szCs w:val="28"/>
        </w:rPr>
        <w:t>（二）乙方未隐瞒与订立本协议有关的事实，未提供任何虚假信息，其就参与投资所提供的资料均为真实、准确、合法、有效，所提交的复印件或扫描件均与原件相符，该等文件对乙方具有法律约束力。</w:t>
      </w:r>
    </w:p>
    <w:p w14:paraId="69150A52">
      <w:pPr>
        <w:adjustRightInd w:val="0"/>
        <w:snapToGrid w:val="0"/>
        <w:spacing w:before="156" w:beforeLines="50" w:line="460" w:lineRule="exact"/>
        <w:ind w:firstLine="560" w:firstLineChars="200"/>
        <w:rPr>
          <w:rFonts w:ascii="仿宋" w:hAnsi="仿宋" w:eastAsia="仿宋" w:cs="仿宋"/>
          <w:sz w:val="28"/>
          <w:szCs w:val="28"/>
        </w:rPr>
      </w:pPr>
      <w:r>
        <w:rPr>
          <w:rFonts w:hint="eastAsia" w:ascii="仿宋" w:hAnsi="仿宋" w:eastAsia="仿宋" w:cs="仿宋"/>
          <w:sz w:val="28"/>
          <w:szCs w:val="28"/>
        </w:rPr>
        <w:t>（三）乙方知悉关于</w:t>
      </w:r>
      <w:r>
        <w:rPr>
          <w:rFonts w:hint="eastAsia" w:ascii="仿宋" w:hAnsi="仿宋" w:eastAsia="仿宋" w:cs="仿宋"/>
          <w:sz w:val="28"/>
          <w:szCs w:val="28"/>
          <w:lang w:val="en-US" w:eastAsia="zh-CN"/>
        </w:rPr>
        <w:t>目标公司</w:t>
      </w:r>
      <w:r>
        <w:rPr>
          <w:rFonts w:hint="eastAsia" w:ascii="仿宋" w:hAnsi="仿宋" w:eastAsia="仿宋" w:cs="仿宋"/>
          <w:sz w:val="28"/>
          <w:szCs w:val="28"/>
        </w:rPr>
        <w:t>土地、房屋、资质</w:t>
      </w:r>
      <w:r>
        <w:rPr>
          <w:rFonts w:ascii="仿宋" w:hAnsi="仿宋" w:eastAsia="仿宋" w:cs="仿宋"/>
          <w:sz w:val="28"/>
          <w:szCs w:val="28"/>
        </w:rPr>
        <w:t>、</w:t>
      </w:r>
      <w:r>
        <w:rPr>
          <w:rFonts w:hint="eastAsia" w:ascii="仿宋" w:hAnsi="仿宋" w:eastAsia="仿宋" w:cs="仿宋"/>
          <w:sz w:val="28"/>
          <w:szCs w:val="28"/>
          <w:lang w:eastAsia="zh-Hans"/>
        </w:rPr>
        <w:t>劳动用工</w:t>
      </w:r>
      <w:r>
        <w:rPr>
          <w:rFonts w:hint="eastAsia" w:ascii="仿宋" w:hAnsi="仿宋" w:eastAsia="仿宋" w:cs="仿宋"/>
          <w:sz w:val="28"/>
          <w:szCs w:val="28"/>
        </w:rPr>
        <w:t>等方面的法律瑕疵，相关资产以现状进行交接，后续完善成本及费用由乙方承担，甲方承诺应就相关完善手续予以积极配合。</w:t>
      </w:r>
    </w:p>
    <w:p w14:paraId="34643DD8">
      <w:pPr>
        <w:adjustRightInd w:val="0"/>
        <w:snapToGrid w:val="0"/>
        <w:spacing w:before="156" w:beforeLines="50" w:line="460" w:lineRule="exact"/>
        <w:ind w:firstLine="560" w:firstLineChars="200"/>
        <w:rPr>
          <w:rFonts w:ascii="仿宋" w:hAnsi="仿宋" w:eastAsia="仿宋" w:cs="仿宋"/>
          <w:sz w:val="28"/>
          <w:szCs w:val="28"/>
        </w:rPr>
      </w:pPr>
      <w:r>
        <w:rPr>
          <w:rFonts w:hint="eastAsia" w:ascii="仿宋" w:hAnsi="仿宋" w:eastAsia="仿宋" w:cs="仿宋"/>
          <w:sz w:val="28"/>
          <w:szCs w:val="28"/>
        </w:rPr>
        <w:t>（四）本协议签订后乙方支付至甲方指定账户的所有交易价款，在本协议生效前，其所有权仍属于乙方，甲方不能因任何原因使用或转出重整</w:t>
      </w:r>
      <w:r>
        <w:rPr>
          <w:rFonts w:hint="eastAsia" w:ascii="仿宋" w:hAnsi="仿宋" w:eastAsia="仿宋" w:cs="仿宋"/>
          <w:sz w:val="28"/>
          <w:szCs w:val="28"/>
          <w:lang w:val="en-US" w:eastAsia="zh-CN"/>
        </w:rPr>
        <w:t>投资</w:t>
      </w:r>
      <w:r>
        <w:rPr>
          <w:rFonts w:hint="eastAsia" w:ascii="仿宋" w:hAnsi="仿宋" w:eastAsia="仿宋" w:cs="仿宋"/>
          <w:sz w:val="28"/>
          <w:szCs w:val="28"/>
        </w:rPr>
        <w:t>款，否则造成乙方损失的，由甲方承担赔偿责任。</w:t>
      </w:r>
    </w:p>
    <w:p w14:paraId="04A54AAF">
      <w:pPr>
        <w:adjustRightInd w:val="0"/>
        <w:snapToGrid w:val="0"/>
        <w:spacing w:before="156" w:beforeLines="50" w:line="460" w:lineRule="exact"/>
        <w:ind w:firstLine="560" w:firstLineChars="200"/>
        <w:rPr>
          <w:rFonts w:ascii="仿宋" w:hAnsi="仿宋" w:eastAsia="仿宋" w:cs="仿宋"/>
          <w:sz w:val="28"/>
          <w:szCs w:val="28"/>
        </w:rPr>
      </w:pPr>
      <w:r>
        <w:rPr>
          <w:rFonts w:hint="eastAsia" w:ascii="仿宋" w:hAnsi="仿宋" w:eastAsia="仿宋" w:cs="仿宋"/>
          <w:sz w:val="28"/>
          <w:szCs w:val="28"/>
        </w:rPr>
        <w:t>第九条 保密事项</w:t>
      </w:r>
    </w:p>
    <w:p w14:paraId="542ECC6D">
      <w:pPr>
        <w:adjustRightInd w:val="0"/>
        <w:snapToGrid w:val="0"/>
        <w:spacing w:before="156" w:beforeLines="50" w:line="460" w:lineRule="exact"/>
        <w:ind w:firstLine="560" w:firstLineChars="200"/>
        <w:rPr>
          <w:rFonts w:ascii="仿宋" w:hAnsi="仿宋" w:eastAsia="仿宋" w:cs="仿宋"/>
          <w:sz w:val="28"/>
          <w:szCs w:val="28"/>
        </w:rPr>
      </w:pPr>
      <w:r>
        <w:rPr>
          <w:rFonts w:hint="eastAsia" w:ascii="仿宋" w:hAnsi="仿宋" w:eastAsia="仿宋" w:cs="仿宋"/>
          <w:sz w:val="28"/>
          <w:szCs w:val="28"/>
        </w:rPr>
        <w:t>（一）各方对于本协议签署和履行过程中获得的关于本协议及本协议项下交易的文件资料和相对方的商业秘密（以下统称为“保密信息”）负有保密义务。除非出现下列情形部分或全部的，任何一方不得向第三方披露保密信息：监管机构履行监管职责之需要；协议相对方或保密信息的权利人书面同意披露；甲方履行信息披露义务之需要；法律法规的要求。</w:t>
      </w:r>
    </w:p>
    <w:p w14:paraId="22655BEC">
      <w:pPr>
        <w:adjustRightInd w:val="0"/>
        <w:snapToGrid w:val="0"/>
        <w:spacing w:before="156" w:beforeLines="50" w:line="460" w:lineRule="exact"/>
        <w:ind w:firstLine="560" w:firstLineChars="200"/>
        <w:rPr>
          <w:rFonts w:ascii="仿宋" w:hAnsi="仿宋" w:eastAsia="仿宋" w:cs="仿宋"/>
          <w:sz w:val="28"/>
          <w:szCs w:val="28"/>
        </w:rPr>
      </w:pPr>
      <w:r>
        <w:rPr>
          <w:rFonts w:hint="eastAsia" w:ascii="仿宋" w:hAnsi="仿宋" w:eastAsia="仿宋" w:cs="仿宋"/>
          <w:sz w:val="28"/>
          <w:szCs w:val="28"/>
        </w:rPr>
        <w:t>（二）各方一致同意，无论本协议是否变更、中止、解除、终止，本条约定对各方一直具有约束力，除非有关保密信息的权利人书面同意相对方解除保密义务或出现根据法律规定可以免除保密义务和责任的情形。</w:t>
      </w:r>
    </w:p>
    <w:p w14:paraId="25843CE9">
      <w:pPr>
        <w:adjustRightInd w:val="0"/>
        <w:snapToGrid w:val="0"/>
        <w:spacing w:before="156" w:beforeLines="50" w:line="460" w:lineRule="exact"/>
        <w:ind w:firstLine="560" w:firstLineChars="200"/>
        <w:rPr>
          <w:rFonts w:ascii="仿宋" w:hAnsi="仿宋" w:eastAsia="仿宋" w:cs="仿宋"/>
          <w:sz w:val="28"/>
          <w:szCs w:val="28"/>
        </w:rPr>
      </w:pPr>
      <w:r>
        <w:rPr>
          <w:rFonts w:hint="eastAsia" w:ascii="仿宋" w:hAnsi="仿宋" w:eastAsia="仿宋" w:cs="仿宋"/>
          <w:sz w:val="28"/>
          <w:szCs w:val="28"/>
        </w:rPr>
        <w:t>第十条 违约责任</w:t>
      </w:r>
    </w:p>
    <w:p w14:paraId="5D2177C1">
      <w:pPr>
        <w:adjustRightInd w:val="0"/>
        <w:snapToGrid w:val="0"/>
        <w:spacing w:before="156" w:beforeLines="50" w:line="460" w:lineRule="exact"/>
        <w:ind w:firstLine="560" w:firstLineChars="200"/>
        <w:rPr>
          <w:rFonts w:ascii="仿宋" w:hAnsi="仿宋" w:eastAsia="仿宋" w:cs="仿宋"/>
          <w:sz w:val="28"/>
          <w:szCs w:val="28"/>
        </w:rPr>
      </w:pPr>
      <w:r>
        <w:rPr>
          <w:rFonts w:hint="eastAsia" w:ascii="仿宋" w:hAnsi="仿宋" w:eastAsia="仿宋" w:cs="仿宋"/>
          <w:sz w:val="28"/>
          <w:szCs w:val="28"/>
        </w:rPr>
        <w:t>（一）本协议成立至生效期间，乙方不得单方解除或者终止本协议。否则，甲方有权没收乙方支付的重整保证金</w:t>
      </w:r>
      <w:r>
        <w:rPr>
          <w:rFonts w:hint="eastAsia" w:ascii="仿宋" w:hAnsi="仿宋" w:eastAsia="仿宋" w:cs="仿宋"/>
          <w:sz w:val="28"/>
          <w:szCs w:val="28"/>
          <w:lang w:val="en-US" w:eastAsia="zh-CN"/>
        </w:rPr>
        <w:t>1000万元</w:t>
      </w:r>
      <w:r>
        <w:rPr>
          <w:rFonts w:hint="eastAsia" w:ascii="仿宋" w:hAnsi="仿宋" w:eastAsia="仿宋" w:cs="仿宋"/>
          <w:sz w:val="28"/>
          <w:szCs w:val="28"/>
        </w:rPr>
        <w:t>。</w:t>
      </w:r>
    </w:p>
    <w:p w14:paraId="4E9A0A50">
      <w:pPr>
        <w:adjustRightInd w:val="0"/>
        <w:snapToGrid w:val="0"/>
        <w:spacing w:before="156" w:beforeLines="50" w:line="460" w:lineRule="exact"/>
        <w:ind w:firstLine="560" w:firstLineChars="200"/>
        <w:rPr>
          <w:rFonts w:ascii="仿宋" w:hAnsi="仿宋" w:eastAsia="仿宋" w:cs="仿宋"/>
          <w:sz w:val="28"/>
          <w:szCs w:val="28"/>
        </w:rPr>
      </w:pPr>
      <w:r>
        <w:rPr>
          <w:rFonts w:hint="eastAsia" w:ascii="仿宋" w:hAnsi="仿宋" w:eastAsia="仿宋" w:cs="仿宋"/>
          <w:sz w:val="28"/>
          <w:szCs w:val="28"/>
        </w:rPr>
        <w:t>(二)乙方未按照本协议约定按时支付重整对价款的，</w:t>
      </w:r>
      <w:r>
        <w:rPr>
          <w:rFonts w:hint="eastAsia" w:ascii="仿宋" w:hAnsi="仿宋" w:eastAsia="仿宋" w:cs="仿宋"/>
          <w:sz w:val="28"/>
          <w:szCs w:val="28"/>
          <w:lang w:eastAsia="zh-Hans"/>
        </w:rPr>
        <w:t>将</w:t>
      </w:r>
      <w:r>
        <w:rPr>
          <w:rFonts w:hint="eastAsia" w:ascii="仿宋" w:hAnsi="仿宋" w:eastAsia="仿宋" w:cs="仿宋"/>
          <w:sz w:val="28"/>
          <w:szCs w:val="28"/>
        </w:rPr>
        <w:t>构成违约。逾期支付超过</w:t>
      </w:r>
      <w:r>
        <w:rPr>
          <w:rFonts w:hint="eastAsia" w:ascii="仿宋" w:hAnsi="仿宋" w:eastAsia="仿宋" w:cs="仿宋"/>
          <w:sz w:val="28"/>
          <w:szCs w:val="28"/>
          <w:lang w:val="en-US" w:eastAsia="zh-CN"/>
        </w:rPr>
        <w:t>7</w:t>
      </w:r>
      <w:r>
        <w:rPr>
          <w:rFonts w:hint="eastAsia" w:ascii="仿宋" w:hAnsi="仿宋" w:eastAsia="仿宋" w:cs="仿宋"/>
          <w:sz w:val="28"/>
          <w:szCs w:val="28"/>
        </w:rPr>
        <w:t>日的，甲方有权解除本</w:t>
      </w:r>
      <w:r>
        <w:rPr>
          <w:rFonts w:hint="eastAsia" w:ascii="仿宋" w:hAnsi="仿宋" w:eastAsia="仿宋" w:cs="仿宋"/>
          <w:sz w:val="28"/>
          <w:szCs w:val="28"/>
          <w:lang w:eastAsia="zh-Hans"/>
        </w:rPr>
        <w:t>协议</w:t>
      </w:r>
      <w:r>
        <w:rPr>
          <w:rFonts w:hint="eastAsia" w:ascii="仿宋" w:hAnsi="仿宋" w:eastAsia="仿宋" w:cs="仿宋"/>
          <w:sz w:val="28"/>
          <w:szCs w:val="28"/>
        </w:rPr>
        <w:t>且不退还乙方已支付的款项</w:t>
      </w:r>
      <w:r>
        <w:rPr>
          <w:rFonts w:hint="eastAsia" w:ascii="仿宋" w:hAnsi="仿宋" w:eastAsia="仿宋" w:cs="仿宋"/>
          <w:sz w:val="28"/>
          <w:szCs w:val="28"/>
          <w:lang w:eastAsia="zh-Hans"/>
        </w:rPr>
        <w:t>及</w:t>
      </w:r>
      <w:r>
        <w:rPr>
          <w:rFonts w:hint="eastAsia" w:ascii="仿宋" w:hAnsi="仿宋" w:eastAsia="仿宋" w:cs="仿宋"/>
          <w:sz w:val="28"/>
          <w:szCs w:val="28"/>
        </w:rPr>
        <w:t>保证金。</w:t>
      </w:r>
    </w:p>
    <w:p w14:paraId="3B28609D">
      <w:pPr>
        <w:adjustRightInd w:val="0"/>
        <w:snapToGrid w:val="0"/>
        <w:spacing w:before="156" w:beforeLines="50" w:line="460" w:lineRule="exact"/>
        <w:ind w:firstLine="560" w:firstLineChars="200"/>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rPr>
        <w:t>(三)</w:t>
      </w:r>
      <w:r>
        <w:rPr>
          <w:rFonts w:hint="eastAsia" w:ascii="仿宋" w:hAnsi="仿宋" w:eastAsia="仿宋" w:cs="仿宋"/>
          <w:sz w:val="28"/>
          <w:szCs w:val="28"/>
          <w:highlight w:val="none"/>
          <w:lang w:val="en-US" w:eastAsia="zh-CN"/>
        </w:rPr>
        <w:t>在</w:t>
      </w:r>
      <w:r>
        <w:rPr>
          <w:rFonts w:hint="eastAsia" w:ascii="仿宋" w:hAnsi="仿宋" w:eastAsia="仿宋" w:cs="仿宋"/>
          <w:sz w:val="28"/>
          <w:szCs w:val="28"/>
          <w:highlight w:val="none"/>
          <w:lang w:eastAsia="zh-CN"/>
        </w:rPr>
        <w:t>滨海法院</w:t>
      </w:r>
      <w:r>
        <w:rPr>
          <w:rFonts w:hint="eastAsia" w:ascii="仿宋" w:hAnsi="仿宋" w:eastAsia="仿宋" w:cs="仿宋"/>
          <w:sz w:val="28"/>
          <w:szCs w:val="28"/>
          <w:highlight w:val="none"/>
        </w:rPr>
        <w:t>裁定批准重整计划之日</w:t>
      </w:r>
      <w:r>
        <w:rPr>
          <w:rFonts w:hint="eastAsia" w:ascii="仿宋" w:hAnsi="仿宋" w:eastAsia="仿宋" w:cs="仿宋"/>
          <w:sz w:val="28"/>
          <w:szCs w:val="28"/>
          <w:highlight w:val="none"/>
          <w:lang w:val="en-US" w:eastAsia="zh-CN"/>
        </w:rPr>
        <w:t>起10日内，</w:t>
      </w:r>
      <w:r>
        <w:rPr>
          <w:rFonts w:hint="eastAsia" w:ascii="仿宋" w:hAnsi="仿宋" w:eastAsia="仿宋" w:cs="仿宋"/>
          <w:sz w:val="28"/>
          <w:szCs w:val="28"/>
          <w:highlight w:val="none"/>
        </w:rPr>
        <w:t>甲方</w:t>
      </w:r>
      <w:r>
        <w:rPr>
          <w:rFonts w:hint="eastAsia" w:ascii="仿宋" w:hAnsi="仿宋" w:eastAsia="仿宋" w:cs="仿宋"/>
          <w:sz w:val="28"/>
          <w:szCs w:val="28"/>
          <w:highlight w:val="none"/>
          <w:lang w:val="en-US" w:eastAsia="zh-CN"/>
        </w:rPr>
        <w:t>协助乙方对目标公司现场进行接管，现场接管与租赁方/来料加工方退出可同时进行。</w:t>
      </w:r>
    </w:p>
    <w:p w14:paraId="412B3162">
      <w:pPr>
        <w:adjustRightInd w:val="0"/>
        <w:snapToGrid w:val="0"/>
        <w:spacing w:before="156" w:beforeLines="50" w:line="460" w:lineRule="exact"/>
        <w:ind w:firstLine="560" w:firstLineChars="200"/>
        <w:rPr>
          <w:rFonts w:ascii="仿宋" w:hAnsi="仿宋" w:eastAsia="仿宋" w:cs="仿宋"/>
          <w:sz w:val="28"/>
          <w:szCs w:val="28"/>
        </w:rPr>
      </w:pPr>
      <w:r>
        <w:rPr>
          <w:rFonts w:hint="eastAsia" w:ascii="仿宋" w:hAnsi="仿宋" w:eastAsia="仿宋" w:cs="仿宋"/>
          <w:sz w:val="28"/>
          <w:szCs w:val="28"/>
        </w:rPr>
        <w:t>第十一条 争议解决</w:t>
      </w:r>
    </w:p>
    <w:p w14:paraId="311262F4">
      <w:pPr>
        <w:adjustRightInd w:val="0"/>
        <w:snapToGrid w:val="0"/>
        <w:spacing w:before="156" w:beforeLines="50" w:line="460" w:lineRule="exact"/>
        <w:ind w:firstLine="560" w:firstLineChars="200"/>
        <w:rPr>
          <w:rFonts w:ascii="仿宋" w:hAnsi="仿宋" w:eastAsia="仿宋" w:cs="仿宋"/>
          <w:sz w:val="28"/>
          <w:szCs w:val="28"/>
        </w:rPr>
      </w:pPr>
      <w:r>
        <w:rPr>
          <w:rFonts w:hint="eastAsia" w:ascii="仿宋" w:hAnsi="仿宋" w:eastAsia="仿宋" w:cs="仿宋"/>
          <w:sz w:val="28"/>
          <w:szCs w:val="28"/>
        </w:rPr>
        <w:t>与本协议的签订及履行有关的任何争议，各方应友好协商解决；协商不成的，任何一方均应向本协议签订地有管辖权的人民法院提起诉讼。</w:t>
      </w:r>
    </w:p>
    <w:p w14:paraId="296B0920">
      <w:pPr>
        <w:adjustRightInd w:val="0"/>
        <w:snapToGrid w:val="0"/>
        <w:spacing w:before="156" w:beforeLines="50" w:line="460" w:lineRule="exact"/>
        <w:ind w:firstLine="560" w:firstLineChars="200"/>
        <w:rPr>
          <w:rFonts w:ascii="仿宋" w:hAnsi="仿宋" w:eastAsia="仿宋" w:cs="仿宋"/>
          <w:sz w:val="28"/>
          <w:szCs w:val="28"/>
        </w:rPr>
      </w:pPr>
      <w:r>
        <w:rPr>
          <w:rFonts w:hint="eastAsia" w:ascii="仿宋" w:hAnsi="仿宋" w:eastAsia="仿宋" w:cs="仿宋"/>
          <w:sz w:val="28"/>
          <w:szCs w:val="28"/>
        </w:rPr>
        <w:t>第十二条 协议成立与生效</w:t>
      </w:r>
    </w:p>
    <w:p w14:paraId="0A49EC57">
      <w:pPr>
        <w:adjustRightInd w:val="0"/>
        <w:snapToGrid w:val="0"/>
        <w:spacing w:before="156" w:beforeLines="50" w:line="460" w:lineRule="exact"/>
        <w:ind w:firstLine="560" w:firstLineChars="200"/>
        <w:rPr>
          <w:rFonts w:ascii="仿宋" w:hAnsi="仿宋" w:eastAsia="仿宋" w:cs="仿宋"/>
          <w:sz w:val="28"/>
          <w:szCs w:val="28"/>
        </w:rPr>
      </w:pPr>
      <w:r>
        <w:rPr>
          <w:rFonts w:hint="eastAsia" w:ascii="仿宋" w:hAnsi="仿宋" w:eastAsia="仿宋" w:cs="仿宋"/>
          <w:sz w:val="28"/>
          <w:szCs w:val="28"/>
        </w:rPr>
        <w:t>本协议经甲乙双方加盖公章后成立，经</w:t>
      </w:r>
      <w:r>
        <w:rPr>
          <w:rFonts w:hint="eastAsia" w:ascii="仿宋" w:hAnsi="仿宋" w:eastAsia="仿宋" w:cs="仿宋"/>
          <w:sz w:val="28"/>
          <w:szCs w:val="28"/>
          <w:lang w:eastAsia="zh-CN"/>
        </w:rPr>
        <w:t>滨海法院</w:t>
      </w:r>
      <w:r>
        <w:rPr>
          <w:rFonts w:hint="eastAsia" w:ascii="仿宋" w:hAnsi="仿宋" w:eastAsia="仿宋" w:cs="仿宋"/>
          <w:sz w:val="28"/>
          <w:szCs w:val="28"/>
        </w:rPr>
        <w:t>裁定批准重整计划之日起生效。</w:t>
      </w:r>
    </w:p>
    <w:p w14:paraId="50FC85AB">
      <w:pPr>
        <w:adjustRightInd w:val="0"/>
        <w:snapToGrid w:val="0"/>
        <w:spacing w:before="156" w:beforeLines="50" w:line="460" w:lineRule="exact"/>
        <w:ind w:firstLine="560" w:firstLineChars="200"/>
        <w:rPr>
          <w:rFonts w:ascii="仿宋" w:hAnsi="仿宋" w:eastAsia="仿宋" w:cs="仿宋"/>
          <w:sz w:val="28"/>
          <w:szCs w:val="28"/>
        </w:rPr>
      </w:pPr>
      <w:r>
        <w:rPr>
          <w:rFonts w:hint="eastAsia" w:ascii="仿宋" w:hAnsi="仿宋" w:eastAsia="仿宋" w:cs="仿宋"/>
          <w:sz w:val="28"/>
          <w:szCs w:val="28"/>
        </w:rPr>
        <w:t>第十三条 附则</w:t>
      </w:r>
    </w:p>
    <w:p w14:paraId="02A0D694">
      <w:pPr>
        <w:adjustRightInd w:val="0"/>
        <w:snapToGrid w:val="0"/>
        <w:spacing w:before="156" w:beforeLines="50" w:line="460" w:lineRule="exact"/>
        <w:ind w:firstLine="560" w:firstLineChars="200"/>
        <w:rPr>
          <w:rFonts w:ascii="仿宋" w:hAnsi="仿宋" w:eastAsia="仿宋" w:cs="仿宋"/>
          <w:sz w:val="28"/>
          <w:szCs w:val="28"/>
        </w:rPr>
      </w:pPr>
      <w:r>
        <w:rPr>
          <w:rFonts w:hint="eastAsia" w:ascii="仿宋" w:hAnsi="仿宋" w:eastAsia="仿宋" w:cs="仿宋"/>
          <w:sz w:val="28"/>
          <w:szCs w:val="28"/>
        </w:rPr>
        <w:t>本协议一式五份，甲方持有两份，乙方持有两份，</w:t>
      </w:r>
      <w:r>
        <w:rPr>
          <w:rFonts w:hint="eastAsia" w:ascii="仿宋" w:hAnsi="仿宋" w:eastAsia="仿宋" w:cs="仿宋"/>
          <w:sz w:val="28"/>
          <w:szCs w:val="28"/>
          <w:lang w:eastAsia="zh-CN"/>
        </w:rPr>
        <w:t>滨海法院</w:t>
      </w:r>
      <w:r>
        <w:rPr>
          <w:rFonts w:hint="eastAsia" w:ascii="仿宋" w:hAnsi="仿宋" w:eastAsia="仿宋" w:cs="仿宋"/>
          <w:sz w:val="28"/>
          <w:szCs w:val="28"/>
        </w:rPr>
        <w:t>备案一份，均具有同等法律效力。</w:t>
      </w:r>
    </w:p>
    <w:p w14:paraId="7846BBD1">
      <w:pPr>
        <w:keepNext w:val="0"/>
        <w:keepLines w:val="0"/>
        <w:pageBreakBefore w:val="0"/>
        <w:widowControl w:val="0"/>
        <w:kinsoku/>
        <w:wordWrap/>
        <w:overflowPunct/>
        <w:topLinePunct w:val="0"/>
        <w:autoSpaceDE/>
        <w:autoSpaceDN/>
        <w:bidi w:val="0"/>
        <w:adjustRightInd w:val="0"/>
        <w:snapToGrid w:val="0"/>
        <w:spacing w:before="156" w:beforeLines="50" w:line="460" w:lineRule="exact"/>
        <w:ind w:firstLine="0" w:firstLineChars="0"/>
        <w:jc w:val="both"/>
        <w:textAlignment w:val="auto"/>
        <w:rPr>
          <w:rFonts w:ascii="仿宋" w:hAnsi="仿宋" w:eastAsia="仿宋" w:cs="仿宋"/>
          <w:sz w:val="28"/>
          <w:szCs w:val="28"/>
        </w:rPr>
      </w:pPr>
      <w:r>
        <w:rPr>
          <w:rFonts w:hint="eastAsia" w:ascii="仿宋" w:hAnsi="仿宋" w:eastAsia="仿宋" w:cs="仿宋"/>
          <w:sz w:val="28"/>
          <w:szCs w:val="28"/>
        </w:rPr>
        <w:t>甲方（盖章）：</w:t>
      </w:r>
    </w:p>
    <w:p w14:paraId="390C7676">
      <w:pPr>
        <w:adjustRightInd w:val="0"/>
        <w:snapToGrid w:val="0"/>
        <w:spacing w:before="156" w:beforeLines="50" w:line="460" w:lineRule="exact"/>
        <w:rPr>
          <w:rFonts w:ascii="仿宋" w:hAnsi="仿宋" w:eastAsia="仿宋" w:cs="仿宋"/>
          <w:sz w:val="28"/>
          <w:szCs w:val="28"/>
        </w:rPr>
      </w:pPr>
      <w:r>
        <w:rPr>
          <w:rFonts w:hint="eastAsia" w:ascii="仿宋" w:hAnsi="仿宋" w:eastAsia="仿宋" w:cs="仿宋"/>
          <w:sz w:val="28"/>
          <w:szCs w:val="28"/>
        </w:rPr>
        <w:t>负责人：</w:t>
      </w:r>
    </w:p>
    <w:p w14:paraId="5993EE81">
      <w:pPr>
        <w:adjustRightInd w:val="0"/>
        <w:snapToGrid w:val="0"/>
        <w:spacing w:before="156" w:beforeLines="50" w:line="460" w:lineRule="exact"/>
        <w:rPr>
          <w:rFonts w:hint="eastAsia" w:ascii="仿宋" w:hAnsi="仿宋" w:eastAsia="仿宋" w:cs="仿宋"/>
          <w:sz w:val="28"/>
          <w:szCs w:val="28"/>
        </w:rPr>
      </w:pPr>
    </w:p>
    <w:p w14:paraId="01515D6E">
      <w:pPr>
        <w:adjustRightInd w:val="0"/>
        <w:snapToGrid w:val="0"/>
        <w:spacing w:before="156" w:beforeLines="50" w:line="460" w:lineRule="exact"/>
        <w:rPr>
          <w:rFonts w:ascii="仿宋" w:hAnsi="仿宋" w:eastAsia="仿宋" w:cs="仿宋"/>
          <w:sz w:val="28"/>
          <w:szCs w:val="28"/>
        </w:rPr>
      </w:pPr>
      <w:r>
        <w:rPr>
          <w:rFonts w:hint="eastAsia" w:ascii="仿宋" w:hAnsi="仿宋" w:eastAsia="仿宋" w:cs="仿宋"/>
          <w:sz w:val="28"/>
          <w:szCs w:val="28"/>
        </w:rPr>
        <w:t>乙方（盖章）</w:t>
      </w:r>
      <w:r>
        <w:rPr>
          <w:rFonts w:ascii="仿宋" w:hAnsi="仿宋" w:eastAsia="仿宋" w:cs="仿宋"/>
          <w:sz w:val="28"/>
          <w:szCs w:val="28"/>
        </w:rPr>
        <w:t>：</w:t>
      </w:r>
    </w:p>
    <w:p w14:paraId="2DFD65FB">
      <w:pPr>
        <w:adjustRightInd w:val="0"/>
        <w:snapToGrid w:val="0"/>
        <w:spacing w:before="156" w:beforeLines="50" w:line="460" w:lineRule="exact"/>
        <w:rPr>
          <w:rFonts w:hint="eastAsia" w:ascii="仿宋" w:hAnsi="仿宋" w:eastAsia="仿宋" w:cs="仿宋"/>
          <w:sz w:val="28"/>
          <w:szCs w:val="28"/>
        </w:rPr>
      </w:pPr>
      <w:r>
        <w:rPr>
          <w:rFonts w:hint="eastAsia" w:ascii="仿宋" w:hAnsi="仿宋" w:eastAsia="仿宋" w:cs="仿宋"/>
          <w:sz w:val="28"/>
          <w:szCs w:val="28"/>
        </w:rPr>
        <w:t xml:space="preserve">法定代表人：  </w:t>
      </w:r>
    </w:p>
    <w:p w14:paraId="60136131">
      <w:pPr>
        <w:pStyle w:val="18"/>
        <w:keepNext w:val="0"/>
        <w:keepLines w:val="0"/>
        <w:pageBreakBefore w:val="0"/>
        <w:kinsoku/>
        <w:wordWrap/>
        <w:overflowPunct/>
        <w:topLinePunct w:val="0"/>
        <w:autoSpaceDE/>
        <w:autoSpaceDN/>
        <w:bidi w:val="0"/>
        <w:adjustRightInd w:val="0"/>
        <w:snapToGrid w:val="0"/>
        <w:spacing w:before="157" w:beforeLines="50" w:beforeAutospacing="0" w:after="0" w:afterAutospacing="0" w:line="480" w:lineRule="exact"/>
        <w:ind w:left="897" w:leftChars="427" w:right="0" w:rightChars="0" w:firstLine="4340" w:firstLineChars="1550"/>
        <w:contextualSpacing w:val="0"/>
        <w:jc w:val="both"/>
        <w:textAlignment w:val="auto"/>
        <w:rPr>
          <w:rFonts w:hint="eastAsia" w:ascii="仿宋" w:hAnsi="仿宋" w:eastAsia="仿宋" w:cs="仿宋"/>
          <w:sz w:val="24"/>
          <w:szCs w:val="24"/>
        </w:rPr>
      </w:pPr>
      <w:r>
        <w:rPr>
          <w:rFonts w:hint="eastAsia" w:ascii="仿宋" w:hAnsi="仿宋" w:eastAsia="仿宋" w:cs="仿宋"/>
          <w:sz w:val="28"/>
          <w:szCs w:val="28"/>
          <w:lang w:val="en-US" w:eastAsia="zh-CN"/>
        </w:rPr>
        <w:t xml:space="preserve"> </w:t>
      </w:r>
      <w:r>
        <w:rPr>
          <w:rFonts w:hint="eastAsia" w:ascii="仿宋" w:hAnsi="仿宋" w:eastAsia="仿宋" w:cs="仿宋"/>
          <w:sz w:val="24"/>
          <w:szCs w:val="24"/>
        </w:rPr>
        <w:t xml:space="preserve"> </w:t>
      </w:r>
    </w:p>
    <w:p w14:paraId="673D1DD3">
      <w:pPr>
        <w:pStyle w:val="18"/>
        <w:keepNext w:val="0"/>
        <w:keepLines w:val="0"/>
        <w:pageBreakBefore w:val="0"/>
        <w:kinsoku/>
        <w:wordWrap/>
        <w:overflowPunct/>
        <w:topLinePunct w:val="0"/>
        <w:autoSpaceDE/>
        <w:autoSpaceDN/>
        <w:bidi w:val="0"/>
        <w:adjustRightInd w:val="0"/>
        <w:snapToGrid w:val="0"/>
        <w:spacing w:before="157" w:beforeLines="50" w:beforeAutospacing="0" w:after="0" w:afterAutospacing="0" w:line="480" w:lineRule="exact"/>
        <w:ind w:left="897" w:leftChars="427" w:right="0" w:rightChars="0" w:firstLine="3720" w:firstLineChars="1550"/>
        <w:contextualSpacing w:val="0"/>
        <w:jc w:val="both"/>
        <w:textAlignment w:val="auto"/>
        <w:rPr>
          <w:rFonts w:ascii="仿宋" w:hAnsi="仿宋" w:eastAsia="仿宋" w:cs="仿宋"/>
          <w:sz w:val="28"/>
          <w:szCs w:val="28"/>
        </w:rPr>
      </w:pPr>
      <w:r>
        <w:rPr>
          <w:rFonts w:hint="eastAsia" w:ascii="仿宋" w:hAnsi="仿宋" w:eastAsia="仿宋" w:cs="仿宋"/>
          <w:sz w:val="24"/>
          <w:szCs w:val="24"/>
          <w:lang w:val="en-US" w:eastAsia="zh-CN"/>
        </w:rPr>
        <w:t xml:space="preserve">签订日期：      </w:t>
      </w:r>
      <w:r>
        <w:rPr>
          <w:rFonts w:hint="eastAsia" w:ascii="仿宋" w:hAnsi="仿宋" w:eastAsia="仿宋" w:cs="仿宋"/>
          <w:sz w:val="24"/>
          <w:szCs w:val="24"/>
        </w:rPr>
        <w:t>年    月    日</w:t>
      </w:r>
    </w:p>
    <w:sectPr>
      <w:footerReference r:id="rId3" w:type="default"/>
      <w:pgSz w:w="11906" w:h="16838"/>
      <w:pgMar w:top="1440" w:right="1416" w:bottom="1440"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EF" w:usb1="C0007841" w:usb2="00000009" w:usb3="00000000" w:csb0="400001FF" w:csb1="FFFF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 w:name="PingFang SC">
    <w:panose1 w:val="020B0400000000000000"/>
    <w:charset w:val="86"/>
    <w:family w:val="auto"/>
    <w:pitch w:val="default"/>
    <w:sig w:usb0="A00002FF" w:usb1="7ACFFDFB" w:usb2="00000017" w:usb3="00000000" w:csb0="00040001" w:csb1="00000000"/>
  </w:font>
  <w:font w:name="Tahoma">
    <w:panose1 w:val="020B0804030504040204"/>
    <w:charset w:val="00"/>
    <w:family w:val="auto"/>
    <w:pitch w:val="default"/>
    <w:sig w:usb0="E1002A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F97530">
    <w:pPr>
      <w:pStyle w:val="8"/>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5</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6</w:t>
    </w:r>
    <w:r>
      <w:rPr>
        <w:b/>
        <w:sz w:val="24"/>
        <w:szCs w:val="24"/>
      </w:rPr>
      <w:fldChar w:fldCharType="end"/>
    </w:r>
  </w:p>
  <w:p w14:paraId="30118D1A">
    <w:pPr>
      <w:pStyle w:val="8"/>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C9F7CBD0"/>
    <w:rsid w:val="000E768A"/>
    <w:rsid w:val="00184BC3"/>
    <w:rsid w:val="001D58D6"/>
    <w:rsid w:val="00284C48"/>
    <w:rsid w:val="00346761"/>
    <w:rsid w:val="003F596E"/>
    <w:rsid w:val="00404F2F"/>
    <w:rsid w:val="00431D2F"/>
    <w:rsid w:val="00434D2F"/>
    <w:rsid w:val="004971D6"/>
    <w:rsid w:val="004F52D7"/>
    <w:rsid w:val="00503AA5"/>
    <w:rsid w:val="005267DA"/>
    <w:rsid w:val="0053164C"/>
    <w:rsid w:val="00732F16"/>
    <w:rsid w:val="008B75E1"/>
    <w:rsid w:val="008E5ED8"/>
    <w:rsid w:val="00910D85"/>
    <w:rsid w:val="00924B89"/>
    <w:rsid w:val="00970707"/>
    <w:rsid w:val="00982A9A"/>
    <w:rsid w:val="009B1E59"/>
    <w:rsid w:val="009C0278"/>
    <w:rsid w:val="00A12B43"/>
    <w:rsid w:val="00A74BF4"/>
    <w:rsid w:val="00AA500B"/>
    <w:rsid w:val="00B80094"/>
    <w:rsid w:val="00BD04F1"/>
    <w:rsid w:val="00BD5427"/>
    <w:rsid w:val="00C7660B"/>
    <w:rsid w:val="00D161D1"/>
    <w:rsid w:val="00E93559"/>
    <w:rsid w:val="00ED2AC3"/>
    <w:rsid w:val="00F30E36"/>
    <w:rsid w:val="00F46CA9"/>
    <w:rsid w:val="01E606FF"/>
    <w:rsid w:val="049E73D9"/>
    <w:rsid w:val="053A308D"/>
    <w:rsid w:val="073E5E9A"/>
    <w:rsid w:val="09757850"/>
    <w:rsid w:val="0A371F16"/>
    <w:rsid w:val="0B784EDE"/>
    <w:rsid w:val="0D5A5776"/>
    <w:rsid w:val="0F7617D8"/>
    <w:rsid w:val="106C5368"/>
    <w:rsid w:val="148B4DE9"/>
    <w:rsid w:val="14EB3CDA"/>
    <w:rsid w:val="187976DF"/>
    <w:rsid w:val="191A26EE"/>
    <w:rsid w:val="1DD46211"/>
    <w:rsid w:val="1E7F4BB8"/>
    <w:rsid w:val="1F330F2F"/>
    <w:rsid w:val="23AC05BB"/>
    <w:rsid w:val="296F05D2"/>
    <w:rsid w:val="2F120052"/>
    <w:rsid w:val="31F528F3"/>
    <w:rsid w:val="33911C67"/>
    <w:rsid w:val="36AD0EE0"/>
    <w:rsid w:val="37AF722C"/>
    <w:rsid w:val="3CFA438C"/>
    <w:rsid w:val="3E640604"/>
    <w:rsid w:val="3ED46079"/>
    <w:rsid w:val="3FEDB2AB"/>
    <w:rsid w:val="3FF5B736"/>
    <w:rsid w:val="4320647A"/>
    <w:rsid w:val="445A60A9"/>
    <w:rsid w:val="49FB377B"/>
    <w:rsid w:val="4F8E1033"/>
    <w:rsid w:val="53AD1153"/>
    <w:rsid w:val="55465D03"/>
    <w:rsid w:val="59D7371A"/>
    <w:rsid w:val="5B570E7C"/>
    <w:rsid w:val="5BEC5AA0"/>
    <w:rsid w:val="5F7FBA42"/>
    <w:rsid w:val="5F9BE1F0"/>
    <w:rsid w:val="5FDFA5A2"/>
    <w:rsid w:val="62382A14"/>
    <w:rsid w:val="637E3402"/>
    <w:rsid w:val="65C33A2E"/>
    <w:rsid w:val="69F5FF73"/>
    <w:rsid w:val="6F9FCD7E"/>
    <w:rsid w:val="74505141"/>
    <w:rsid w:val="76012D11"/>
    <w:rsid w:val="76FF2881"/>
    <w:rsid w:val="7D737C75"/>
    <w:rsid w:val="7DDD9B8C"/>
    <w:rsid w:val="7DFDB18C"/>
    <w:rsid w:val="7E6E880A"/>
    <w:rsid w:val="7F841A41"/>
    <w:rsid w:val="7FCE5FA8"/>
    <w:rsid w:val="7FEBFD5B"/>
    <w:rsid w:val="A5BBA507"/>
    <w:rsid w:val="A7F8FCCB"/>
    <w:rsid w:val="B66A38CF"/>
    <w:rsid w:val="B6FF0CED"/>
    <w:rsid w:val="BE7C0C07"/>
    <w:rsid w:val="BFCFF297"/>
    <w:rsid w:val="BFFDF3B0"/>
    <w:rsid w:val="C5F3CE72"/>
    <w:rsid w:val="C9F7CBD0"/>
    <w:rsid w:val="D8BFB33E"/>
    <w:rsid w:val="DBD8914D"/>
    <w:rsid w:val="DDE720BB"/>
    <w:rsid w:val="DEFCD2A3"/>
    <w:rsid w:val="EEB7F804"/>
    <w:rsid w:val="EFAF282E"/>
    <w:rsid w:val="EFEF0382"/>
    <w:rsid w:val="F1BB568B"/>
    <w:rsid w:val="F3D8616B"/>
    <w:rsid w:val="FCEE3ED2"/>
    <w:rsid w:val="FCFDE9B7"/>
    <w:rsid w:val="FDFB1F39"/>
    <w:rsid w:val="FE9F9414"/>
    <w:rsid w:val="FEDF7886"/>
    <w:rsid w:val="FF5B45AB"/>
    <w:rsid w:val="FFB76CA4"/>
    <w:rsid w:val="FFD31E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Theme="minorEastAsia" w:cstheme="minorBidi"/>
      <w:kern w:val="2"/>
      <w:sz w:val="21"/>
      <w:szCs w:val="22"/>
      <w:lang w:val="en-US" w:eastAsia="zh-CN" w:bidi="ar-SA"/>
    </w:rPr>
  </w:style>
  <w:style w:type="paragraph" w:styleId="2">
    <w:name w:val="heading 1"/>
    <w:basedOn w:val="1"/>
    <w:next w:val="1"/>
    <w:link w:val="19"/>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link w:val="20"/>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link w:val="21"/>
    <w:semiHidden/>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link w:val="22"/>
    <w:semiHidden/>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link w:val="14"/>
    <w:qFormat/>
    <w:uiPriority w:val="0"/>
    <w:pPr>
      <w:jc w:val="left"/>
    </w:pPr>
  </w:style>
  <w:style w:type="paragraph" w:styleId="7">
    <w:name w:val="Balloon Text"/>
    <w:basedOn w:val="1"/>
    <w:link w:val="16"/>
    <w:qFormat/>
    <w:uiPriority w:val="0"/>
    <w:rPr>
      <w:sz w:val="18"/>
      <w:szCs w:val="18"/>
    </w:rPr>
  </w:style>
  <w:style w:type="paragraph" w:styleId="8">
    <w:name w:val="footer"/>
    <w:basedOn w:val="1"/>
    <w:qFormat/>
    <w:uiPriority w:val="0"/>
    <w:pPr>
      <w:tabs>
        <w:tab w:val="center" w:pos="4153"/>
        <w:tab w:val="right" w:pos="8306"/>
      </w:tabs>
      <w:snapToGrid w:val="0"/>
      <w:jc w:val="left"/>
    </w:pPr>
    <w:rPr>
      <w:rFonts w:ascii="Times New Roman" w:hAnsi="Times New Roman"/>
      <w:kern w:val="0"/>
      <w:sz w:val="18"/>
      <w:szCs w:val="18"/>
    </w:rPr>
  </w:style>
  <w:style w:type="paragraph" w:styleId="9">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10">
    <w:name w:val="annotation subject"/>
    <w:basedOn w:val="6"/>
    <w:next w:val="6"/>
    <w:link w:val="15"/>
    <w:qFormat/>
    <w:uiPriority w:val="0"/>
    <w:rPr>
      <w:b/>
      <w:bCs/>
    </w:rPr>
  </w:style>
  <w:style w:type="character" w:styleId="13">
    <w:name w:val="annotation reference"/>
    <w:basedOn w:val="12"/>
    <w:qFormat/>
    <w:uiPriority w:val="0"/>
    <w:rPr>
      <w:sz w:val="21"/>
      <w:szCs w:val="21"/>
    </w:rPr>
  </w:style>
  <w:style w:type="character" w:customStyle="1" w:styleId="14">
    <w:name w:val="批注文字 字符"/>
    <w:basedOn w:val="12"/>
    <w:link w:val="6"/>
    <w:qFormat/>
    <w:uiPriority w:val="0"/>
    <w:rPr>
      <w:rFonts w:ascii="Calibri" w:hAnsi="Calibri"/>
      <w:kern w:val="2"/>
      <w:sz w:val="21"/>
      <w:szCs w:val="22"/>
    </w:rPr>
  </w:style>
  <w:style w:type="character" w:customStyle="1" w:styleId="15">
    <w:name w:val="批注主题 字符"/>
    <w:basedOn w:val="14"/>
    <w:link w:val="10"/>
    <w:qFormat/>
    <w:uiPriority w:val="0"/>
    <w:rPr>
      <w:rFonts w:ascii="Calibri" w:hAnsi="Calibri"/>
      <w:b/>
      <w:bCs/>
      <w:kern w:val="2"/>
      <w:sz w:val="21"/>
      <w:szCs w:val="22"/>
    </w:rPr>
  </w:style>
  <w:style w:type="character" w:customStyle="1" w:styleId="16">
    <w:name w:val="批注框文本 字符"/>
    <w:basedOn w:val="12"/>
    <w:link w:val="7"/>
    <w:qFormat/>
    <w:uiPriority w:val="0"/>
    <w:rPr>
      <w:rFonts w:ascii="Calibri" w:hAnsi="Calibri"/>
      <w:kern w:val="2"/>
      <w:sz w:val="18"/>
      <w:szCs w:val="18"/>
    </w:rPr>
  </w:style>
  <w:style w:type="character" w:customStyle="1" w:styleId="17">
    <w:name w:val="页眉 字符"/>
    <w:basedOn w:val="12"/>
    <w:link w:val="9"/>
    <w:qFormat/>
    <w:uiPriority w:val="0"/>
    <w:rPr>
      <w:rFonts w:ascii="Calibri" w:hAnsi="Calibri"/>
      <w:kern w:val="2"/>
      <w:sz w:val="18"/>
      <w:szCs w:val="18"/>
    </w:rPr>
  </w:style>
  <w:style w:type="paragraph" w:customStyle="1" w:styleId="18">
    <w:name w:val="List Paragraph"/>
    <w:basedOn w:val="1"/>
    <w:qFormat/>
    <w:uiPriority w:val="34"/>
    <w:pPr>
      <w:ind w:left="720"/>
      <w:contextualSpacing/>
    </w:pPr>
  </w:style>
  <w:style w:type="character" w:customStyle="1" w:styleId="19">
    <w:name w:val="标题 1 Char"/>
    <w:link w:val="2"/>
    <w:qFormat/>
    <w:uiPriority w:val="0"/>
    <w:rPr>
      <w:b/>
      <w:kern w:val="44"/>
      <w:sz w:val="44"/>
    </w:rPr>
  </w:style>
  <w:style w:type="character" w:customStyle="1" w:styleId="20">
    <w:name w:val="标题 2 Char"/>
    <w:link w:val="3"/>
    <w:qFormat/>
    <w:uiPriority w:val="0"/>
    <w:rPr>
      <w:rFonts w:ascii="Arial" w:hAnsi="Arial" w:eastAsia="黑体"/>
      <w:b/>
      <w:sz w:val="32"/>
    </w:rPr>
  </w:style>
  <w:style w:type="character" w:customStyle="1" w:styleId="21">
    <w:name w:val="标题 3 Char"/>
    <w:link w:val="4"/>
    <w:qFormat/>
    <w:uiPriority w:val="0"/>
    <w:rPr>
      <w:b/>
      <w:sz w:val="32"/>
    </w:rPr>
  </w:style>
  <w:style w:type="character" w:customStyle="1" w:styleId="22">
    <w:name w:val="标题 4 Char"/>
    <w:link w:val="5"/>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2841</Words>
  <Characters>2886</Characters>
  <Lines>22</Lines>
  <Paragraphs>6</Paragraphs>
  <TotalTime>31</TotalTime>
  <ScaleCrop>false</ScaleCrop>
  <LinksUpToDate>false</LinksUpToDate>
  <CharactersWithSpaces>3036</CharactersWithSpaces>
  <Application>WPS Office_6.15.2.8936_F1E327BC-269C-435d-A152-05C5408002CA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2021-07-20T15:04:00Z</dcterms:created>
  <dc:creator>zhaoyang</dc:creator>
  <cp:lastModifiedBy>赵阳 大成DENTONS</cp:lastModifiedBy>
  <dcterms:modified xsi:type="dcterms:W3CDTF">2025-02-10T14:44:23Z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2052-6.15.2.8936</vt:lpwstr>
  </property>
  <property fmtid="{D5CDD505-2E9C-101B-9397-08002B2CF9AE}" pid="3" name="ICV">
    <vt:lpwstr>DD755CDE8C33F4A16C3BA8672D78771D_43</vt:lpwstr>
  </property>
  <property fmtid="{D5CDD505-2E9C-101B-9397-08002B2CF9AE}" pid="4" name="KSOTemplateDocerSaveRecord">
    <vt:lpwstr>eyJoZGlkIjoiNDRmYTFlMDE2ZDcyM2QzNmFhZTA5MTE1NjY4YWQ1N2IiLCJ1c2VySWQiOiIzNjA4MjM5MjYifQ==</vt:lpwstr>
  </property>
</Properties>
</file>