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653449">
      <w:pPr>
        <w:jc w:val="center"/>
        <w:rPr>
          <w:rStyle w:val="9"/>
          <w:rFonts w:ascii="华文中宋" w:hAnsi="华文中宋" w:eastAsia="华文中宋" w:cs="华文中宋"/>
          <w:b/>
          <w:sz w:val="36"/>
          <w:szCs w:val="36"/>
          <w:highlight w:val="none"/>
          <w:shd w:val="clear" w:color="auto" w:fill="FFFFFF"/>
        </w:rPr>
      </w:pPr>
      <w:r>
        <w:rPr>
          <w:rStyle w:val="9"/>
          <w:rFonts w:hint="eastAsia" w:ascii="华文中宋" w:hAnsi="华文中宋" w:eastAsia="华文中宋" w:cs="华文中宋"/>
          <w:b/>
          <w:sz w:val="36"/>
          <w:szCs w:val="36"/>
          <w:highlight w:val="none"/>
          <w:shd w:val="clear" w:color="auto" w:fill="FFFFFF"/>
        </w:rPr>
        <w:t xml:space="preserve"> 深圳市科锐普透科技有限公司破产</w:t>
      </w:r>
      <w:r>
        <w:rPr>
          <w:rStyle w:val="9"/>
          <w:rFonts w:hint="eastAsia" w:ascii="华文中宋" w:hAnsi="华文中宋" w:eastAsia="华文中宋" w:cs="华文中宋"/>
          <w:b/>
          <w:sz w:val="36"/>
          <w:szCs w:val="36"/>
          <w:highlight w:val="none"/>
          <w:shd w:val="clear" w:color="auto" w:fill="FFFFFF"/>
          <w:lang w:val="en-US" w:eastAsia="zh-CN"/>
        </w:rPr>
        <w:t>清算</w:t>
      </w:r>
      <w:r>
        <w:rPr>
          <w:rStyle w:val="9"/>
          <w:rFonts w:hint="eastAsia" w:ascii="华文中宋" w:hAnsi="华文中宋" w:eastAsia="华文中宋" w:cs="华文中宋"/>
          <w:b/>
          <w:sz w:val="36"/>
          <w:szCs w:val="36"/>
          <w:highlight w:val="none"/>
          <w:shd w:val="clear" w:color="auto" w:fill="FFFFFF"/>
        </w:rPr>
        <w:t>案</w:t>
      </w:r>
    </w:p>
    <w:p w14:paraId="0F3694A1">
      <w:pPr>
        <w:jc w:val="center"/>
        <w:rPr>
          <w:rStyle w:val="9"/>
          <w:b/>
          <w:sz w:val="36"/>
          <w:szCs w:val="36"/>
          <w:highlight w:val="none"/>
          <w:shd w:val="clear" w:color="auto" w:fill="FFFFFF"/>
        </w:rPr>
      </w:pPr>
      <w:r>
        <w:rPr>
          <w:rStyle w:val="9"/>
          <w:rFonts w:hint="eastAsia" w:ascii="华文中宋" w:hAnsi="华文中宋" w:eastAsia="华文中宋" w:cs="华文中宋"/>
          <w:b/>
          <w:sz w:val="36"/>
          <w:szCs w:val="36"/>
          <w:highlight w:val="none"/>
          <w:shd w:val="clear" w:color="auto" w:fill="FFFFFF"/>
          <w:lang w:val="en-US" w:eastAsia="zh-CN"/>
        </w:rPr>
        <w:t>债权</w:t>
      </w:r>
      <w:r>
        <w:rPr>
          <w:rStyle w:val="9"/>
          <w:rFonts w:hint="eastAsia" w:ascii="华文中宋" w:hAnsi="华文中宋" w:eastAsia="华文中宋" w:cs="华文中宋"/>
          <w:b/>
          <w:sz w:val="36"/>
          <w:szCs w:val="36"/>
          <w:highlight w:val="none"/>
          <w:shd w:val="clear" w:color="auto" w:fill="FFFFFF"/>
        </w:rPr>
        <w:t>申报指南</w:t>
      </w:r>
    </w:p>
    <w:p w14:paraId="65FDBF03">
      <w:pPr>
        <w:spacing w:line="360" w:lineRule="auto"/>
        <w:rPr>
          <w:rStyle w:val="9"/>
          <w:rFonts w:ascii="宋体" w:hAnsi="宋体" w:cs="宋体"/>
          <w:sz w:val="24"/>
          <w:highlight w:val="none"/>
          <w:shd w:val="clear" w:color="auto" w:fill="FFFFFF"/>
        </w:rPr>
      </w:pPr>
    </w:p>
    <w:p w14:paraId="0860D13B">
      <w:pPr>
        <w:keepNext w:val="0"/>
        <w:keepLines w:val="0"/>
        <w:pageBreakBefore w:val="0"/>
        <w:kinsoku/>
        <w:wordWrap/>
        <w:overflowPunct/>
        <w:topLinePunct w:val="0"/>
        <w:autoSpaceDE/>
        <w:autoSpaceDN/>
        <w:bidi w:val="0"/>
        <w:adjustRightInd/>
        <w:snapToGrid/>
        <w:spacing w:line="500" w:lineRule="exact"/>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b/>
          <w:bCs/>
          <w:sz w:val="24"/>
          <w:highlight w:val="none"/>
          <w:shd w:val="clear" w:color="auto" w:fill="FFFFFF"/>
        </w:rPr>
        <w:t>深圳市科锐普透科技有限公司债权人</w:t>
      </w:r>
      <w:r>
        <w:rPr>
          <w:rStyle w:val="9"/>
          <w:rFonts w:hint="eastAsia" w:ascii="仿宋" w:hAnsi="仿宋" w:eastAsia="仿宋" w:cs="仿宋"/>
          <w:sz w:val="24"/>
          <w:highlight w:val="none"/>
          <w:shd w:val="clear" w:color="auto" w:fill="FFFFFF"/>
        </w:rPr>
        <w:t>：</w:t>
      </w:r>
    </w:p>
    <w:p w14:paraId="67651983">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eastAsia="zh-CN"/>
        </w:rPr>
        <w:t>深圳市中级人民法院</w:t>
      </w:r>
      <w:r>
        <w:rPr>
          <w:rFonts w:hint="eastAsia" w:ascii="仿宋" w:hAnsi="仿宋" w:eastAsia="仿宋" w:cs="仿宋"/>
          <w:sz w:val="24"/>
          <w:highlight w:val="none"/>
        </w:rPr>
        <w:t>于2025年1月20日作出（2024）粤03破申1134号《民事裁定书》，裁定受理深圳市科锐普透科技有限公司（以下简称</w:t>
      </w:r>
      <w:r>
        <w:rPr>
          <w:rFonts w:hint="eastAsia" w:ascii="仿宋" w:hAnsi="仿宋" w:eastAsia="仿宋" w:cs="仿宋"/>
          <w:sz w:val="24"/>
          <w:highlight w:val="none"/>
          <w:lang w:eastAsia="zh-CN"/>
        </w:rPr>
        <w:t>“</w:t>
      </w:r>
      <w:r>
        <w:rPr>
          <w:rFonts w:hint="eastAsia" w:ascii="仿宋" w:hAnsi="仿宋" w:eastAsia="仿宋" w:cs="仿宋"/>
          <w:sz w:val="24"/>
          <w:highlight w:val="none"/>
        </w:rPr>
        <w:t>科锐普透公司</w:t>
      </w:r>
      <w:r>
        <w:rPr>
          <w:rFonts w:hint="eastAsia" w:ascii="仿宋" w:hAnsi="仿宋" w:eastAsia="仿宋" w:cs="仿宋"/>
          <w:sz w:val="24"/>
          <w:highlight w:val="none"/>
          <w:lang w:eastAsia="zh-CN"/>
        </w:rPr>
        <w:t>”</w:t>
      </w:r>
      <w:r>
        <w:rPr>
          <w:rFonts w:hint="eastAsia" w:ascii="仿宋" w:hAnsi="仿宋" w:eastAsia="仿宋" w:cs="仿宋"/>
          <w:sz w:val="24"/>
          <w:highlight w:val="none"/>
        </w:rPr>
        <w:t>）破产清算一案，并于2025年2月21日作出（2025）粤03破92号《决定书》，指定广东融关律师事务所担任深圳市科锐普透科技有限公司管理人（以下简称</w:t>
      </w:r>
      <w:r>
        <w:rPr>
          <w:rFonts w:hint="eastAsia" w:ascii="仿宋" w:hAnsi="仿宋" w:eastAsia="仿宋" w:cs="仿宋"/>
          <w:sz w:val="24"/>
          <w:highlight w:val="none"/>
          <w:lang w:eastAsia="zh-CN"/>
        </w:rPr>
        <w:t>“</w:t>
      </w:r>
      <w:r>
        <w:rPr>
          <w:rFonts w:hint="eastAsia" w:ascii="仿宋" w:hAnsi="仿宋" w:eastAsia="仿宋" w:cs="仿宋"/>
          <w:sz w:val="24"/>
          <w:highlight w:val="none"/>
        </w:rPr>
        <w:t>管理人</w:t>
      </w:r>
      <w:r>
        <w:rPr>
          <w:rFonts w:hint="eastAsia" w:ascii="仿宋" w:hAnsi="仿宋" w:eastAsia="仿宋" w:cs="仿宋"/>
          <w:sz w:val="24"/>
          <w:highlight w:val="none"/>
          <w:lang w:eastAsia="zh-CN"/>
        </w:rPr>
        <w:t>”</w:t>
      </w:r>
      <w:r>
        <w:rPr>
          <w:rFonts w:hint="eastAsia" w:ascii="仿宋" w:hAnsi="仿宋" w:eastAsia="仿宋" w:cs="仿宋"/>
          <w:sz w:val="24"/>
          <w:highlight w:val="none"/>
        </w:rPr>
        <w:t>）。</w:t>
      </w:r>
    </w:p>
    <w:p w14:paraId="190C0926">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2025年2月21日</w:t>
      </w:r>
      <w:r>
        <w:rPr>
          <w:rFonts w:hint="eastAsia" w:ascii="仿宋" w:hAnsi="仿宋" w:eastAsia="仿宋" w:cs="仿宋"/>
          <w:sz w:val="24"/>
          <w:highlight w:val="none"/>
          <w:lang w:eastAsia="zh-CN"/>
        </w:rPr>
        <w:t>，深圳市中级人民法院</w:t>
      </w:r>
      <w:r>
        <w:rPr>
          <w:rFonts w:hint="eastAsia" w:ascii="仿宋" w:hAnsi="仿宋" w:eastAsia="仿宋" w:cs="仿宋"/>
          <w:sz w:val="24"/>
          <w:highlight w:val="none"/>
        </w:rPr>
        <w:t>发布公告，规定</w:t>
      </w:r>
      <w:r>
        <w:rPr>
          <w:rFonts w:hint="eastAsia" w:ascii="仿宋" w:hAnsi="仿宋" w:eastAsia="仿宋" w:cs="仿宋"/>
          <w:b/>
          <w:bCs/>
          <w:sz w:val="24"/>
          <w:highlight w:val="none"/>
          <w:lang w:val="en-US" w:eastAsia="zh-CN"/>
        </w:rPr>
        <w:t>科锐普透公司</w:t>
      </w:r>
      <w:r>
        <w:rPr>
          <w:rFonts w:hint="eastAsia" w:ascii="仿宋" w:hAnsi="仿宋" w:eastAsia="仿宋" w:cs="仿宋"/>
          <w:b/>
          <w:bCs/>
          <w:sz w:val="24"/>
          <w:highlight w:val="none"/>
        </w:rPr>
        <w:t>的债权人应在202</w:t>
      </w:r>
      <w:r>
        <w:rPr>
          <w:rFonts w:hint="eastAsia" w:ascii="仿宋" w:hAnsi="仿宋" w:eastAsia="仿宋" w:cs="仿宋"/>
          <w:b/>
          <w:bCs/>
          <w:sz w:val="24"/>
          <w:highlight w:val="none"/>
          <w:lang w:val="en-US" w:eastAsia="zh-CN"/>
        </w:rPr>
        <w:t>5</w:t>
      </w:r>
      <w:r>
        <w:rPr>
          <w:rFonts w:hint="eastAsia" w:ascii="仿宋" w:hAnsi="仿宋" w:eastAsia="仿宋" w:cs="仿宋"/>
          <w:b/>
          <w:bCs/>
          <w:sz w:val="24"/>
          <w:highlight w:val="none"/>
        </w:rPr>
        <w:t>年</w:t>
      </w:r>
      <w:r>
        <w:rPr>
          <w:rFonts w:hint="eastAsia" w:ascii="仿宋" w:hAnsi="仿宋" w:eastAsia="仿宋" w:cs="仿宋"/>
          <w:b/>
          <w:bCs/>
          <w:sz w:val="24"/>
          <w:highlight w:val="none"/>
          <w:lang w:val="en-US" w:eastAsia="zh-CN"/>
        </w:rPr>
        <w:t>4月13日</w:t>
      </w:r>
      <w:r>
        <w:rPr>
          <w:rFonts w:hint="eastAsia" w:ascii="仿宋" w:hAnsi="仿宋" w:eastAsia="仿宋" w:cs="仿宋"/>
          <w:b/>
          <w:bCs/>
          <w:sz w:val="24"/>
          <w:highlight w:val="none"/>
        </w:rPr>
        <w:t>前向管理人申报债权</w:t>
      </w:r>
      <w:r>
        <w:rPr>
          <w:rFonts w:hint="eastAsia" w:ascii="仿宋" w:hAnsi="仿宋" w:eastAsia="仿宋" w:cs="仿宋"/>
          <w:b/>
          <w:bCs/>
          <w:sz w:val="24"/>
          <w:highlight w:val="none"/>
          <w:lang w:eastAsia="zh-CN"/>
        </w:rPr>
        <w:t>。</w:t>
      </w:r>
      <w:r>
        <w:rPr>
          <w:rFonts w:hint="eastAsia" w:ascii="仿宋" w:hAnsi="仿宋" w:eastAsia="仿宋" w:cs="仿宋"/>
          <w:color w:val="000000"/>
          <w:kern w:val="0"/>
          <w:sz w:val="24"/>
          <w:highlight w:val="none"/>
        </w:rPr>
        <w:t>为明确债权申报有关事项，帮助各位债权人顺利申报债权，管理人特就债权申报相关问题作如下</w:t>
      </w:r>
      <w:r>
        <w:rPr>
          <w:rFonts w:hint="eastAsia" w:ascii="仿宋" w:hAnsi="仿宋" w:eastAsia="仿宋" w:cs="仿宋"/>
          <w:sz w:val="24"/>
          <w:highlight w:val="none"/>
        </w:rPr>
        <w:t>申报指南：</w:t>
      </w:r>
    </w:p>
    <w:p w14:paraId="3B168C21">
      <w:pPr>
        <w:keepNext w:val="0"/>
        <w:keepLines w:val="0"/>
        <w:pageBreakBefore w:val="0"/>
        <w:numPr>
          <w:ilvl w:val="0"/>
          <w:numId w:val="1"/>
        </w:numPr>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rPr>
        <w:t>债权人申报债权应提交</w:t>
      </w:r>
      <w:r>
        <w:rPr>
          <w:rStyle w:val="9"/>
          <w:rFonts w:hint="eastAsia" w:ascii="仿宋" w:hAnsi="仿宋" w:eastAsia="仿宋" w:cs="仿宋"/>
          <w:b/>
          <w:bCs/>
          <w:sz w:val="24"/>
          <w:highlight w:val="none"/>
          <w:shd w:val="clear" w:color="auto" w:fill="FFFFFF"/>
          <w:lang w:val="en-US" w:eastAsia="zh-CN"/>
        </w:rPr>
        <w:t>的</w:t>
      </w:r>
      <w:r>
        <w:rPr>
          <w:rStyle w:val="9"/>
          <w:rFonts w:hint="eastAsia" w:ascii="仿宋" w:hAnsi="仿宋" w:eastAsia="仿宋" w:cs="仿宋"/>
          <w:b/>
          <w:bCs/>
          <w:sz w:val="24"/>
          <w:highlight w:val="none"/>
          <w:shd w:val="clear" w:color="auto" w:fill="FFFFFF"/>
        </w:rPr>
        <w:t>资料</w:t>
      </w:r>
    </w:p>
    <w:p w14:paraId="298A1ED5">
      <w:pPr>
        <w:keepNext w:val="0"/>
        <w:keepLines w:val="0"/>
        <w:pageBreakBefore w:val="0"/>
        <w:kinsoku/>
        <w:wordWrap/>
        <w:overflowPunct/>
        <w:topLinePunct w:val="0"/>
        <w:autoSpaceDE/>
        <w:autoSpaceDN/>
        <w:bidi w:val="0"/>
        <w:adjustRightInd/>
        <w:snapToGrid/>
        <w:spacing w:line="500" w:lineRule="exact"/>
        <w:ind w:left="0"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lang w:val="en-US" w:eastAsia="zh-CN"/>
        </w:rPr>
        <w:t>一</w:t>
      </w: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kern w:val="0"/>
          <w:sz w:val="24"/>
          <w:highlight w:val="none"/>
          <w:shd w:val="clear" w:color="auto" w:fill="FFFFFF"/>
        </w:rPr>
        <w:t>债权人提交材料清单</w:t>
      </w:r>
      <w:r>
        <w:rPr>
          <w:rStyle w:val="9"/>
          <w:rFonts w:hint="eastAsia" w:ascii="仿宋" w:hAnsi="仿宋" w:eastAsia="仿宋" w:cs="仿宋"/>
          <w:b/>
          <w:bCs/>
          <w:sz w:val="24"/>
          <w:highlight w:val="none"/>
          <w:shd w:val="clear" w:color="auto" w:fill="FFFFFF"/>
        </w:rPr>
        <w:t>（原件1份）</w:t>
      </w:r>
    </w:p>
    <w:p w14:paraId="40BDC11A">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lang w:val="en-US" w:eastAsia="zh-CN"/>
        </w:rPr>
        <w:t>二</w:t>
      </w: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rPr>
        <w:t>债权申报</w:t>
      </w:r>
      <w:r>
        <w:rPr>
          <w:rStyle w:val="9"/>
          <w:rFonts w:hint="eastAsia" w:ascii="仿宋" w:hAnsi="仿宋" w:eastAsia="仿宋" w:cs="仿宋"/>
          <w:b/>
          <w:bCs/>
          <w:sz w:val="24"/>
          <w:highlight w:val="none"/>
          <w:shd w:val="clear" w:color="auto" w:fill="FFFFFF"/>
          <w:lang w:val="en-US" w:eastAsia="zh-CN"/>
        </w:rPr>
        <w:t>登记表及债权计算依据</w:t>
      </w:r>
      <w:r>
        <w:rPr>
          <w:rStyle w:val="9"/>
          <w:rFonts w:hint="eastAsia" w:ascii="仿宋" w:hAnsi="仿宋" w:eastAsia="仿宋" w:cs="仿宋"/>
          <w:b/>
          <w:bCs/>
          <w:sz w:val="24"/>
          <w:highlight w:val="none"/>
          <w:shd w:val="clear" w:color="auto" w:fill="FFFFFF"/>
        </w:rPr>
        <w:t>（原件1份）</w:t>
      </w:r>
    </w:p>
    <w:p w14:paraId="26D73B15">
      <w:pPr>
        <w:pStyle w:val="12"/>
        <w:keepNext w:val="0"/>
        <w:keepLines w:val="0"/>
        <w:pageBreakBefore w:val="0"/>
        <w:widowControl w:val="0"/>
        <w:kinsoku/>
        <w:wordWrap/>
        <w:overflowPunct/>
        <w:topLinePunct w:val="0"/>
        <w:autoSpaceDE/>
        <w:autoSpaceDN/>
        <w:bidi w:val="0"/>
        <w:adjustRightInd/>
        <w:snapToGrid/>
        <w:spacing w:line="500" w:lineRule="exact"/>
        <w:ind w:firstLine="4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1.债权计算依据须如实、详细写明申报的债权金额、性质、形成原因、经过、有无财产担保等相关事项。</w:t>
      </w:r>
    </w:p>
    <w:p w14:paraId="26E47CA2">
      <w:pPr>
        <w:pStyle w:val="12"/>
        <w:keepNext w:val="0"/>
        <w:keepLines w:val="0"/>
        <w:pageBreakBefore w:val="0"/>
        <w:widowControl w:val="0"/>
        <w:kinsoku/>
        <w:wordWrap/>
        <w:overflowPunct/>
        <w:topLinePunct w:val="0"/>
        <w:autoSpaceDE/>
        <w:autoSpaceDN/>
        <w:bidi w:val="0"/>
        <w:adjustRightInd/>
        <w:snapToGrid/>
        <w:spacing w:line="500" w:lineRule="exact"/>
        <w:ind w:firstLine="400"/>
        <w:textAlignment w:val="auto"/>
        <w:rPr>
          <w:rFonts w:hint="eastAsia" w:ascii="仿宋" w:hAnsi="仿宋" w:eastAsia="仿宋" w:cs="仿宋"/>
          <w:bCs/>
          <w:sz w:val="24"/>
          <w:szCs w:val="24"/>
          <w:highlight w:val="none"/>
        </w:rPr>
      </w:pPr>
      <w:r>
        <w:rPr>
          <w:rFonts w:hint="eastAsia" w:ascii="仿宋" w:hAnsi="仿宋" w:eastAsia="仿宋" w:cs="仿宋"/>
          <w:bCs/>
          <w:sz w:val="24"/>
          <w:szCs w:val="24"/>
          <w:highlight w:val="none"/>
        </w:rPr>
        <w:t>2.债权申报登记表和债权计算依据记载的信息</w:t>
      </w:r>
      <w:r>
        <w:rPr>
          <w:rFonts w:hint="eastAsia" w:ascii="仿宋" w:hAnsi="仿宋" w:eastAsia="仿宋" w:cs="仿宋"/>
          <w:b/>
          <w:bCs/>
          <w:sz w:val="24"/>
          <w:szCs w:val="24"/>
          <w:highlight w:val="none"/>
          <w:u w:val="single"/>
        </w:rPr>
        <w:t>应当保持一致</w:t>
      </w:r>
      <w:r>
        <w:rPr>
          <w:rFonts w:hint="eastAsia" w:ascii="仿宋" w:hAnsi="仿宋" w:eastAsia="仿宋" w:cs="仿宋"/>
          <w:bCs/>
          <w:sz w:val="24"/>
          <w:szCs w:val="24"/>
          <w:highlight w:val="none"/>
          <w:u w:val="single"/>
        </w:rPr>
        <w:t>，</w:t>
      </w:r>
      <w:r>
        <w:rPr>
          <w:rFonts w:hint="eastAsia" w:ascii="仿宋" w:hAnsi="仿宋" w:eastAsia="仿宋" w:cs="仿宋"/>
          <w:b/>
          <w:bCs/>
          <w:sz w:val="24"/>
          <w:szCs w:val="24"/>
          <w:highlight w:val="none"/>
          <w:u w:val="single"/>
        </w:rPr>
        <w:t>不一致的，管理人将视债权申报登记表为债权人的申报意见</w:t>
      </w:r>
      <w:r>
        <w:rPr>
          <w:rFonts w:hint="eastAsia" w:ascii="仿宋" w:hAnsi="仿宋" w:eastAsia="仿宋" w:cs="仿宋"/>
          <w:bCs/>
          <w:sz w:val="24"/>
          <w:szCs w:val="24"/>
          <w:highlight w:val="none"/>
        </w:rPr>
        <w:t>。</w:t>
      </w:r>
    </w:p>
    <w:p w14:paraId="5115ADFD">
      <w:pPr>
        <w:pStyle w:val="12"/>
        <w:keepNext w:val="0"/>
        <w:keepLines w:val="0"/>
        <w:pageBreakBefore w:val="0"/>
        <w:widowControl w:val="0"/>
        <w:kinsoku/>
        <w:wordWrap/>
        <w:overflowPunct/>
        <w:topLinePunct w:val="0"/>
        <w:autoSpaceDE/>
        <w:autoSpaceDN/>
        <w:bidi w:val="0"/>
        <w:adjustRightInd/>
        <w:snapToGrid/>
        <w:spacing w:line="500" w:lineRule="exact"/>
        <w:ind w:firstLine="402"/>
        <w:textAlignment w:val="auto"/>
        <w:rPr>
          <w:rFonts w:hint="eastAsia" w:ascii="仿宋" w:hAnsi="仿宋" w:eastAsia="仿宋" w:cs="仿宋"/>
          <w:b/>
          <w:sz w:val="24"/>
          <w:szCs w:val="24"/>
          <w:highlight w:val="none"/>
        </w:rPr>
      </w:pPr>
      <w:r>
        <w:rPr>
          <w:rFonts w:hint="eastAsia" w:ascii="仿宋" w:hAnsi="仿宋" w:eastAsia="仿宋" w:cs="仿宋"/>
          <w:b/>
          <w:sz w:val="24"/>
          <w:szCs w:val="24"/>
          <w:highlight w:val="none"/>
        </w:rPr>
        <w:t>3.机构债权人应在</w:t>
      </w:r>
      <w:r>
        <w:rPr>
          <w:rFonts w:hint="eastAsia" w:ascii="仿宋" w:hAnsi="仿宋" w:eastAsia="仿宋" w:cs="仿宋"/>
          <w:b/>
          <w:bCs/>
          <w:sz w:val="24"/>
          <w:szCs w:val="24"/>
          <w:highlight w:val="none"/>
          <w:u w:val="single"/>
        </w:rPr>
        <w:t>债权申报登记表、</w:t>
      </w:r>
      <w:r>
        <w:rPr>
          <w:rFonts w:hint="eastAsia" w:ascii="仿宋" w:hAnsi="仿宋" w:eastAsia="仿宋" w:cs="仿宋"/>
          <w:b/>
          <w:sz w:val="24"/>
          <w:szCs w:val="24"/>
          <w:highlight w:val="none"/>
          <w:u w:val="single"/>
        </w:rPr>
        <w:t>债权计算依据上加盖债权人公章，</w:t>
      </w:r>
      <w:r>
        <w:rPr>
          <w:rFonts w:hint="eastAsia" w:ascii="仿宋" w:hAnsi="仿宋" w:eastAsia="仿宋" w:cs="仿宋"/>
          <w:b/>
          <w:sz w:val="24"/>
          <w:szCs w:val="24"/>
          <w:highlight w:val="none"/>
        </w:rPr>
        <w:t>个人债权人</w:t>
      </w:r>
      <w:r>
        <w:rPr>
          <w:rFonts w:hint="eastAsia" w:ascii="仿宋" w:hAnsi="仿宋" w:eastAsia="仿宋" w:cs="仿宋"/>
          <w:b/>
          <w:sz w:val="24"/>
          <w:szCs w:val="24"/>
          <w:highlight w:val="none"/>
          <w:u w:val="single"/>
        </w:rPr>
        <w:t>应在债权</w:t>
      </w:r>
      <w:r>
        <w:rPr>
          <w:rFonts w:hint="eastAsia" w:ascii="仿宋" w:hAnsi="仿宋" w:eastAsia="仿宋" w:cs="仿宋"/>
          <w:b/>
          <w:bCs/>
          <w:sz w:val="24"/>
          <w:szCs w:val="24"/>
          <w:highlight w:val="none"/>
          <w:u w:val="single"/>
        </w:rPr>
        <w:t>申报登记表、</w:t>
      </w:r>
      <w:r>
        <w:rPr>
          <w:rFonts w:hint="eastAsia" w:ascii="仿宋" w:hAnsi="仿宋" w:eastAsia="仿宋" w:cs="仿宋"/>
          <w:b/>
          <w:sz w:val="24"/>
          <w:szCs w:val="24"/>
          <w:highlight w:val="none"/>
          <w:u w:val="single"/>
        </w:rPr>
        <w:t>债权计算依据上由本人签字并捺手印</w:t>
      </w:r>
      <w:r>
        <w:rPr>
          <w:rFonts w:hint="eastAsia" w:ascii="仿宋" w:hAnsi="仿宋" w:eastAsia="仿宋" w:cs="仿宋"/>
          <w:b/>
          <w:sz w:val="24"/>
          <w:szCs w:val="24"/>
          <w:highlight w:val="none"/>
        </w:rPr>
        <w:t>。</w:t>
      </w:r>
    </w:p>
    <w:p w14:paraId="7DD38AA4">
      <w:pPr>
        <w:keepNext w:val="0"/>
        <w:keepLines w:val="0"/>
        <w:pageBreakBefore w:val="0"/>
        <w:kinsoku/>
        <w:wordWrap/>
        <w:overflowPunct/>
        <w:topLinePunct w:val="0"/>
        <w:autoSpaceDE/>
        <w:autoSpaceDN/>
        <w:bidi w:val="0"/>
        <w:adjustRightInd/>
        <w:snapToGrid/>
        <w:spacing w:line="500" w:lineRule="exact"/>
        <w:ind w:left="48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lang w:val="en-US" w:eastAsia="zh-CN"/>
        </w:rPr>
        <w:t>三</w:t>
      </w: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rPr>
        <w:t>债权人法律文书送达地址确认书</w:t>
      </w:r>
      <w:r>
        <w:rPr>
          <w:rStyle w:val="9"/>
          <w:rFonts w:hint="eastAsia" w:ascii="仿宋" w:hAnsi="仿宋" w:eastAsia="仿宋" w:cs="仿宋"/>
          <w:b/>
          <w:bCs/>
          <w:color w:val="000000"/>
          <w:kern w:val="0"/>
          <w:sz w:val="24"/>
          <w:highlight w:val="none"/>
          <w:shd w:val="clear" w:color="auto" w:fill="FFFFFF"/>
        </w:rPr>
        <w:t>（原件</w:t>
      </w:r>
      <w:r>
        <w:rPr>
          <w:rStyle w:val="9"/>
          <w:rFonts w:hint="eastAsia" w:ascii="仿宋" w:hAnsi="仿宋" w:eastAsia="仿宋" w:cs="仿宋"/>
          <w:b/>
          <w:bCs/>
          <w:sz w:val="24"/>
          <w:highlight w:val="none"/>
          <w:shd w:val="clear" w:color="auto" w:fill="FFFFFF"/>
        </w:rPr>
        <w:t>1份</w:t>
      </w:r>
      <w:r>
        <w:rPr>
          <w:rStyle w:val="9"/>
          <w:rFonts w:hint="eastAsia" w:ascii="仿宋" w:hAnsi="仿宋" w:eastAsia="仿宋" w:cs="仿宋"/>
          <w:b/>
          <w:bCs/>
          <w:color w:val="000000"/>
          <w:kern w:val="0"/>
          <w:sz w:val="24"/>
          <w:highlight w:val="none"/>
          <w:shd w:val="clear" w:color="auto" w:fill="FFFFFF"/>
        </w:rPr>
        <w:t>）</w:t>
      </w:r>
    </w:p>
    <w:p w14:paraId="56DDA8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sz w:val="24"/>
          <w:highlight w:val="none"/>
          <w:shd w:val="clear" w:color="auto" w:fill="FFFFFF"/>
        </w:rPr>
        <w:t>债权人应填写《债权人法律文书送达地址确认书》</w:t>
      </w: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lang w:val="en-US" w:eastAsia="zh-CN"/>
        </w:rPr>
        <w:t>详</w:t>
      </w:r>
      <w:r>
        <w:rPr>
          <w:rStyle w:val="9"/>
          <w:rFonts w:hint="eastAsia" w:ascii="仿宋" w:hAnsi="仿宋" w:eastAsia="仿宋" w:cs="仿宋"/>
          <w:sz w:val="24"/>
          <w:highlight w:val="none"/>
          <w:shd w:val="clear" w:color="auto" w:fill="FFFFFF"/>
        </w:rPr>
        <w:t>见附件</w:t>
      </w: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rPr>
        <w:t>并签字、盖章确认，确保管理人后续能够将本案相关信息有效送达债权人，以保障债权人的合法权益。《债权人法律文书送达地址确认书》应打印并签字、盖章确认。</w:t>
      </w:r>
    </w:p>
    <w:p w14:paraId="59C491E7">
      <w:pPr>
        <w:pStyle w:val="12"/>
        <w:keepNext w:val="0"/>
        <w:keepLines w:val="0"/>
        <w:pageBreakBefore w:val="0"/>
        <w:widowControl w:val="0"/>
        <w:kinsoku/>
        <w:wordWrap/>
        <w:overflowPunct/>
        <w:topLinePunct w:val="0"/>
        <w:autoSpaceDE/>
        <w:autoSpaceDN/>
        <w:bidi w:val="0"/>
        <w:adjustRightInd/>
        <w:snapToGrid/>
        <w:spacing w:line="500" w:lineRule="exact"/>
        <w:ind w:firstLine="402"/>
        <w:textAlignment w:val="auto"/>
        <w:rPr>
          <w:rFonts w:hint="eastAsia" w:ascii="仿宋" w:hAnsi="仿宋" w:eastAsia="仿宋" w:cs="仿宋"/>
          <w:b/>
          <w:bCs/>
          <w:sz w:val="24"/>
          <w:szCs w:val="24"/>
          <w:highlight w:val="none"/>
        </w:rPr>
      </w:pP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lang w:val="en-US" w:eastAsia="zh-CN"/>
        </w:rPr>
        <w:t>四</w:t>
      </w:r>
      <w:r>
        <w:rPr>
          <w:rStyle w:val="9"/>
          <w:rFonts w:hint="eastAsia" w:ascii="仿宋" w:hAnsi="仿宋" w:eastAsia="仿宋" w:cs="仿宋"/>
          <w:b/>
          <w:bCs/>
          <w:sz w:val="24"/>
          <w:highlight w:val="none"/>
          <w:shd w:val="clear" w:color="auto" w:fill="FFFFFF"/>
          <w:lang w:eastAsia="zh-CN"/>
        </w:rPr>
        <w:t>）</w:t>
      </w:r>
      <w:r>
        <w:rPr>
          <w:rFonts w:hint="eastAsia" w:ascii="仿宋" w:hAnsi="仿宋" w:eastAsia="仿宋" w:cs="仿宋"/>
          <w:b/>
          <w:bCs/>
          <w:sz w:val="24"/>
          <w:szCs w:val="24"/>
          <w:highlight w:val="none"/>
        </w:rPr>
        <w:t>债权申报人主体资格材料</w:t>
      </w:r>
    </w:p>
    <w:p w14:paraId="332BAD5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债权人为法人或其他组织的，请提供有效的企业法人营业执照、事业和社会团体法人登记证书等复印件（加盖单位公章）；法定代表人或负责人身份证明书（加盖单位公章）及其身份证复印件（加盖单位公章）。</w:t>
      </w:r>
    </w:p>
    <w:p w14:paraId="593568B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2.债权人为自然人的，请提供债权人身份证等个人有效证件原件</w:t>
      </w:r>
      <w:r>
        <w:rPr>
          <w:rFonts w:hint="eastAsia" w:ascii="仿宋" w:hAnsi="仿宋" w:eastAsia="仿宋" w:cs="仿宋"/>
          <w:b/>
          <w:sz w:val="24"/>
          <w:szCs w:val="24"/>
          <w:highlight w:val="none"/>
          <w:u w:val="single"/>
        </w:rPr>
        <w:t>（核对后退还）</w:t>
      </w:r>
      <w:r>
        <w:rPr>
          <w:rFonts w:hint="eastAsia" w:ascii="仿宋" w:hAnsi="仿宋" w:eastAsia="仿宋" w:cs="仿宋"/>
          <w:sz w:val="24"/>
          <w:szCs w:val="24"/>
          <w:highlight w:val="none"/>
        </w:rPr>
        <w:t>及复印件；</w:t>
      </w:r>
    </w:p>
    <w:p w14:paraId="39A6CDD1">
      <w:pPr>
        <w:pStyle w:val="12"/>
        <w:keepNext w:val="0"/>
        <w:keepLines w:val="0"/>
        <w:pageBreakBefore w:val="0"/>
        <w:widowControl w:val="0"/>
        <w:kinsoku/>
        <w:wordWrap/>
        <w:overflowPunct/>
        <w:topLinePunct w:val="0"/>
        <w:autoSpaceDE/>
        <w:autoSpaceDN/>
        <w:bidi w:val="0"/>
        <w:adjustRightInd/>
        <w:snapToGrid/>
        <w:spacing w:line="500" w:lineRule="exact"/>
        <w:ind w:firstLine="4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3.委托代理申报须提交的材料：</w:t>
      </w:r>
    </w:p>
    <w:p w14:paraId="56A49E60">
      <w:pPr>
        <w:pStyle w:val="12"/>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highlight w:val="none"/>
          <w:shd w:val="clear" w:color="auto" w:fill="FFFFFF"/>
        </w:rPr>
      </w:pPr>
      <w:r>
        <w:rPr>
          <w:rFonts w:hint="eastAsia" w:ascii="仿宋" w:hAnsi="仿宋" w:eastAsia="仿宋" w:cs="仿宋"/>
          <w:b/>
          <w:sz w:val="24"/>
          <w:szCs w:val="24"/>
          <w:highlight w:val="none"/>
        </w:rPr>
        <w:t>除提供上述材料外，还须提交如下材料：</w:t>
      </w:r>
      <w:r>
        <w:rPr>
          <w:rFonts w:hint="eastAsia" w:ascii="仿宋" w:hAnsi="仿宋" w:eastAsia="仿宋" w:cs="仿宋"/>
          <w:sz w:val="24"/>
          <w:szCs w:val="24"/>
          <w:highlight w:val="none"/>
        </w:rPr>
        <w:t>（1）债权人为法人或其他组织的：授权委托书（法定代表人签字并加盖单位公章）和代理人的身份证/律师证、所函等有效证件；（2）个人债权人：</w:t>
      </w:r>
      <w:r>
        <w:rPr>
          <w:rFonts w:hint="eastAsia" w:ascii="仿宋" w:hAnsi="仿宋" w:eastAsia="仿宋" w:cs="仿宋"/>
          <w:b/>
          <w:sz w:val="24"/>
          <w:szCs w:val="24"/>
          <w:highlight w:val="none"/>
          <w:u w:val="single"/>
        </w:rPr>
        <w:t>授权委托书原件</w:t>
      </w:r>
      <w:r>
        <w:rPr>
          <w:rFonts w:hint="eastAsia" w:ascii="仿宋" w:hAnsi="仿宋" w:eastAsia="仿宋" w:cs="仿宋"/>
          <w:sz w:val="24"/>
          <w:szCs w:val="24"/>
          <w:highlight w:val="none"/>
        </w:rPr>
        <w:t>和代理人的身份证/律师证、所函等有效证件</w:t>
      </w: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lang w:val="en-US" w:eastAsia="zh-CN"/>
        </w:rPr>
        <w:t>3</w:t>
      </w: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b w:val="0"/>
          <w:bCs w:val="0"/>
          <w:sz w:val="24"/>
          <w:highlight w:val="none"/>
          <w:shd w:val="clear" w:color="auto" w:fill="FFFFFF"/>
        </w:rPr>
        <w:t>代理人为</w:t>
      </w:r>
      <w:r>
        <w:rPr>
          <w:rStyle w:val="9"/>
          <w:rFonts w:hint="eastAsia" w:ascii="仿宋" w:hAnsi="仿宋" w:eastAsia="仿宋" w:cs="仿宋"/>
          <w:b/>
          <w:bCs/>
          <w:sz w:val="24"/>
          <w:highlight w:val="none"/>
          <w:shd w:val="clear" w:color="auto" w:fill="FFFFFF"/>
        </w:rPr>
        <w:t>本单位员工</w:t>
      </w:r>
      <w:r>
        <w:rPr>
          <w:rStyle w:val="9"/>
          <w:rFonts w:hint="eastAsia" w:ascii="仿宋" w:hAnsi="仿宋" w:eastAsia="仿宋" w:cs="仿宋"/>
          <w:b w:val="0"/>
          <w:bCs w:val="0"/>
          <w:sz w:val="24"/>
          <w:highlight w:val="none"/>
          <w:shd w:val="clear" w:color="auto" w:fill="FFFFFF"/>
        </w:rPr>
        <w:t>的，应同时提交</w:t>
      </w:r>
      <w:r>
        <w:rPr>
          <w:rStyle w:val="9"/>
          <w:rFonts w:hint="eastAsia" w:ascii="仿宋" w:hAnsi="仿宋" w:eastAsia="仿宋" w:cs="仿宋"/>
          <w:b/>
          <w:bCs/>
          <w:sz w:val="24"/>
          <w:highlight w:val="none"/>
          <w:shd w:val="clear" w:color="auto" w:fill="FFFFFF"/>
        </w:rPr>
        <w:t>劳动合同复印件和社保证明原件。</w:t>
      </w:r>
    </w:p>
    <w:p w14:paraId="32A64062">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4"/>
          <w:highlight w:val="none"/>
          <w:shd w:val="clear" w:color="auto" w:fill="FFFFFF"/>
        </w:rPr>
      </w:pPr>
      <w:r>
        <w:rPr>
          <w:rStyle w:val="9"/>
          <w:rFonts w:hint="eastAsia" w:ascii="仿宋" w:hAnsi="仿宋" w:eastAsia="仿宋" w:cs="仿宋"/>
          <w:sz w:val="24"/>
          <w:highlight w:val="none"/>
          <w:shd w:val="clear" w:color="auto" w:fill="FFFFFF"/>
        </w:rPr>
        <w:t xml:space="preserve">   </w:t>
      </w:r>
      <w:r>
        <w:rPr>
          <w:rStyle w:val="9"/>
          <w:rFonts w:hint="eastAsia" w:ascii="仿宋" w:hAnsi="仿宋" w:eastAsia="仿宋" w:cs="仿宋"/>
          <w:b/>
          <w:bCs/>
          <w:sz w:val="24"/>
          <w:highlight w:val="none"/>
          <w:shd w:val="clear" w:color="auto" w:fill="FFFFFF"/>
        </w:rPr>
        <w:t xml:space="preserve"> </w:t>
      </w: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lang w:val="en-US" w:eastAsia="zh-CN"/>
        </w:rPr>
        <w:t>五</w:t>
      </w:r>
      <w:r>
        <w:rPr>
          <w:rStyle w:val="9"/>
          <w:rFonts w:hint="eastAsia" w:ascii="仿宋" w:hAnsi="仿宋" w:eastAsia="仿宋" w:cs="仿宋"/>
          <w:b/>
          <w:bCs/>
          <w:sz w:val="24"/>
          <w:highlight w:val="none"/>
          <w:shd w:val="clear" w:color="auto" w:fill="FFFFFF"/>
          <w:lang w:eastAsia="zh-CN"/>
        </w:rPr>
        <w:t>）</w:t>
      </w:r>
      <w:r>
        <w:rPr>
          <w:rStyle w:val="9"/>
          <w:rFonts w:hint="eastAsia" w:ascii="仿宋" w:hAnsi="仿宋" w:eastAsia="仿宋" w:cs="仿宋"/>
          <w:b/>
          <w:bCs/>
          <w:sz w:val="24"/>
          <w:highlight w:val="none"/>
          <w:shd w:val="clear" w:color="auto" w:fill="FFFFFF"/>
        </w:rPr>
        <w:t>证据材料（复印件1套）</w:t>
      </w:r>
    </w:p>
    <w:p w14:paraId="2DD8C2F6">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Style w:val="9"/>
          <w:rFonts w:hint="eastAsia" w:ascii="仿宋" w:hAnsi="仿宋" w:eastAsia="仿宋" w:cs="仿宋"/>
          <w:sz w:val="24"/>
          <w:highlight w:val="none"/>
          <w:shd w:val="clear" w:color="auto" w:fill="FFFFFF"/>
          <w:lang w:val="en-US" w:eastAsia="zh-CN"/>
        </w:rPr>
      </w:pPr>
      <w:r>
        <w:rPr>
          <w:rStyle w:val="9"/>
          <w:rFonts w:hint="eastAsia" w:ascii="仿宋" w:hAnsi="仿宋" w:eastAsia="仿宋" w:cs="仿宋"/>
          <w:sz w:val="24"/>
          <w:highlight w:val="none"/>
          <w:shd w:val="clear" w:color="auto" w:fill="FFFFFF"/>
        </w:rPr>
        <w:t>申报人须充分提交用以证明债权发生及有效的材料，包括：合同资料、收款转款证明资料、送货单、结算单、欠款催收或确认文件、人民法院判决书、调解书或仲裁机构的仲裁裁决、人民法院强制执行文件以及其</w:t>
      </w:r>
      <w:r>
        <w:rPr>
          <w:rStyle w:val="9"/>
          <w:rFonts w:hint="eastAsia" w:ascii="仿宋" w:hAnsi="仿宋" w:eastAsia="仿宋" w:cs="仿宋"/>
          <w:sz w:val="24"/>
          <w:highlight w:val="none"/>
          <w:shd w:val="clear" w:color="auto" w:fill="FFFFFF"/>
          <w:lang w:val="en-US" w:eastAsia="zh-CN"/>
        </w:rPr>
        <w:t>他</w:t>
      </w:r>
      <w:r>
        <w:rPr>
          <w:rStyle w:val="9"/>
          <w:rFonts w:hint="eastAsia" w:ascii="仿宋" w:hAnsi="仿宋" w:eastAsia="仿宋" w:cs="仿宋"/>
          <w:sz w:val="24"/>
          <w:highlight w:val="none"/>
          <w:shd w:val="clear" w:color="auto" w:fill="FFFFFF"/>
        </w:rPr>
        <w:t>能够证明债权发生及有效的证明材料</w:t>
      </w:r>
      <w:r>
        <w:rPr>
          <w:rStyle w:val="9"/>
          <w:rFonts w:hint="eastAsia" w:ascii="仿宋" w:hAnsi="仿宋" w:eastAsia="仿宋" w:cs="仿宋"/>
          <w:sz w:val="24"/>
          <w:highlight w:val="none"/>
          <w:shd w:val="clear" w:color="auto" w:fill="FFFFFF"/>
          <w:lang w:val="en-US" w:eastAsia="zh-CN"/>
        </w:rPr>
        <w:t>等</w:t>
      </w:r>
      <w:r>
        <w:rPr>
          <w:rStyle w:val="9"/>
          <w:rFonts w:hint="eastAsia" w:ascii="仿宋" w:hAnsi="仿宋" w:eastAsia="仿宋" w:cs="仿宋"/>
          <w:sz w:val="24"/>
          <w:highlight w:val="none"/>
          <w:shd w:val="clear" w:color="auto" w:fill="FFFFFF"/>
        </w:rPr>
        <w:t>。</w:t>
      </w:r>
    </w:p>
    <w:p w14:paraId="1BD4A988">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sz w:val="24"/>
          <w:szCs w:val="24"/>
          <w:highlight w:val="none"/>
        </w:rPr>
      </w:pPr>
      <w:r>
        <w:rPr>
          <w:rFonts w:hint="eastAsia" w:ascii="仿宋" w:hAnsi="仿宋" w:eastAsia="仿宋" w:cs="仿宋"/>
          <w:b/>
          <w:sz w:val="24"/>
          <w:szCs w:val="24"/>
          <w:highlight w:val="none"/>
        </w:rPr>
        <w:t>1.民间借贷或金融借款类债权：</w:t>
      </w:r>
      <w:r>
        <w:rPr>
          <w:rFonts w:hint="eastAsia" w:ascii="仿宋" w:hAnsi="仿宋" w:eastAsia="仿宋" w:cs="仿宋"/>
          <w:sz w:val="24"/>
          <w:szCs w:val="24"/>
          <w:highlight w:val="none"/>
        </w:rPr>
        <w:t>（1）借款合同、协议或借条等主债权材料；（2）借贷关系有担保人的，提供有关担保的证据材料；（3）债权人交付借款的凭证；（4）债务人应当支付利息的证明；无利息约定的，债权人要求债务人偿付逾期利息，或者不定期无息借款经催告不还，债权人要求偿付催告后利息的，应有到期不还或经催告不还的证据材料；（5）债务人已还本付息情况及相应凭证。（6）其他证据材料。</w:t>
      </w:r>
    </w:p>
    <w:p w14:paraId="04104664">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Cs/>
          <w:sz w:val="24"/>
          <w:szCs w:val="24"/>
          <w:highlight w:val="none"/>
        </w:rPr>
      </w:pPr>
      <w:r>
        <w:rPr>
          <w:rFonts w:hint="eastAsia" w:ascii="仿宋" w:hAnsi="仿宋" w:eastAsia="仿宋" w:cs="仿宋"/>
          <w:b/>
          <w:bCs w:val="0"/>
          <w:sz w:val="24"/>
          <w:szCs w:val="24"/>
          <w:highlight w:val="none"/>
          <w:lang w:val="en-US" w:eastAsia="zh-CN"/>
        </w:rPr>
        <w:t>2</w:t>
      </w:r>
      <w:r>
        <w:rPr>
          <w:rFonts w:hint="eastAsia" w:ascii="仿宋" w:hAnsi="仿宋" w:eastAsia="仿宋" w:cs="仿宋"/>
          <w:b/>
          <w:bCs w:val="0"/>
          <w:sz w:val="24"/>
          <w:szCs w:val="24"/>
          <w:highlight w:val="none"/>
        </w:rPr>
        <w:t>.工程类债权：</w:t>
      </w:r>
      <w:r>
        <w:rPr>
          <w:rFonts w:hint="eastAsia" w:ascii="仿宋" w:hAnsi="仿宋" w:eastAsia="仿宋" w:cs="仿宋"/>
          <w:bCs/>
          <w:sz w:val="24"/>
          <w:szCs w:val="24"/>
          <w:highlight w:val="none"/>
        </w:rPr>
        <w:t>（1）工程承包合同；（2）建设项目的施工图纸；（3）工程进度表；（4）工程量发生变化的签证单和图纸；（5）工程款预结算审核文件；（6）施工许可证和规划许可证（如有）；（7）竣工验收报告；（8）如主张建设工程优先受偿权，还需提供主张的时间及方式；（9）其他证据材料。</w:t>
      </w:r>
    </w:p>
    <w:p w14:paraId="5EE614C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Cs/>
          <w:sz w:val="24"/>
          <w:szCs w:val="24"/>
          <w:highlight w:val="none"/>
        </w:rPr>
      </w:pPr>
      <w:r>
        <w:rPr>
          <w:rFonts w:hint="eastAsia" w:ascii="仿宋" w:hAnsi="仿宋" w:eastAsia="仿宋" w:cs="仿宋"/>
          <w:bCs/>
          <w:sz w:val="24"/>
          <w:szCs w:val="24"/>
          <w:highlight w:val="none"/>
          <w:lang w:val="en-US" w:eastAsia="zh-CN"/>
        </w:rPr>
        <w:t>3</w:t>
      </w:r>
      <w:r>
        <w:rPr>
          <w:rFonts w:hint="eastAsia" w:ascii="仿宋" w:hAnsi="仿宋" w:eastAsia="仿宋" w:cs="仿宋"/>
          <w:bCs/>
          <w:sz w:val="24"/>
          <w:szCs w:val="24"/>
          <w:highlight w:val="none"/>
        </w:rPr>
        <w:t>.其他债权类型的申报材料，请参考以上债权类型资料。</w:t>
      </w:r>
    </w:p>
    <w:p w14:paraId="5235070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Cs/>
          <w:sz w:val="24"/>
          <w:szCs w:val="24"/>
          <w:highlight w:val="none"/>
        </w:rPr>
      </w:pPr>
      <w:r>
        <w:rPr>
          <w:rFonts w:hint="eastAsia" w:ascii="仿宋" w:hAnsi="仿宋" w:eastAsia="仿宋" w:cs="仿宋"/>
          <w:bCs/>
          <w:sz w:val="24"/>
          <w:szCs w:val="24"/>
          <w:highlight w:val="none"/>
          <w:lang w:val="en-US" w:eastAsia="zh-CN"/>
        </w:rPr>
        <w:t>4</w:t>
      </w:r>
      <w:r>
        <w:rPr>
          <w:rFonts w:hint="eastAsia" w:ascii="仿宋" w:hAnsi="仿宋" w:eastAsia="仿宋" w:cs="仿宋"/>
          <w:bCs/>
          <w:sz w:val="24"/>
          <w:szCs w:val="24"/>
          <w:highlight w:val="none"/>
        </w:rPr>
        <w:t>.债权或相关权利</w:t>
      </w:r>
      <w:r>
        <w:rPr>
          <w:rFonts w:hint="eastAsia" w:ascii="仿宋" w:hAnsi="仿宋" w:eastAsia="仿宋" w:cs="仿宋"/>
          <w:b/>
          <w:sz w:val="24"/>
          <w:szCs w:val="24"/>
          <w:highlight w:val="none"/>
        </w:rPr>
        <w:t>已经得到生效法律文书确认的</w:t>
      </w:r>
      <w:r>
        <w:rPr>
          <w:rFonts w:hint="eastAsia" w:ascii="仿宋" w:hAnsi="仿宋" w:eastAsia="仿宋" w:cs="仿宋"/>
          <w:bCs/>
          <w:sz w:val="24"/>
          <w:szCs w:val="24"/>
          <w:highlight w:val="none"/>
        </w:rPr>
        <w:t>，应提交</w:t>
      </w:r>
      <w:r>
        <w:rPr>
          <w:rFonts w:hint="eastAsia" w:ascii="仿宋" w:hAnsi="仿宋" w:eastAsia="仿宋" w:cs="仿宋"/>
          <w:b/>
          <w:sz w:val="24"/>
          <w:szCs w:val="24"/>
          <w:highlight w:val="none"/>
        </w:rPr>
        <w:t>加盖生效章的相关法律文书</w:t>
      </w:r>
      <w:r>
        <w:rPr>
          <w:rFonts w:hint="eastAsia" w:ascii="仿宋" w:hAnsi="仿宋" w:eastAsia="仿宋" w:cs="仿宋"/>
          <w:bCs/>
          <w:sz w:val="24"/>
          <w:szCs w:val="24"/>
          <w:highlight w:val="none"/>
        </w:rPr>
        <w:t>，如经过两级法院审理，一、二审法院的法律文书皆须提供；仲裁机构出具的生效法律文书</w:t>
      </w:r>
      <w:r>
        <w:rPr>
          <w:rFonts w:hint="eastAsia" w:ascii="仿宋" w:hAnsi="仿宋" w:eastAsia="仿宋" w:cs="仿宋"/>
          <w:b/>
          <w:sz w:val="24"/>
          <w:szCs w:val="24"/>
          <w:highlight w:val="none"/>
        </w:rPr>
        <w:t>应附仲裁机构关于法律文书已经生效的函件或双方当事人已签收的送达回执等证明材料</w:t>
      </w:r>
      <w:r>
        <w:rPr>
          <w:rFonts w:hint="eastAsia" w:ascii="仿宋" w:hAnsi="仿宋" w:eastAsia="仿宋" w:cs="仿宋"/>
          <w:bCs/>
          <w:sz w:val="24"/>
          <w:szCs w:val="24"/>
          <w:highlight w:val="none"/>
        </w:rPr>
        <w:t>。如已申请人民法院强制执行的，还须提交人民法院</w:t>
      </w:r>
      <w:r>
        <w:rPr>
          <w:rFonts w:hint="eastAsia" w:ascii="仿宋" w:hAnsi="仿宋" w:eastAsia="仿宋" w:cs="仿宋"/>
          <w:b/>
          <w:sz w:val="24"/>
          <w:szCs w:val="24"/>
          <w:highlight w:val="none"/>
        </w:rPr>
        <w:t>执行立案通知书、执行裁定书</w:t>
      </w:r>
      <w:r>
        <w:rPr>
          <w:rFonts w:hint="eastAsia" w:ascii="仿宋" w:hAnsi="仿宋" w:eastAsia="仿宋" w:cs="仿宋"/>
          <w:bCs/>
          <w:sz w:val="24"/>
          <w:szCs w:val="24"/>
          <w:highlight w:val="none"/>
        </w:rPr>
        <w:t>等相关文件。</w:t>
      </w:r>
    </w:p>
    <w:p w14:paraId="63C84A7F">
      <w:pPr>
        <w:pStyle w:val="12"/>
        <w:keepNext w:val="0"/>
        <w:keepLines w:val="0"/>
        <w:pageBreakBefore w:val="0"/>
        <w:widowControl w:val="0"/>
        <w:kinsoku/>
        <w:wordWrap/>
        <w:overflowPunct/>
        <w:topLinePunct w:val="0"/>
        <w:autoSpaceDE/>
        <w:autoSpaceDN/>
        <w:bidi w:val="0"/>
        <w:adjustRightInd/>
        <w:snapToGrid/>
        <w:spacing w:line="500" w:lineRule="exact"/>
        <w:ind w:firstLine="402"/>
        <w:textAlignment w:val="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5</w:t>
      </w:r>
      <w:r>
        <w:rPr>
          <w:rFonts w:hint="eastAsia" w:ascii="仿宋" w:hAnsi="仿宋" w:eastAsia="仿宋" w:cs="仿宋"/>
          <w:b/>
          <w:sz w:val="24"/>
          <w:szCs w:val="24"/>
          <w:highlight w:val="none"/>
        </w:rPr>
        <w:t>.申报的债权涉及利息的，</w:t>
      </w:r>
      <w:r>
        <w:rPr>
          <w:rFonts w:hint="eastAsia" w:ascii="仿宋" w:hAnsi="仿宋" w:eastAsia="仿宋" w:cs="仿宋"/>
          <w:sz w:val="24"/>
          <w:szCs w:val="24"/>
          <w:highlight w:val="none"/>
        </w:rPr>
        <w:t>根据《中华人民共和国企业破产法》第四十六条第二款之规定，</w:t>
      </w:r>
      <w:r>
        <w:rPr>
          <w:rFonts w:hint="eastAsia" w:ascii="仿宋" w:hAnsi="仿宋" w:eastAsia="仿宋" w:cs="仿宋"/>
          <w:b/>
          <w:bCs/>
          <w:sz w:val="24"/>
          <w:szCs w:val="24"/>
          <w:highlight w:val="none"/>
          <w:u w:val="single"/>
        </w:rPr>
        <w:t>附利息的债权自破产申请受理时起停止计息，即</w:t>
      </w:r>
      <w:r>
        <w:rPr>
          <w:rFonts w:hint="eastAsia" w:ascii="仿宋" w:hAnsi="仿宋" w:eastAsia="仿宋" w:cs="仿宋"/>
          <w:b/>
          <w:bCs/>
          <w:sz w:val="24"/>
          <w:szCs w:val="24"/>
          <w:highlight w:val="none"/>
          <w:u w:val="single"/>
          <w:lang w:val="en-US" w:eastAsia="zh-CN"/>
        </w:rPr>
        <w:t>计算至</w:t>
      </w:r>
      <w:r>
        <w:rPr>
          <w:rFonts w:hint="eastAsia" w:ascii="仿宋" w:hAnsi="仿宋" w:eastAsia="仿宋" w:cs="仿宋"/>
          <w:b/>
          <w:bCs/>
          <w:sz w:val="24"/>
          <w:szCs w:val="24"/>
          <w:highlight w:val="none"/>
          <w:u w:val="single"/>
        </w:rPr>
        <w:t>202</w:t>
      </w:r>
      <w:r>
        <w:rPr>
          <w:rFonts w:hint="eastAsia" w:ascii="仿宋" w:hAnsi="仿宋" w:eastAsia="仿宋" w:cs="仿宋"/>
          <w:b/>
          <w:bCs/>
          <w:sz w:val="24"/>
          <w:szCs w:val="24"/>
          <w:highlight w:val="none"/>
          <w:u w:val="single"/>
          <w:lang w:val="en-US" w:eastAsia="zh-CN"/>
        </w:rPr>
        <w:t>5</w:t>
      </w:r>
      <w:r>
        <w:rPr>
          <w:rFonts w:hint="eastAsia" w:ascii="仿宋" w:hAnsi="仿宋" w:eastAsia="仿宋" w:cs="仿宋"/>
          <w:b/>
          <w:bCs/>
          <w:sz w:val="24"/>
          <w:szCs w:val="24"/>
          <w:highlight w:val="none"/>
          <w:u w:val="single"/>
        </w:rPr>
        <w:t>年</w:t>
      </w:r>
      <w:r>
        <w:rPr>
          <w:rFonts w:hint="eastAsia" w:ascii="仿宋" w:hAnsi="仿宋" w:eastAsia="仿宋" w:cs="仿宋"/>
          <w:b/>
          <w:bCs/>
          <w:sz w:val="24"/>
          <w:szCs w:val="24"/>
          <w:highlight w:val="none"/>
          <w:u w:val="single"/>
          <w:lang w:val="en-US" w:eastAsia="zh-CN"/>
        </w:rPr>
        <w:t>1月19日</w:t>
      </w:r>
      <w:r>
        <w:rPr>
          <w:rFonts w:hint="eastAsia" w:ascii="仿宋" w:hAnsi="仿宋" w:eastAsia="仿宋" w:cs="仿宋"/>
          <w:b/>
          <w:bCs/>
          <w:sz w:val="24"/>
          <w:szCs w:val="24"/>
          <w:highlight w:val="none"/>
          <w:u w:val="single"/>
        </w:rPr>
        <w:t>。</w:t>
      </w:r>
      <w:r>
        <w:rPr>
          <w:rFonts w:hint="eastAsia" w:ascii="仿宋" w:hAnsi="仿宋" w:eastAsia="仿宋" w:cs="仿宋"/>
          <w:bCs/>
          <w:sz w:val="24"/>
          <w:szCs w:val="24"/>
          <w:highlight w:val="none"/>
        </w:rPr>
        <w:t>申报人应提供利息计算表，说明利息的计算依据、计算公式和计算结果，</w:t>
      </w:r>
      <w:r>
        <w:rPr>
          <w:rFonts w:hint="eastAsia" w:ascii="仿宋" w:hAnsi="仿宋" w:eastAsia="仿宋" w:cs="仿宋"/>
          <w:b/>
          <w:sz w:val="24"/>
          <w:szCs w:val="24"/>
          <w:highlight w:val="none"/>
          <w:u w:val="single"/>
        </w:rPr>
        <w:t>同时将正常利息与罚息、滞纳金、迟延履行利息等分开计算</w:t>
      </w:r>
      <w:r>
        <w:rPr>
          <w:rFonts w:hint="eastAsia" w:ascii="仿宋" w:hAnsi="仿宋" w:eastAsia="仿宋" w:cs="仿宋"/>
          <w:b/>
          <w:sz w:val="24"/>
          <w:szCs w:val="24"/>
          <w:highlight w:val="none"/>
        </w:rPr>
        <w:t>；</w:t>
      </w:r>
    </w:p>
    <w:p w14:paraId="319DE265">
      <w:pPr>
        <w:pStyle w:val="12"/>
        <w:keepNext w:val="0"/>
        <w:keepLines w:val="0"/>
        <w:pageBreakBefore w:val="0"/>
        <w:widowControl w:val="0"/>
        <w:kinsoku/>
        <w:wordWrap/>
        <w:overflowPunct/>
        <w:topLinePunct w:val="0"/>
        <w:autoSpaceDE/>
        <w:autoSpaceDN/>
        <w:bidi w:val="0"/>
        <w:adjustRightInd/>
        <w:snapToGrid/>
        <w:spacing w:line="500" w:lineRule="exact"/>
        <w:ind w:firstLine="402"/>
        <w:textAlignment w:val="auto"/>
        <w:outlineLvl w:val="0"/>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二、债权人提交资料的要求</w:t>
      </w:r>
    </w:p>
    <w:p w14:paraId="18512DC8">
      <w:pPr>
        <w:pStyle w:val="12"/>
        <w:keepNext w:val="0"/>
        <w:keepLines w:val="0"/>
        <w:pageBreakBefore w:val="0"/>
        <w:widowControl w:val="0"/>
        <w:kinsoku/>
        <w:wordWrap/>
        <w:overflowPunct/>
        <w:topLinePunct w:val="0"/>
        <w:autoSpaceDE/>
        <w:autoSpaceDN/>
        <w:bidi w:val="0"/>
        <w:adjustRightInd/>
        <w:snapToGrid/>
        <w:spacing w:line="500" w:lineRule="exact"/>
        <w:ind w:firstLine="400"/>
        <w:textAlignment w:val="auto"/>
        <w:rPr>
          <w:rFonts w:hint="eastAsia" w:ascii="仿宋" w:hAnsi="仿宋" w:eastAsia="仿宋" w:cs="仿宋"/>
          <w:b w:val="0"/>
          <w:bCs w:val="0"/>
          <w:sz w:val="24"/>
          <w:szCs w:val="24"/>
          <w:highlight w:val="none"/>
          <w:u w:val="single"/>
        </w:rPr>
      </w:pPr>
      <w:r>
        <w:rPr>
          <w:rFonts w:hint="eastAsia" w:ascii="仿宋" w:hAnsi="仿宋" w:eastAsia="仿宋" w:cs="仿宋"/>
          <w:b w:val="0"/>
          <w:bCs w:val="0"/>
          <w:sz w:val="24"/>
          <w:szCs w:val="24"/>
          <w:highlight w:val="none"/>
        </w:rPr>
        <w:t>1.</w:t>
      </w:r>
      <w:r>
        <w:rPr>
          <w:rFonts w:hint="eastAsia" w:ascii="仿宋" w:hAnsi="仿宋" w:eastAsia="仿宋" w:cs="仿宋"/>
          <w:b w:val="0"/>
          <w:bCs w:val="0"/>
          <w:sz w:val="24"/>
          <w:szCs w:val="24"/>
          <w:highlight w:val="none"/>
          <w:u w:val="single"/>
        </w:rPr>
        <w:t>债权人对债务人享有多笔债权的，应一并提交申报材料；</w:t>
      </w:r>
    </w:p>
    <w:p w14:paraId="705192DC">
      <w:pPr>
        <w:pStyle w:val="12"/>
        <w:keepNext w:val="0"/>
        <w:keepLines w:val="0"/>
        <w:pageBreakBefore w:val="0"/>
        <w:widowControl w:val="0"/>
        <w:kinsoku/>
        <w:wordWrap/>
        <w:overflowPunct/>
        <w:topLinePunct w:val="0"/>
        <w:autoSpaceDE/>
        <w:autoSpaceDN/>
        <w:bidi w:val="0"/>
        <w:adjustRightInd/>
        <w:snapToGrid/>
        <w:spacing w:line="500" w:lineRule="exact"/>
        <w:ind w:firstLine="4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2.</w:t>
      </w:r>
      <w:r>
        <w:rPr>
          <w:rFonts w:hint="eastAsia" w:ascii="仿宋" w:hAnsi="仿宋" w:eastAsia="仿宋" w:cs="仿宋"/>
          <w:b w:val="0"/>
          <w:bCs w:val="0"/>
          <w:sz w:val="24"/>
          <w:szCs w:val="24"/>
          <w:highlight w:val="none"/>
          <w:u w:val="single"/>
        </w:rPr>
        <w:t>债权申报登记表、债权计算依据、授权委托书、法定代表人（负责人）身份证明书、送达方式确认书及承诺书应提交原件，其他材料可以提交复印件（原件供核对）</w:t>
      </w:r>
      <w:r>
        <w:rPr>
          <w:rFonts w:hint="eastAsia" w:ascii="仿宋" w:hAnsi="仿宋" w:eastAsia="仿宋" w:cs="仿宋"/>
          <w:b w:val="0"/>
          <w:bCs w:val="0"/>
          <w:sz w:val="24"/>
          <w:szCs w:val="24"/>
          <w:highlight w:val="none"/>
        </w:rPr>
        <w:t>；</w:t>
      </w:r>
    </w:p>
    <w:p w14:paraId="34BEA56C">
      <w:pPr>
        <w:pStyle w:val="12"/>
        <w:keepNext w:val="0"/>
        <w:keepLines w:val="0"/>
        <w:pageBreakBefore w:val="0"/>
        <w:widowControl w:val="0"/>
        <w:kinsoku/>
        <w:wordWrap/>
        <w:overflowPunct/>
        <w:topLinePunct w:val="0"/>
        <w:autoSpaceDE/>
        <w:autoSpaceDN/>
        <w:bidi w:val="0"/>
        <w:adjustRightInd/>
        <w:snapToGrid/>
        <w:spacing w:line="500" w:lineRule="exact"/>
        <w:ind w:firstLine="402"/>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3.对于债权人提交的资料为复印件的，债权人为机构的，须在材料上加盖单位公章；债权人为个人的，由债权人本人或代理人在材料上签字并捺手印。</w:t>
      </w:r>
    </w:p>
    <w:p w14:paraId="7107CF12">
      <w:pPr>
        <w:pStyle w:val="12"/>
        <w:keepNext w:val="0"/>
        <w:keepLines w:val="0"/>
        <w:pageBreakBefore w:val="0"/>
        <w:kinsoku/>
        <w:wordWrap/>
        <w:overflowPunct/>
        <w:topLinePunct w:val="0"/>
        <w:autoSpaceDE/>
        <w:autoSpaceDN/>
        <w:bidi w:val="0"/>
        <w:adjustRightInd/>
        <w:snapToGrid/>
        <w:spacing w:line="500" w:lineRule="exact"/>
        <w:ind w:firstLine="400"/>
        <w:textAlignment w:val="auto"/>
        <w:rPr>
          <w:rStyle w:val="9"/>
          <w:rFonts w:hint="eastAsia" w:ascii="仿宋" w:hAnsi="仿宋" w:eastAsia="仿宋" w:cs="仿宋"/>
          <w:sz w:val="24"/>
          <w:highlight w:val="none"/>
          <w:shd w:val="clear" w:color="auto" w:fill="FFFFFF"/>
        </w:rPr>
      </w:pPr>
      <w:r>
        <w:rPr>
          <w:rFonts w:hint="eastAsia" w:ascii="仿宋" w:hAnsi="仿宋" w:eastAsia="仿宋" w:cs="仿宋"/>
          <w:b w:val="0"/>
          <w:bCs w:val="0"/>
          <w:sz w:val="24"/>
          <w:szCs w:val="24"/>
          <w:highlight w:val="none"/>
        </w:rPr>
        <w:t>4.债权人提交的所有材料明细填入《债权申报材料清单》。</w:t>
      </w:r>
    </w:p>
    <w:p w14:paraId="219F797E">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lang w:val="en-US" w:eastAsia="zh-CN"/>
        </w:rPr>
        <w:t>三</w:t>
      </w:r>
      <w:r>
        <w:rPr>
          <w:rStyle w:val="9"/>
          <w:rFonts w:hint="eastAsia" w:ascii="仿宋" w:hAnsi="仿宋" w:eastAsia="仿宋" w:cs="仿宋"/>
          <w:b/>
          <w:bCs/>
          <w:sz w:val="24"/>
          <w:highlight w:val="none"/>
          <w:shd w:val="clear" w:color="auto" w:fill="FFFFFF"/>
        </w:rPr>
        <w:t>、债权申报方式</w:t>
      </w:r>
    </w:p>
    <w:p w14:paraId="3B5735A9">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sz w:val="24"/>
          <w:highlight w:val="none"/>
          <w:shd w:val="clear" w:color="auto" w:fill="FFFFFF"/>
        </w:rPr>
        <w:t>申报方式采取邮寄申报、现场申报两种，申报人可选其中一种方式进行申报。邮寄方式申报债权的债权人，除本指南中已标明必须提供原件的材料外，须提供其余材料的复印件，同时准备原件备查；现场申报债权的债权人，申报时须携带全部材料的原件供核对并提供复印件供留档。</w:t>
      </w:r>
    </w:p>
    <w:p w14:paraId="13D208D7">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rPr>
        <w:t>（一）邮寄申报</w:t>
      </w:r>
    </w:p>
    <w:p w14:paraId="157D09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color w:val="000000"/>
          <w:kern w:val="0"/>
          <w:sz w:val="24"/>
          <w:highlight w:val="none"/>
          <w:shd w:val="clear" w:color="auto" w:fill="FFFFFF"/>
        </w:rPr>
        <w:t>债权人可通过邮寄方式将全套债权申报材料快递至：</w:t>
      </w:r>
    </w:p>
    <w:p w14:paraId="5F89C5B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u w:val="single"/>
          <w:shd w:val="clear" w:color="auto" w:fill="FFFFFF"/>
          <w:lang w:eastAsia="zh-CN"/>
        </w:rPr>
      </w:pPr>
      <w:r>
        <w:rPr>
          <w:rStyle w:val="9"/>
          <w:rFonts w:hint="eastAsia" w:ascii="仿宋" w:hAnsi="仿宋" w:eastAsia="仿宋" w:cs="仿宋"/>
          <w:color w:val="000000"/>
          <w:kern w:val="0"/>
          <w:sz w:val="24"/>
          <w:highlight w:val="none"/>
          <w:u w:val="single"/>
          <w:shd w:val="clear" w:color="auto" w:fill="FFFFFF"/>
        </w:rPr>
        <w:t>地 址：</w:t>
      </w:r>
      <w:r>
        <w:rPr>
          <w:rStyle w:val="9"/>
          <w:rFonts w:hint="eastAsia" w:ascii="仿宋" w:hAnsi="仿宋" w:eastAsia="仿宋" w:cs="仿宋"/>
          <w:sz w:val="24"/>
          <w:highlight w:val="none"/>
          <w:u w:val="single"/>
          <w:shd w:val="clear" w:color="auto" w:fill="FFFFFF"/>
          <w:lang w:eastAsia="zh-CN"/>
        </w:rPr>
        <w:t>广东省深圳市福田区皇岗路5001号深业上城写字楼A座19楼广东融关律师事务所</w:t>
      </w:r>
    </w:p>
    <w:p w14:paraId="6912A16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u w:val="single"/>
          <w:shd w:val="clear" w:color="auto" w:fill="FFFFFF"/>
        </w:rPr>
      </w:pPr>
      <w:r>
        <w:rPr>
          <w:rStyle w:val="9"/>
          <w:rFonts w:hint="eastAsia" w:ascii="仿宋" w:hAnsi="仿宋" w:eastAsia="仿宋" w:cs="仿宋"/>
          <w:color w:val="000000"/>
          <w:kern w:val="0"/>
          <w:sz w:val="24"/>
          <w:highlight w:val="none"/>
          <w:u w:val="single"/>
          <w:shd w:val="clear" w:color="auto" w:fill="FFFFFF"/>
        </w:rPr>
        <w:t>邮 编：5</w:t>
      </w:r>
      <w:r>
        <w:rPr>
          <w:rStyle w:val="9"/>
          <w:rFonts w:hint="eastAsia" w:ascii="仿宋" w:hAnsi="仿宋" w:eastAsia="仿宋" w:cs="仿宋"/>
          <w:sz w:val="24"/>
          <w:highlight w:val="none"/>
          <w:u w:val="single"/>
          <w:shd w:val="clear" w:color="auto" w:fill="FFFFFF"/>
        </w:rPr>
        <w:t>18000</w:t>
      </w:r>
    </w:p>
    <w:p w14:paraId="6CA848F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default" w:ascii="仿宋" w:hAnsi="仿宋" w:eastAsia="仿宋" w:cs="仿宋"/>
          <w:sz w:val="24"/>
          <w:highlight w:val="none"/>
          <w:u w:val="single"/>
          <w:shd w:val="clear" w:color="auto" w:fill="FFFFFF"/>
          <w:lang w:val="en-US" w:eastAsia="zh-CN"/>
        </w:rPr>
      </w:pPr>
      <w:r>
        <w:rPr>
          <w:rStyle w:val="9"/>
          <w:rFonts w:hint="eastAsia" w:ascii="仿宋" w:hAnsi="仿宋" w:eastAsia="仿宋" w:cs="仿宋"/>
          <w:color w:val="000000"/>
          <w:kern w:val="0"/>
          <w:sz w:val="24"/>
          <w:highlight w:val="none"/>
          <w:u w:val="single"/>
          <w:shd w:val="clear" w:color="auto" w:fill="FFFFFF"/>
        </w:rPr>
        <w:t>联 系 人：</w:t>
      </w:r>
      <w:r>
        <w:rPr>
          <w:rFonts w:hint="eastAsia" w:ascii="仿宋" w:hAnsi="仿宋" w:eastAsia="仿宋" w:cs="仿宋"/>
          <w:sz w:val="24"/>
          <w:highlight w:val="none"/>
          <w:u w:val="single"/>
          <w:shd w:val="clear" w:color="auto" w:fill="FFFFFF"/>
        </w:rPr>
        <w:t>马畅宇、</w:t>
      </w:r>
      <w:r>
        <w:rPr>
          <w:rFonts w:hint="eastAsia" w:ascii="仿宋" w:hAnsi="仿宋" w:eastAsia="仿宋" w:cs="仿宋"/>
          <w:sz w:val="24"/>
          <w:highlight w:val="none"/>
          <w:u w:val="single"/>
          <w:shd w:val="clear" w:color="auto" w:fill="FFFFFF"/>
          <w:lang w:val="en-US" w:eastAsia="zh-CN"/>
        </w:rPr>
        <w:t>卢杉杉</w:t>
      </w:r>
    </w:p>
    <w:p w14:paraId="27F2A02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default" w:ascii="仿宋" w:hAnsi="仿宋" w:eastAsia="仿宋" w:cs="仿宋"/>
          <w:sz w:val="24"/>
          <w:highlight w:val="none"/>
          <w:u w:val="single"/>
          <w:shd w:val="clear" w:color="auto" w:fill="FFFFFF"/>
          <w:lang w:val="en-US" w:eastAsia="zh-CN"/>
        </w:rPr>
      </w:pPr>
      <w:r>
        <w:rPr>
          <w:rStyle w:val="9"/>
          <w:rFonts w:hint="eastAsia" w:ascii="仿宋" w:hAnsi="仿宋" w:eastAsia="仿宋" w:cs="仿宋"/>
          <w:color w:val="000000"/>
          <w:kern w:val="0"/>
          <w:sz w:val="24"/>
          <w:highlight w:val="none"/>
          <w:u w:val="single"/>
          <w:shd w:val="clear" w:color="auto" w:fill="FFFFFF"/>
        </w:rPr>
        <w:t>电 话：</w:t>
      </w:r>
      <w:r>
        <w:rPr>
          <w:rFonts w:hint="eastAsia" w:ascii="仿宋" w:hAnsi="仿宋" w:eastAsia="仿宋" w:cs="仿宋"/>
          <w:sz w:val="24"/>
          <w:highlight w:val="none"/>
          <w:u w:val="single"/>
          <w:shd w:val="clear" w:color="auto" w:fill="FFFFFF"/>
        </w:rPr>
        <w:t xml:space="preserve"> 18934183108、</w:t>
      </w:r>
      <w:r>
        <w:rPr>
          <w:rFonts w:hint="eastAsia" w:ascii="仿宋" w:hAnsi="仿宋" w:eastAsia="仿宋" w:cs="仿宋"/>
          <w:sz w:val="24"/>
          <w:highlight w:val="none"/>
          <w:u w:val="single"/>
          <w:shd w:val="clear" w:color="auto" w:fill="FFFFFF"/>
          <w:lang w:val="en-US" w:eastAsia="zh-CN"/>
        </w:rPr>
        <w:t>18903899351</w:t>
      </w:r>
    </w:p>
    <w:p w14:paraId="20C74D73">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bCs/>
          <w:sz w:val="24"/>
          <w:highlight w:val="none"/>
          <w:shd w:val="clear" w:color="auto" w:fill="FFFFFF"/>
        </w:rPr>
        <w:t>（二）现场申报</w:t>
      </w:r>
    </w:p>
    <w:p w14:paraId="126BFB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color w:val="000000"/>
          <w:kern w:val="0"/>
          <w:sz w:val="24"/>
          <w:highlight w:val="none"/>
          <w:shd w:val="clear" w:color="auto" w:fill="FFFFFF"/>
        </w:rPr>
        <w:t>债权人可到管理人办公地点现场提交债权申报材料，申报时间和地点为：</w:t>
      </w:r>
    </w:p>
    <w:p w14:paraId="2A348C0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u w:val="single"/>
          <w:shd w:val="clear" w:color="auto" w:fill="FFFFFF"/>
        </w:rPr>
      </w:pPr>
      <w:r>
        <w:rPr>
          <w:rStyle w:val="9"/>
          <w:rFonts w:hint="eastAsia" w:ascii="仿宋" w:hAnsi="仿宋" w:eastAsia="仿宋" w:cs="仿宋"/>
          <w:color w:val="000000"/>
          <w:kern w:val="0"/>
          <w:sz w:val="24"/>
          <w:highlight w:val="none"/>
          <w:u w:val="single"/>
          <w:shd w:val="clear" w:color="auto" w:fill="FFFFFF"/>
        </w:rPr>
        <w:t>时 间：工作日 9:</w:t>
      </w:r>
      <w:r>
        <w:rPr>
          <w:rStyle w:val="9"/>
          <w:rFonts w:hint="eastAsia" w:ascii="仿宋" w:hAnsi="仿宋" w:eastAsia="仿宋" w:cs="仿宋"/>
          <w:sz w:val="24"/>
          <w:highlight w:val="none"/>
          <w:u w:val="single"/>
          <w:shd w:val="clear" w:color="auto" w:fill="FFFFFF"/>
        </w:rPr>
        <w:t>30</w:t>
      </w:r>
      <w:r>
        <w:rPr>
          <w:rStyle w:val="9"/>
          <w:rFonts w:hint="eastAsia" w:ascii="仿宋" w:hAnsi="仿宋" w:eastAsia="仿宋" w:cs="仿宋"/>
          <w:color w:val="000000"/>
          <w:kern w:val="0"/>
          <w:sz w:val="24"/>
          <w:highlight w:val="none"/>
          <w:u w:val="single"/>
          <w:shd w:val="clear" w:color="auto" w:fill="FFFFFF"/>
        </w:rPr>
        <w:t xml:space="preserve">-12:00，14:00-18:00 </w:t>
      </w:r>
    </w:p>
    <w:p w14:paraId="00FAB02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eastAsia" w:ascii="仿宋" w:hAnsi="仿宋" w:eastAsia="仿宋" w:cs="仿宋"/>
          <w:sz w:val="24"/>
          <w:highlight w:val="none"/>
          <w:u w:val="single"/>
          <w:shd w:val="clear" w:color="auto" w:fill="FFFFFF"/>
        </w:rPr>
      </w:pPr>
      <w:r>
        <w:rPr>
          <w:rStyle w:val="9"/>
          <w:rFonts w:hint="eastAsia" w:ascii="仿宋" w:hAnsi="仿宋" w:eastAsia="仿宋" w:cs="仿宋"/>
          <w:color w:val="000000"/>
          <w:kern w:val="0"/>
          <w:sz w:val="24"/>
          <w:highlight w:val="none"/>
          <w:u w:val="single"/>
          <w:shd w:val="clear" w:color="auto" w:fill="FFFFFF"/>
        </w:rPr>
        <w:t>地 址：</w:t>
      </w:r>
      <w:r>
        <w:rPr>
          <w:rStyle w:val="9"/>
          <w:rFonts w:hint="eastAsia" w:ascii="仿宋" w:hAnsi="仿宋" w:eastAsia="仿宋" w:cs="仿宋"/>
          <w:sz w:val="24"/>
          <w:highlight w:val="none"/>
          <w:u w:val="single"/>
          <w:shd w:val="clear" w:color="auto" w:fill="FFFFFF"/>
          <w:lang w:eastAsia="zh-CN"/>
        </w:rPr>
        <w:t>广东省深圳市福田区皇岗路5001号深业上城写字楼A座19楼广东融关律师事务所</w:t>
      </w:r>
      <w:r>
        <w:rPr>
          <w:rStyle w:val="9"/>
          <w:rFonts w:hint="eastAsia" w:ascii="仿宋" w:hAnsi="仿宋" w:eastAsia="仿宋" w:cs="仿宋"/>
          <w:sz w:val="24"/>
          <w:highlight w:val="none"/>
          <w:u w:val="single"/>
          <w:shd w:val="clear" w:color="auto" w:fill="FFFFFF"/>
        </w:rPr>
        <w:t xml:space="preserve"> </w:t>
      </w:r>
    </w:p>
    <w:p w14:paraId="6411A2D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default" w:ascii="仿宋" w:hAnsi="仿宋" w:eastAsia="仿宋" w:cs="仿宋"/>
          <w:sz w:val="24"/>
          <w:highlight w:val="none"/>
          <w:u w:val="single"/>
          <w:shd w:val="clear" w:color="auto" w:fill="FFFFFF"/>
          <w:lang w:val="en-US" w:eastAsia="zh-CN"/>
        </w:rPr>
      </w:pPr>
      <w:r>
        <w:rPr>
          <w:rStyle w:val="9"/>
          <w:rFonts w:hint="eastAsia" w:ascii="仿宋" w:hAnsi="仿宋" w:eastAsia="仿宋" w:cs="仿宋"/>
          <w:color w:val="000000"/>
          <w:kern w:val="0"/>
          <w:sz w:val="24"/>
          <w:highlight w:val="none"/>
          <w:u w:val="single"/>
          <w:shd w:val="clear" w:color="auto" w:fill="FFFFFF"/>
        </w:rPr>
        <w:t>联 系 人：</w:t>
      </w:r>
      <w:r>
        <w:rPr>
          <w:rFonts w:hint="eastAsia" w:ascii="仿宋" w:hAnsi="仿宋" w:eastAsia="仿宋" w:cs="仿宋"/>
          <w:sz w:val="24"/>
          <w:highlight w:val="none"/>
          <w:u w:val="single"/>
          <w:shd w:val="clear" w:color="auto" w:fill="FFFFFF"/>
        </w:rPr>
        <w:t>马畅宇、</w:t>
      </w:r>
      <w:r>
        <w:rPr>
          <w:rFonts w:hint="eastAsia" w:ascii="仿宋" w:hAnsi="仿宋" w:eastAsia="仿宋" w:cs="仿宋"/>
          <w:sz w:val="24"/>
          <w:highlight w:val="none"/>
          <w:u w:val="single"/>
          <w:shd w:val="clear" w:color="auto" w:fill="FFFFFF"/>
          <w:lang w:val="en-US" w:eastAsia="zh-CN"/>
        </w:rPr>
        <w:t>卢杉杉</w:t>
      </w:r>
    </w:p>
    <w:p w14:paraId="3267FD0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Style w:val="9"/>
          <w:rFonts w:hint="default" w:ascii="仿宋" w:hAnsi="仿宋" w:eastAsia="仿宋" w:cs="仿宋"/>
          <w:sz w:val="24"/>
          <w:highlight w:val="none"/>
          <w:u w:val="single"/>
          <w:shd w:val="clear" w:color="auto" w:fill="FFFFFF"/>
          <w:lang w:val="en-US" w:eastAsia="zh-CN"/>
        </w:rPr>
      </w:pPr>
      <w:r>
        <w:rPr>
          <w:rStyle w:val="9"/>
          <w:rFonts w:hint="eastAsia" w:ascii="仿宋" w:hAnsi="仿宋" w:eastAsia="仿宋" w:cs="仿宋"/>
          <w:color w:val="000000"/>
          <w:kern w:val="0"/>
          <w:sz w:val="24"/>
          <w:highlight w:val="none"/>
          <w:u w:val="single"/>
          <w:shd w:val="clear" w:color="auto" w:fill="FFFFFF"/>
        </w:rPr>
        <w:t>电 话：</w:t>
      </w:r>
      <w:r>
        <w:rPr>
          <w:rFonts w:hint="eastAsia" w:ascii="仿宋" w:hAnsi="仿宋" w:eastAsia="仿宋" w:cs="仿宋"/>
          <w:sz w:val="24"/>
          <w:highlight w:val="none"/>
          <w:u w:val="single"/>
          <w:shd w:val="clear" w:color="auto" w:fill="FFFFFF"/>
        </w:rPr>
        <w:t xml:space="preserve"> 18934183108、</w:t>
      </w:r>
      <w:r>
        <w:rPr>
          <w:rFonts w:hint="eastAsia" w:ascii="仿宋" w:hAnsi="仿宋" w:eastAsia="仿宋" w:cs="仿宋"/>
          <w:sz w:val="24"/>
          <w:highlight w:val="none"/>
          <w:u w:val="single"/>
          <w:shd w:val="clear" w:color="auto" w:fill="FFFFFF"/>
          <w:lang w:val="en-US" w:eastAsia="zh-CN"/>
        </w:rPr>
        <w:t>18903899351</w:t>
      </w:r>
    </w:p>
    <w:p w14:paraId="66524C0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Style w:val="9"/>
          <w:rFonts w:hint="eastAsia" w:ascii="仿宋" w:hAnsi="仿宋" w:eastAsia="仿宋" w:cs="仿宋"/>
          <w:sz w:val="24"/>
          <w:highlight w:val="none"/>
          <w:shd w:val="clear" w:color="auto" w:fill="FFFFFF"/>
        </w:rPr>
      </w:pPr>
      <w:r>
        <w:rPr>
          <w:rFonts w:hint="eastAsia" w:ascii="仿宋" w:hAnsi="仿宋" w:eastAsia="仿宋" w:cs="仿宋"/>
          <w:sz w:val="24"/>
          <w:highlight w:val="none"/>
          <w:shd w:val="clear" w:color="auto" w:fill="FFFFFF"/>
        </w:rPr>
        <w:t>（</w:t>
      </w:r>
      <w:r>
        <w:rPr>
          <w:rStyle w:val="9"/>
          <w:rFonts w:hint="eastAsia" w:ascii="仿宋" w:hAnsi="仿宋" w:eastAsia="仿宋" w:cs="仿宋"/>
          <w:sz w:val="24"/>
          <w:highlight w:val="none"/>
          <w:shd w:val="clear" w:color="auto" w:fill="FFFFFF"/>
        </w:rPr>
        <w:t>如现场申报，申报人可与管理人预约申报日期，对于有预约的申报，管理人将于预约日优先安排受理及登记。）</w:t>
      </w:r>
    </w:p>
    <w:p w14:paraId="6271A12F">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Style w:val="9"/>
          <w:rFonts w:hint="eastAsia" w:ascii="仿宋" w:hAnsi="仿宋" w:eastAsia="仿宋" w:cs="仿宋"/>
          <w:b/>
          <w:bCs/>
          <w:sz w:val="24"/>
          <w:highlight w:val="none"/>
          <w:shd w:val="clear" w:color="auto" w:fill="FFFFFF"/>
          <w:lang w:val="en-US" w:eastAsia="zh-CN"/>
        </w:rPr>
      </w:pPr>
      <w:r>
        <w:rPr>
          <w:rStyle w:val="9"/>
          <w:rFonts w:hint="eastAsia" w:ascii="仿宋" w:hAnsi="仿宋" w:eastAsia="仿宋" w:cs="仿宋"/>
          <w:b/>
          <w:bCs/>
          <w:sz w:val="24"/>
          <w:highlight w:val="none"/>
          <w:shd w:val="clear" w:color="auto" w:fill="FFFFFF"/>
          <w:lang w:val="en-US" w:eastAsia="zh-CN"/>
        </w:rPr>
        <w:t>四</w:t>
      </w:r>
      <w:r>
        <w:rPr>
          <w:rStyle w:val="9"/>
          <w:rFonts w:hint="eastAsia" w:ascii="仿宋" w:hAnsi="仿宋" w:eastAsia="仿宋" w:cs="仿宋"/>
          <w:b/>
          <w:bCs/>
          <w:sz w:val="24"/>
          <w:highlight w:val="none"/>
          <w:shd w:val="clear" w:color="auto" w:fill="FFFFFF"/>
        </w:rPr>
        <w:t>、</w:t>
      </w:r>
      <w:r>
        <w:rPr>
          <w:rStyle w:val="9"/>
          <w:rFonts w:hint="eastAsia" w:ascii="仿宋" w:hAnsi="仿宋" w:eastAsia="仿宋" w:cs="仿宋"/>
          <w:b/>
          <w:bCs/>
          <w:sz w:val="24"/>
          <w:highlight w:val="none"/>
          <w:shd w:val="clear" w:color="auto" w:fill="FFFFFF"/>
          <w:lang w:val="en-US" w:eastAsia="zh-CN"/>
        </w:rPr>
        <w:t>其他说明</w:t>
      </w:r>
    </w:p>
    <w:p w14:paraId="05F12759">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Style w:val="9"/>
          <w:rFonts w:hint="eastAsia" w:ascii="仿宋" w:hAnsi="仿宋" w:eastAsia="仿宋" w:cs="仿宋"/>
          <w:sz w:val="24"/>
          <w:highlight w:val="none"/>
          <w:shd w:val="clear" w:color="auto" w:fill="FFFFFF"/>
          <w:lang w:eastAsia="zh-CN"/>
        </w:rPr>
      </w:pP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lang w:val="en-US" w:eastAsia="zh-CN"/>
        </w:rPr>
        <w:t>一</w:t>
      </w:r>
      <w:r>
        <w:rPr>
          <w:rStyle w:val="9"/>
          <w:rFonts w:hint="eastAsia" w:ascii="仿宋" w:hAnsi="仿宋" w:eastAsia="仿宋" w:cs="仿宋"/>
          <w:sz w:val="24"/>
          <w:highlight w:val="none"/>
          <w:shd w:val="clear" w:color="auto" w:fill="FFFFFF"/>
          <w:lang w:eastAsia="zh-CN"/>
        </w:rPr>
        <w:t>）本债权申报通知未列明事项，按照《中华人民共和国企业破产法》等法律法规和司法解释执行。</w:t>
      </w:r>
    </w:p>
    <w:p w14:paraId="54E08C8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Style w:val="9"/>
          <w:rFonts w:hint="eastAsia" w:ascii="仿宋" w:hAnsi="仿宋" w:eastAsia="仿宋" w:cs="仿宋"/>
          <w:sz w:val="24"/>
          <w:highlight w:val="none"/>
          <w:shd w:val="clear" w:color="auto" w:fill="FFFFFF"/>
        </w:rPr>
      </w:pP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lang w:val="en-US" w:eastAsia="zh-CN"/>
        </w:rPr>
        <w:t>二</w:t>
      </w:r>
      <w:r>
        <w:rPr>
          <w:rStyle w:val="9"/>
          <w:rFonts w:hint="eastAsia" w:ascii="仿宋" w:hAnsi="仿宋" w:eastAsia="仿宋" w:cs="仿宋"/>
          <w:sz w:val="24"/>
          <w:highlight w:val="none"/>
          <w:shd w:val="clear" w:color="auto" w:fill="FFFFFF"/>
          <w:lang w:eastAsia="zh-CN"/>
        </w:rPr>
        <w:t>）</w:t>
      </w:r>
      <w:r>
        <w:rPr>
          <w:rStyle w:val="9"/>
          <w:rFonts w:hint="eastAsia" w:ascii="仿宋" w:hAnsi="仿宋" w:eastAsia="仿宋" w:cs="仿宋"/>
          <w:sz w:val="24"/>
          <w:highlight w:val="none"/>
          <w:shd w:val="clear" w:color="auto" w:fill="FFFFFF"/>
        </w:rPr>
        <w:t>取回权、抵销权等权利的申报文件参</w:t>
      </w:r>
      <w:r>
        <w:rPr>
          <w:rStyle w:val="9"/>
          <w:rFonts w:hint="eastAsia" w:ascii="仿宋" w:hAnsi="仿宋" w:eastAsia="仿宋" w:cs="仿宋"/>
          <w:sz w:val="24"/>
          <w:highlight w:val="none"/>
          <w:shd w:val="clear" w:color="auto" w:fill="FFFFFF"/>
          <w:lang w:val="en-US" w:eastAsia="zh-CN"/>
        </w:rPr>
        <w:t>照</w:t>
      </w:r>
      <w:r>
        <w:rPr>
          <w:rStyle w:val="9"/>
          <w:rFonts w:hint="eastAsia" w:ascii="仿宋" w:hAnsi="仿宋" w:eastAsia="仿宋" w:cs="仿宋"/>
          <w:sz w:val="24"/>
          <w:highlight w:val="none"/>
          <w:shd w:val="clear" w:color="auto" w:fill="FFFFFF"/>
        </w:rPr>
        <w:t>本指南</w:t>
      </w:r>
      <w:r>
        <w:rPr>
          <w:rStyle w:val="9"/>
          <w:rFonts w:hint="eastAsia" w:ascii="仿宋" w:hAnsi="仿宋" w:eastAsia="仿宋" w:cs="仿宋"/>
          <w:sz w:val="24"/>
          <w:highlight w:val="none"/>
          <w:shd w:val="clear" w:color="auto" w:fill="FFFFFF"/>
          <w:lang w:val="en-US" w:eastAsia="zh-CN"/>
        </w:rPr>
        <w:t>执行</w:t>
      </w:r>
      <w:r>
        <w:rPr>
          <w:rStyle w:val="9"/>
          <w:rFonts w:hint="eastAsia" w:ascii="仿宋" w:hAnsi="仿宋" w:eastAsia="仿宋" w:cs="仿宋"/>
          <w:sz w:val="24"/>
          <w:highlight w:val="none"/>
          <w:shd w:val="clear" w:color="auto" w:fill="FFFFFF"/>
        </w:rPr>
        <w:t xml:space="preserve">。 </w:t>
      </w:r>
    </w:p>
    <w:p w14:paraId="0D77C5F4">
      <w:pPr>
        <w:keepNext w:val="0"/>
        <w:keepLines w:val="0"/>
        <w:pageBreakBefore w:val="0"/>
        <w:kinsoku/>
        <w:wordWrap/>
        <w:overflowPunct/>
        <w:topLinePunct w:val="0"/>
        <w:autoSpaceDE/>
        <w:autoSpaceDN/>
        <w:bidi w:val="0"/>
        <w:adjustRightInd/>
        <w:snapToGrid/>
        <w:spacing w:line="500" w:lineRule="exact"/>
        <w:textAlignment w:val="auto"/>
        <w:rPr>
          <w:rStyle w:val="9"/>
          <w:rFonts w:hint="eastAsia" w:ascii="仿宋" w:hAnsi="仿宋" w:eastAsia="仿宋" w:cs="仿宋"/>
          <w:b/>
          <w:sz w:val="24"/>
          <w:highlight w:val="none"/>
          <w:shd w:val="clear" w:color="auto" w:fill="FFFFFF"/>
        </w:rPr>
      </w:pPr>
    </w:p>
    <w:p w14:paraId="4C5FCE4D">
      <w:pPr>
        <w:keepNext w:val="0"/>
        <w:keepLines w:val="0"/>
        <w:pageBreakBefore w:val="0"/>
        <w:kinsoku/>
        <w:wordWrap/>
        <w:overflowPunct/>
        <w:topLinePunct w:val="0"/>
        <w:autoSpaceDE/>
        <w:autoSpaceDN/>
        <w:bidi w:val="0"/>
        <w:adjustRightInd/>
        <w:snapToGrid/>
        <w:spacing w:line="500" w:lineRule="exact"/>
        <w:textAlignment w:val="auto"/>
        <w:rPr>
          <w:rStyle w:val="9"/>
          <w:rFonts w:hint="eastAsia" w:ascii="仿宋" w:hAnsi="仿宋" w:eastAsia="仿宋" w:cs="仿宋"/>
          <w:b/>
          <w:sz w:val="24"/>
          <w:highlight w:val="none"/>
          <w:shd w:val="clear" w:color="auto" w:fill="FFFFFF"/>
        </w:rPr>
      </w:pPr>
      <w:r>
        <w:rPr>
          <w:rStyle w:val="9"/>
          <w:rFonts w:hint="eastAsia" w:ascii="仿宋" w:hAnsi="仿宋" w:eastAsia="仿宋" w:cs="仿宋"/>
          <w:b/>
          <w:sz w:val="24"/>
          <w:highlight w:val="none"/>
          <w:shd w:val="clear" w:color="auto" w:fill="FFFFFF"/>
        </w:rPr>
        <w:t>特别提示：</w:t>
      </w:r>
    </w:p>
    <w:p w14:paraId="50012142">
      <w:pPr>
        <w:keepNext w:val="0"/>
        <w:keepLines w:val="0"/>
        <w:pageBreakBefore w:val="0"/>
        <w:numPr>
          <w:ilvl w:val="8"/>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val="en-US" w:eastAsia="zh-CN"/>
        </w:rPr>
        <w:t>1.</w:t>
      </w:r>
      <w:r>
        <w:rPr>
          <w:rFonts w:hint="eastAsia" w:ascii="仿宋" w:hAnsi="仿宋" w:eastAsia="仿宋" w:cs="仿宋"/>
          <w:sz w:val="24"/>
          <w:highlight w:val="none"/>
        </w:rPr>
        <w:t>申报债权时，请务必带上债权申报材料的原件供管理人核对。未与原件核对无误的复印件材料，管理人不予采信。存在其他事实和理由，足以让管理人确认债权真实的除外。</w:t>
      </w:r>
    </w:p>
    <w:p w14:paraId="6C5A65A8">
      <w:pPr>
        <w:keepNext w:val="0"/>
        <w:keepLines w:val="0"/>
        <w:pageBreakBefore w:val="0"/>
        <w:numPr>
          <w:ilvl w:val="8"/>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val="en-US" w:eastAsia="zh-CN"/>
        </w:rPr>
        <w:t>2.</w:t>
      </w:r>
      <w:r>
        <w:rPr>
          <w:rFonts w:hint="eastAsia" w:ascii="仿宋" w:hAnsi="仿宋" w:eastAsia="仿宋" w:cs="仿宋"/>
          <w:b/>
          <w:bCs/>
          <w:sz w:val="24"/>
          <w:highlight w:val="none"/>
        </w:rPr>
        <w:t>本案债权申报截止期限为202</w:t>
      </w:r>
      <w:r>
        <w:rPr>
          <w:rFonts w:hint="eastAsia" w:ascii="仿宋" w:hAnsi="仿宋" w:eastAsia="仿宋" w:cs="仿宋"/>
          <w:b/>
          <w:bCs/>
          <w:sz w:val="24"/>
          <w:highlight w:val="none"/>
          <w:lang w:val="en-US" w:eastAsia="zh-CN"/>
        </w:rPr>
        <w:t>5</w:t>
      </w:r>
      <w:r>
        <w:rPr>
          <w:rFonts w:hint="eastAsia" w:ascii="仿宋" w:hAnsi="仿宋" w:eastAsia="仿宋" w:cs="仿宋"/>
          <w:b/>
          <w:bCs/>
          <w:sz w:val="24"/>
          <w:highlight w:val="none"/>
        </w:rPr>
        <w:t>年</w:t>
      </w:r>
      <w:r>
        <w:rPr>
          <w:rFonts w:hint="eastAsia" w:ascii="仿宋" w:hAnsi="仿宋" w:eastAsia="仿宋" w:cs="仿宋"/>
          <w:b/>
          <w:bCs/>
          <w:sz w:val="24"/>
          <w:highlight w:val="none"/>
          <w:lang w:val="en-US" w:eastAsia="zh-CN"/>
        </w:rPr>
        <w:t>4</w:t>
      </w:r>
      <w:r>
        <w:rPr>
          <w:rFonts w:hint="eastAsia" w:ascii="仿宋" w:hAnsi="仿宋" w:eastAsia="仿宋" w:cs="仿宋"/>
          <w:b/>
          <w:bCs/>
          <w:sz w:val="24"/>
          <w:highlight w:val="none"/>
          <w:lang w:eastAsia="zh-CN"/>
        </w:rPr>
        <w:t>月</w:t>
      </w:r>
      <w:r>
        <w:rPr>
          <w:rFonts w:hint="eastAsia" w:ascii="仿宋" w:hAnsi="仿宋" w:eastAsia="仿宋" w:cs="仿宋"/>
          <w:b/>
          <w:bCs/>
          <w:sz w:val="24"/>
          <w:highlight w:val="none"/>
          <w:lang w:val="en-US" w:eastAsia="zh-CN"/>
        </w:rPr>
        <w:t>13</w:t>
      </w:r>
      <w:r>
        <w:rPr>
          <w:rFonts w:hint="eastAsia" w:ascii="仿宋" w:hAnsi="仿宋" w:eastAsia="仿宋" w:cs="仿宋"/>
          <w:b/>
          <w:bCs/>
          <w:sz w:val="24"/>
          <w:highlight w:val="none"/>
          <w:lang w:eastAsia="zh-CN"/>
        </w:rPr>
        <w:t>日</w:t>
      </w:r>
      <w:r>
        <w:rPr>
          <w:rFonts w:hint="eastAsia" w:ascii="仿宋" w:hAnsi="仿宋" w:eastAsia="仿宋" w:cs="仿宋"/>
          <w:b/>
          <w:bCs/>
          <w:sz w:val="24"/>
          <w:highlight w:val="none"/>
        </w:rPr>
        <w:t>，</w:t>
      </w:r>
      <w:r>
        <w:rPr>
          <w:rFonts w:hint="eastAsia" w:ascii="仿宋" w:hAnsi="仿宋" w:eastAsia="仿宋" w:cs="仿宋"/>
          <w:sz w:val="24"/>
          <w:highlight w:val="none"/>
        </w:rPr>
        <w:t>请各债权人于收到申报通知后尽早向管理人提交申报资料。逾期未申报的，可在管理人处按照人民法院裁定确认的破产财产分配方案实施最后分配前补充申报，但对此前已进行的分配无权要求补充分配，同时还要承担为审查和确认补充申报债权所产生的费用。为审查和确认补充申报债权产生的费用，由补充申报人承担。</w:t>
      </w:r>
    </w:p>
    <w:p w14:paraId="29E507E2">
      <w:pPr>
        <w:keepNext w:val="0"/>
        <w:keepLines w:val="0"/>
        <w:pageBreakBefore w:val="0"/>
        <w:numPr>
          <w:ilvl w:val="8"/>
          <w:numId w:val="0"/>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sz w:val="24"/>
          <w:highlight w:val="none"/>
          <w:lang w:val="en-US" w:eastAsia="zh-CN"/>
        </w:rPr>
      </w:pPr>
      <w:r>
        <w:rPr>
          <w:rFonts w:hint="eastAsia" w:ascii="仿宋" w:hAnsi="仿宋" w:eastAsia="仿宋" w:cs="仿宋"/>
          <w:b/>
          <w:bCs/>
          <w:sz w:val="24"/>
          <w:highlight w:val="none"/>
          <w:lang w:val="en-US" w:eastAsia="zh-CN"/>
        </w:rPr>
        <w:t>3.第一次债权人会议定于2025年4月24日下午15：00于深圳市中级人民法院破产法庭（深圳市福田区彩田路文创中心17楼）第一法庭召开。</w:t>
      </w:r>
      <w:r>
        <w:rPr>
          <w:rFonts w:hint="eastAsia" w:ascii="仿宋" w:hAnsi="仿宋" w:eastAsia="仿宋" w:cs="仿宋"/>
          <w:sz w:val="24"/>
          <w:highlight w:val="none"/>
          <w:lang w:val="en-US" w:eastAsia="zh-CN"/>
        </w:rPr>
        <w:t>依法申报债权的债权人有权参加本次债权人会议。</w:t>
      </w:r>
    </w:p>
    <w:p w14:paraId="71EDEA4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val="en-US" w:eastAsia="zh-CN"/>
        </w:rPr>
        <w:t>4</w:t>
      </w:r>
      <w:r>
        <w:rPr>
          <w:rFonts w:hint="eastAsia" w:ascii="仿宋" w:hAnsi="仿宋" w:eastAsia="仿宋" w:cs="仿宋"/>
          <w:sz w:val="24"/>
          <w:highlight w:val="none"/>
        </w:rPr>
        <w:t>.本通知</w:t>
      </w:r>
      <w:r>
        <w:rPr>
          <w:rFonts w:hint="eastAsia" w:ascii="仿宋" w:hAnsi="仿宋" w:eastAsia="仿宋" w:cs="仿宋"/>
          <w:sz w:val="24"/>
          <w:highlight w:val="none"/>
          <w:lang w:val="en-US" w:eastAsia="zh-CN"/>
        </w:rPr>
        <w:t>的送达</w:t>
      </w:r>
      <w:r>
        <w:rPr>
          <w:rFonts w:hint="eastAsia" w:ascii="仿宋" w:hAnsi="仿宋" w:eastAsia="仿宋" w:cs="仿宋"/>
          <w:sz w:val="24"/>
          <w:highlight w:val="none"/>
        </w:rPr>
        <w:t>不</w:t>
      </w:r>
      <w:r>
        <w:rPr>
          <w:rFonts w:hint="eastAsia" w:ascii="仿宋" w:hAnsi="仿宋" w:eastAsia="仿宋" w:cs="仿宋"/>
          <w:sz w:val="24"/>
          <w:highlight w:val="none"/>
          <w:lang w:val="en-US" w:eastAsia="zh-CN"/>
        </w:rPr>
        <w:t>构成</w:t>
      </w:r>
      <w:r>
        <w:rPr>
          <w:rFonts w:hint="eastAsia" w:ascii="仿宋" w:hAnsi="仿宋" w:eastAsia="仿宋" w:cs="仿宋"/>
          <w:sz w:val="24"/>
          <w:highlight w:val="none"/>
        </w:rPr>
        <w:t>债务人或管理人对</w:t>
      </w:r>
      <w:r>
        <w:rPr>
          <w:rStyle w:val="9"/>
          <w:rFonts w:hint="eastAsia" w:ascii="仿宋" w:hAnsi="仿宋" w:eastAsia="仿宋" w:cs="仿宋"/>
          <w:sz w:val="24"/>
          <w:highlight w:val="none"/>
          <w:shd w:val="clear" w:color="auto" w:fill="FFFFFF"/>
        </w:rPr>
        <w:t>无效债权的重新确认，也不产生债权诉讼时效中止、中断或延长等法律后果。</w:t>
      </w:r>
    </w:p>
    <w:p w14:paraId="75F6C91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b/>
          <w:bCs/>
          <w:sz w:val="24"/>
          <w:highlight w:val="none"/>
          <w:lang w:val="en-US" w:eastAsia="zh-CN"/>
        </w:rPr>
      </w:pPr>
      <w:r>
        <w:rPr>
          <w:rFonts w:hint="eastAsia" w:ascii="仿宋" w:hAnsi="仿宋" w:eastAsia="仿宋" w:cs="仿宋"/>
          <w:sz w:val="24"/>
          <w:highlight w:val="none"/>
          <w:lang w:val="en-US" w:eastAsia="zh-CN"/>
        </w:rPr>
        <w:t>5</w:t>
      </w:r>
      <w:r>
        <w:rPr>
          <w:rFonts w:hint="eastAsia" w:ascii="仿宋" w:hAnsi="仿宋" w:eastAsia="仿宋" w:cs="仿宋"/>
          <w:sz w:val="24"/>
          <w:highlight w:val="none"/>
        </w:rPr>
        <w:t>.无论是邮寄还是现场申报债权，请债权人将债权申报资料（盖章版）扫描件通过电子邮件的方式发送至</w:t>
      </w:r>
      <w:r>
        <w:rPr>
          <w:rFonts w:hint="eastAsia" w:ascii="仿宋" w:hAnsi="仿宋" w:eastAsia="仿宋" w:cs="仿宋"/>
          <w:b/>
          <w:bCs/>
          <w:sz w:val="24"/>
          <w:highlight w:val="none"/>
        </w:rPr>
        <w:t>rgksaj6688@163.com</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并备注</w:t>
      </w:r>
      <w:r>
        <w:rPr>
          <w:rFonts w:hint="eastAsia" w:ascii="仿宋" w:hAnsi="仿宋" w:eastAsia="仿宋" w:cs="仿宋"/>
          <w:b/>
          <w:bCs/>
          <w:sz w:val="24"/>
          <w:highlight w:val="none"/>
          <w:lang w:val="en-US" w:eastAsia="zh-CN"/>
        </w:rPr>
        <w:t>邮箱主题“科锐普透公司债权申报材料”。</w:t>
      </w:r>
    </w:p>
    <w:p w14:paraId="6B45970B">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highlight w:val="none"/>
          <w:shd w:val="clear" w:color="auto" w:fill="FFFFFF"/>
        </w:rPr>
      </w:pPr>
      <w:r>
        <w:rPr>
          <w:rFonts w:hint="eastAsia" w:ascii="仿宋" w:hAnsi="仿宋" w:eastAsia="仿宋" w:cs="仿宋"/>
          <w:sz w:val="24"/>
          <w:highlight w:val="none"/>
          <w:lang w:val="en-US" w:eastAsia="zh-CN"/>
        </w:rPr>
        <w:t>特此通知。</w:t>
      </w:r>
    </w:p>
    <w:p w14:paraId="3AA97E36">
      <w:pPr>
        <w:keepNext w:val="0"/>
        <w:keepLines w:val="0"/>
        <w:pageBreakBefore w:val="0"/>
        <w:widowControl/>
        <w:kinsoku/>
        <w:wordWrap/>
        <w:overflowPunct/>
        <w:topLinePunct w:val="0"/>
        <w:autoSpaceDE/>
        <w:autoSpaceDN/>
        <w:bidi w:val="0"/>
        <w:adjustRightInd/>
        <w:snapToGrid/>
        <w:spacing w:line="500" w:lineRule="exact"/>
        <w:jc w:val="right"/>
        <w:textAlignment w:val="auto"/>
        <w:rPr>
          <w:rStyle w:val="9"/>
          <w:rFonts w:hint="eastAsia" w:ascii="仿宋" w:hAnsi="仿宋" w:eastAsia="仿宋" w:cs="仿宋"/>
          <w:b/>
          <w:bCs/>
          <w:sz w:val="24"/>
          <w:highlight w:val="none"/>
          <w:shd w:val="clear" w:color="auto" w:fill="FFFFFF"/>
        </w:rPr>
      </w:pPr>
      <w:r>
        <w:rPr>
          <w:rStyle w:val="9"/>
          <w:rFonts w:hint="eastAsia" w:ascii="仿宋" w:hAnsi="仿宋" w:eastAsia="仿宋" w:cs="仿宋"/>
          <w:b/>
          <w:sz w:val="24"/>
          <w:highlight w:val="none"/>
          <w:shd w:val="clear" w:color="auto" w:fill="FFFFFF"/>
        </w:rPr>
        <w:t xml:space="preserve">                           </w:t>
      </w:r>
      <w:r>
        <w:rPr>
          <w:rStyle w:val="9"/>
          <w:rFonts w:hint="eastAsia" w:ascii="仿宋" w:hAnsi="仿宋" w:eastAsia="仿宋" w:cs="仿宋"/>
          <w:b/>
          <w:sz w:val="24"/>
          <w:highlight w:val="none"/>
          <w:shd w:val="clear" w:color="auto" w:fill="FFFFFF"/>
          <w:lang w:eastAsia="zh-CN"/>
        </w:rPr>
        <w:t>深圳市科锐普透科技有限公司</w:t>
      </w:r>
      <w:r>
        <w:rPr>
          <w:rStyle w:val="9"/>
          <w:rFonts w:hint="eastAsia" w:ascii="仿宋" w:hAnsi="仿宋" w:eastAsia="仿宋" w:cs="仿宋"/>
          <w:b/>
          <w:sz w:val="24"/>
          <w:highlight w:val="none"/>
          <w:shd w:val="clear" w:color="auto" w:fill="FFFFFF"/>
        </w:rPr>
        <w:t>管理人</w:t>
      </w:r>
    </w:p>
    <w:p w14:paraId="7107AA36">
      <w:pPr>
        <w:keepNext w:val="0"/>
        <w:keepLines w:val="0"/>
        <w:pageBreakBefore w:val="0"/>
        <w:widowControl/>
        <w:kinsoku/>
        <w:wordWrap/>
        <w:overflowPunct/>
        <w:topLinePunct w:val="0"/>
        <w:autoSpaceDE/>
        <w:autoSpaceDN/>
        <w:bidi w:val="0"/>
        <w:adjustRightInd/>
        <w:snapToGrid/>
        <w:spacing w:line="500" w:lineRule="exact"/>
        <w:jc w:val="right"/>
        <w:textAlignment w:val="auto"/>
        <w:rPr>
          <w:rStyle w:val="9"/>
          <w:rFonts w:hint="eastAsia" w:ascii="仿宋" w:hAnsi="仿宋" w:eastAsia="仿宋" w:cs="仿宋"/>
          <w:b/>
          <w:sz w:val="24"/>
          <w:highlight w:val="none"/>
          <w:shd w:val="clear" w:color="auto" w:fill="FFFFFF"/>
        </w:rPr>
      </w:pPr>
      <w:r>
        <w:rPr>
          <w:rStyle w:val="9"/>
          <w:rFonts w:hint="eastAsia" w:ascii="仿宋" w:hAnsi="仿宋" w:eastAsia="仿宋" w:cs="仿宋"/>
          <w:b/>
          <w:sz w:val="24"/>
          <w:highlight w:val="none"/>
          <w:shd w:val="clear" w:color="auto" w:fill="FFFFFF"/>
        </w:rPr>
        <w:t xml:space="preserve">                                              </w:t>
      </w:r>
      <w:r>
        <w:rPr>
          <w:rStyle w:val="9"/>
          <w:rFonts w:hint="eastAsia" w:ascii="仿宋" w:hAnsi="仿宋" w:eastAsia="仿宋" w:cs="仿宋"/>
          <w:b/>
          <w:sz w:val="24"/>
          <w:highlight w:val="none"/>
          <w:shd w:val="clear" w:color="auto" w:fill="FFFFFF"/>
          <w:lang w:val="en-US" w:eastAsia="zh-CN"/>
        </w:rPr>
        <w:t>二〇二五</w:t>
      </w:r>
      <w:r>
        <w:rPr>
          <w:rStyle w:val="9"/>
          <w:rFonts w:hint="eastAsia" w:ascii="仿宋" w:hAnsi="仿宋" w:eastAsia="仿宋" w:cs="仿宋"/>
          <w:b/>
          <w:sz w:val="24"/>
          <w:highlight w:val="none"/>
          <w:shd w:val="clear" w:color="auto" w:fill="FFFFFF"/>
        </w:rPr>
        <w:t>年</w:t>
      </w:r>
      <w:r>
        <w:rPr>
          <w:rStyle w:val="9"/>
          <w:rFonts w:hint="eastAsia" w:ascii="仿宋" w:hAnsi="仿宋" w:eastAsia="仿宋" w:cs="仿宋"/>
          <w:b/>
          <w:sz w:val="24"/>
          <w:highlight w:val="none"/>
          <w:shd w:val="clear" w:color="auto" w:fill="FFFFFF"/>
          <w:lang w:val="en-US" w:eastAsia="zh-CN"/>
        </w:rPr>
        <w:t>二</w:t>
      </w:r>
      <w:r>
        <w:rPr>
          <w:rStyle w:val="9"/>
          <w:rFonts w:hint="eastAsia" w:ascii="仿宋" w:hAnsi="仿宋" w:eastAsia="仿宋" w:cs="仿宋"/>
          <w:b/>
          <w:sz w:val="24"/>
          <w:highlight w:val="none"/>
          <w:shd w:val="clear" w:color="auto" w:fill="FFFFFF"/>
        </w:rPr>
        <w:t>月</w:t>
      </w:r>
      <w:r>
        <w:rPr>
          <w:rStyle w:val="9"/>
          <w:rFonts w:hint="eastAsia" w:ascii="仿宋" w:hAnsi="仿宋" w:eastAsia="仿宋" w:cs="仿宋"/>
          <w:b/>
          <w:sz w:val="24"/>
          <w:highlight w:val="none"/>
          <w:shd w:val="clear" w:color="auto" w:fill="FFFFFF"/>
          <w:lang w:val="en-US" w:eastAsia="zh-CN"/>
        </w:rPr>
        <w:t>二十六</w:t>
      </w:r>
      <w:r>
        <w:rPr>
          <w:rStyle w:val="9"/>
          <w:rFonts w:hint="eastAsia" w:ascii="仿宋" w:hAnsi="仿宋" w:eastAsia="仿宋" w:cs="仿宋"/>
          <w:b/>
          <w:sz w:val="24"/>
          <w:highlight w:val="none"/>
          <w:shd w:val="clear" w:color="auto" w:fill="FFFFFF"/>
        </w:rPr>
        <w:t>日</w:t>
      </w:r>
    </w:p>
    <w:p w14:paraId="315E2664">
      <w:pPr>
        <w:widowControl/>
        <w:spacing w:line="360" w:lineRule="auto"/>
        <w:jc w:val="center"/>
        <w:rPr>
          <w:rStyle w:val="9"/>
          <w:rFonts w:ascii="宋体" w:hAnsi="宋体" w:cs="宋体"/>
          <w:b/>
          <w:sz w:val="24"/>
          <w:highlight w:val="none"/>
          <w:shd w:val="clear" w:color="auto" w:fill="FFFFFF"/>
        </w:rPr>
      </w:pPr>
    </w:p>
    <w:p w14:paraId="2D832FBA">
      <w:pPr>
        <w:keepNext w:val="0"/>
        <w:keepLines w:val="0"/>
        <w:pageBreakBefore w:val="0"/>
        <w:widowControl/>
        <w:tabs>
          <w:tab w:val="left" w:pos="599"/>
        </w:tabs>
        <w:kinsoku/>
        <w:wordWrap/>
        <w:overflowPunct/>
        <w:topLinePunct w:val="0"/>
        <w:autoSpaceDE/>
        <w:autoSpaceDN/>
        <w:bidi w:val="0"/>
        <w:adjustRightInd/>
        <w:snapToGrid/>
        <w:spacing w:line="500" w:lineRule="exact"/>
        <w:jc w:val="left"/>
        <w:textAlignment w:val="auto"/>
        <w:rPr>
          <w:rStyle w:val="9"/>
          <w:rFonts w:hint="eastAsia" w:ascii="仿宋" w:hAnsi="仿宋" w:eastAsia="仿宋" w:cs="仿宋"/>
          <w:bCs/>
          <w:sz w:val="24"/>
          <w:szCs w:val="24"/>
          <w:highlight w:val="none"/>
          <w:shd w:val="clear" w:color="auto" w:fill="FFFFFF"/>
          <w:lang w:eastAsia="zh-CN"/>
        </w:rPr>
      </w:pPr>
      <w:r>
        <w:rPr>
          <w:rStyle w:val="9"/>
          <w:rFonts w:hint="eastAsia" w:ascii="仿宋" w:hAnsi="仿宋" w:eastAsia="仿宋" w:cs="仿宋"/>
          <w:bCs/>
          <w:sz w:val="24"/>
          <w:szCs w:val="24"/>
          <w:highlight w:val="none"/>
          <w:shd w:val="clear" w:color="auto" w:fill="FFFFFF"/>
        </w:rPr>
        <w:t>附</w:t>
      </w:r>
      <w:r>
        <w:rPr>
          <w:rStyle w:val="9"/>
          <w:rFonts w:hint="eastAsia" w:ascii="仿宋" w:hAnsi="仿宋" w:eastAsia="仿宋" w:cs="仿宋"/>
          <w:bCs/>
          <w:sz w:val="24"/>
          <w:szCs w:val="24"/>
          <w:highlight w:val="none"/>
          <w:shd w:val="clear" w:color="auto" w:fill="FFFFFF"/>
          <w:lang w:eastAsia="zh-CN"/>
        </w:rPr>
        <w:t>：</w:t>
      </w:r>
    </w:p>
    <w:p w14:paraId="51A96F25">
      <w:pPr>
        <w:widowControl/>
        <w:numPr>
          <w:ilvl w:val="0"/>
          <w:numId w:val="2"/>
        </w:numPr>
        <w:tabs>
          <w:tab w:val="left" w:pos="599"/>
        </w:tabs>
        <w:spacing w:line="500" w:lineRule="exact"/>
        <w:ind w:firstLine="480" w:firstLineChars="200"/>
        <w:jc w:val="left"/>
        <w:rPr>
          <w:rStyle w:val="9"/>
          <w:rFonts w:hint="eastAsia" w:ascii="仿宋" w:hAnsi="仿宋" w:eastAsia="仿宋" w:cs="仿宋"/>
          <w:bCs/>
          <w:sz w:val="24"/>
          <w:szCs w:val="24"/>
          <w:highlight w:val="none"/>
          <w:shd w:val="clear" w:color="auto" w:fill="FFFFFF"/>
          <w:lang w:val="en-US" w:eastAsia="zh-CN"/>
        </w:rPr>
      </w:pPr>
      <w:r>
        <w:rPr>
          <w:rFonts w:hint="eastAsia" w:ascii="仿宋" w:hAnsi="仿宋" w:eastAsia="仿宋" w:cs="仿宋"/>
          <w:sz w:val="24"/>
          <w:highlight w:val="none"/>
        </w:rPr>
        <w:t>（2024）粤03破申1134号《民事裁定书》</w:t>
      </w:r>
      <w:r>
        <w:rPr>
          <w:rFonts w:hint="eastAsia" w:ascii="仿宋" w:hAnsi="仿宋" w:eastAsia="仿宋" w:cs="仿宋"/>
          <w:sz w:val="24"/>
          <w:highlight w:val="none"/>
          <w:lang w:eastAsia="zh-CN"/>
        </w:rPr>
        <w:t>、</w:t>
      </w:r>
      <w:r>
        <w:rPr>
          <w:rFonts w:hint="eastAsia" w:ascii="仿宋" w:hAnsi="仿宋" w:eastAsia="仿宋" w:cs="仿宋"/>
          <w:sz w:val="24"/>
          <w:highlight w:val="none"/>
        </w:rPr>
        <w:t>（2025）粤03破92号《决定书》</w:t>
      </w:r>
      <w:r>
        <w:rPr>
          <w:rFonts w:hint="eastAsia" w:ascii="仿宋" w:hAnsi="仿宋" w:eastAsia="仿宋" w:cs="仿宋"/>
          <w:sz w:val="24"/>
          <w:highlight w:val="none"/>
          <w:lang w:eastAsia="zh-CN"/>
        </w:rPr>
        <w:t>、</w:t>
      </w:r>
      <w:r>
        <w:rPr>
          <w:rFonts w:hint="eastAsia" w:ascii="仿宋" w:hAnsi="仿宋" w:eastAsia="仿宋" w:cs="仿宋"/>
          <w:sz w:val="24"/>
          <w:highlight w:val="none"/>
        </w:rPr>
        <w:t>（2025）粤03破92号</w:t>
      </w:r>
      <w:r>
        <w:rPr>
          <w:rStyle w:val="9"/>
          <w:rFonts w:hint="eastAsia" w:ascii="仿宋" w:hAnsi="仿宋" w:eastAsia="仿宋" w:cs="仿宋"/>
          <w:bCs/>
          <w:sz w:val="24"/>
          <w:szCs w:val="24"/>
          <w:highlight w:val="none"/>
          <w:shd w:val="clear" w:color="auto" w:fill="FFFFFF"/>
          <w:lang w:val="en-US" w:eastAsia="zh-CN"/>
        </w:rPr>
        <w:t>《公告》复印件。</w:t>
      </w:r>
    </w:p>
    <w:p w14:paraId="3AC4FEEE">
      <w:pPr>
        <w:widowControl/>
        <w:numPr>
          <w:ilvl w:val="0"/>
          <w:numId w:val="0"/>
        </w:numPr>
        <w:tabs>
          <w:tab w:val="left" w:pos="599"/>
        </w:tabs>
        <w:spacing w:line="500" w:lineRule="exact"/>
        <w:ind w:firstLine="480" w:firstLineChars="200"/>
        <w:jc w:val="left"/>
        <w:rPr>
          <w:rStyle w:val="9"/>
          <w:rFonts w:hint="eastAsia" w:ascii="仿宋" w:hAnsi="仿宋" w:eastAsia="仿宋" w:cs="仿宋"/>
          <w:bCs/>
          <w:sz w:val="24"/>
          <w:szCs w:val="24"/>
          <w:highlight w:val="none"/>
          <w:shd w:val="clear" w:color="auto" w:fill="FFFFFF"/>
          <w:lang w:val="en-US" w:eastAsia="zh-CN"/>
        </w:rPr>
      </w:pPr>
      <w:r>
        <w:rPr>
          <w:rFonts w:hint="eastAsia" w:ascii="仿宋" w:hAnsi="仿宋" w:eastAsia="仿宋" w:cs="仿宋"/>
          <w:bCs/>
          <w:kern w:val="2"/>
          <w:sz w:val="24"/>
          <w:szCs w:val="24"/>
          <w:highlight w:val="none"/>
          <w:shd w:val="clear" w:color="auto" w:fill="FFFFFF"/>
          <w:lang w:val="en-US" w:eastAsia="zh-CN" w:bidi="ar-SA"/>
        </w:rPr>
        <w:t>2.债权申报材料清单：（1）</w:t>
      </w:r>
      <w:r>
        <w:rPr>
          <w:rStyle w:val="9"/>
          <w:rFonts w:hint="eastAsia" w:ascii="仿宋" w:hAnsi="仿宋" w:eastAsia="仿宋" w:cs="仿宋"/>
          <w:bCs/>
          <w:sz w:val="24"/>
          <w:szCs w:val="24"/>
          <w:highlight w:val="none"/>
          <w:shd w:val="clear" w:color="auto" w:fill="FFFFFF"/>
        </w:rPr>
        <w:t>债权人提交材料清单；</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2</w:t>
      </w:r>
      <w:r>
        <w:rPr>
          <w:rStyle w:val="9"/>
          <w:rFonts w:hint="eastAsia" w:ascii="仿宋" w:hAnsi="仿宋" w:eastAsia="仿宋" w:cs="仿宋"/>
          <w:bCs/>
          <w:sz w:val="24"/>
          <w:szCs w:val="24"/>
          <w:highlight w:val="none"/>
          <w:shd w:val="clear" w:color="auto" w:fill="FFFFFF"/>
          <w:lang w:eastAsia="zh-CN"/>
        </w:rPr>
        <w:t>）</w:t>
      </w:r>
      <w:r>
        <w:rPr>
          <w:rFonts w:hint="eastAsia" w:ascii="仿宋" w:hAnsi="仿宋" w:eastAsia="仿宋" w:cs="仿宋"/>
          <w:sz w:val="24"/>
          <w:szCs w:val="24"/>
          <w:highlight w:val="none"/>
          <w:lang w:eastAsia="zh-CN"/>
        </w:rPr>
        <w:t>深圳市科锐普透科技有限公司</w:t>
      </w:r>
      <w:r>
        <w:rPr>
          <w:rStyle w:val="9"/>
          <w:rFonts w:hint="eastAsia" w:ascii="仿宋" w:hAnsi="仿宋" w:eastAsia="仿宋" w:cs="仿宋"/>
          <w:bCs/>
          <w:sz w:val="24"/>
          <w:szCs w:val="24"/>
          <w:highlight w:val="none"/>
          <w:shd w:val="clear" w:color="auto" w:fill="FFFFFF"/>
        </w:rPr>
        <w:t>债权申报登记表；</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3</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rPr>
        <w:t>债权申报</w:t>
      </w:r>
      <w:r>
        <w:rPr>
          <w:rStyle w:val="9"/>
          <w:rFonts w:hint="eastAsia" w:ascii="仿宋" w:hAnsi="仿宋" w:eastAsia="仿宋" w:cs="仿宋"/>
          <w:bCs/>
          <w:sz w:val="24"/>
          <w:szCs w:val="24"/>
          <w:highlight w:val="none"/>
          <w:shd w:val="clear" w:color="auto" w:fill="FFFFFF"/>
          <w:lang w:val="en-US" w:eastAsia="zh-CN"/>
        </w:rPr>
        <w:t>说明及计算依据</w:t>
      </w:r>
      <w:r>
        <w:rPr>
          <w:rStyle w:val="9"/>
          <w:rFonts w:hint="eastAsia" w:ascii="仿宋" w:hAnsi="仿宋" w:eastAsia="仿宋" w:cs="仿宋"/>
          <w:bCs/>
          <w:sz w:val="24"/>
          <w:szCs w:val="24"/>
          <w:highlight w:val="none"/>
          <w:shd w:val="clear" w:color="auto" w:fill="FFFFFF"/>
        </w:rPr>
        <w:t>；</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4</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rPr>
        <w:t>债权人法律文书送达地址确认书；</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5</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银行账户确认书；（6）</w:t>
      </w:r>
      <w:r>
        <w:rPr>
          <w:rStyle w:val="9"/>
          <w:rFonts w:hint="eastAsia" w:ascii="仿宋" w:hAnsi="仿宋" w:eastAsia="仿宋" w:cs="仿宋"/>
          <w:bCs/>
          <w:sz w:val="24"/>
          <w:szCs w:val="24"/>
          <w:highlight w:val="none"/>
          <w:shd w:val="clear" w:color="auto" w:fill="FFFFFF"/>
        </w:rPr>
        <w:t>法定代表人（负责人）身份证明书</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lang w:val="en-US" w:eastAsia="zh-CN"/>
        </w:rPr>
        <w:t>7</w:t>
      </w:r>
      <w:r>
        <w:rPr>
          <w:rStyle w:val="9"/>
          <w:rFonts w:hint="eastAsia" w:ascii="仿宋" w:hAnsi="仿宋" w:eastAsia="仿宋" w:cs="仿宋"/>
          <w:bCs/>
          <w:sz w:val="24"/>
          <w:szCs w:val="24"/>
          <w:highlight w:val="none"/>
          <w:shd w:val="clear" w:color="auto" w:fill="FFFFFF"/>
          <w:lang w:eastAsia="zh-CN"/>
        </w:rPr>
        <w:t>）</w:t>
      </w:r>
      <w:r>
        <w:rPr>
          <w:rStyle w:val="9"/>
          <w:rFonts w:hint="eastAsia" w:ascii="仿宋" w:hAnsi="仿宋" w:eastAsia="仿宋" w:cs="仿宋"/>
          <w:bCs/>
          <w:sz w:val="24"/>
          <w:szCs w:val="24"/>
          <w:highlight w:val="none"/>
          <w:shd w:val="clear" w:color="auto" w:fill="FFFFFF"/>
        </w:rPr>
        <w:t>授权委托书（参考版本）。</w:t>
      </w:r>
      <w:r>
        <w:rPr>
          <w:rStyle w:val="9"/>
          <w:rFonts w:hint="eastAsia" w:ascii="仿宋" w:hAnsi="仿宋" w:eastAsia="仿宋" w:cs="仿宋"/>
          <w:b/>
          <w:bCs w:val="0"/>
          <w:sz w:val="24"/>
          <w:szCs w:val="24"/>
          <w:highlight w:val="none"/>
          <w:u w:val="single"/>
          <w:shd w:val="clear" w:color="auto" w:fill="FFFFFF"/>
          <w:lang w:val="en-US" w:eastAsia="zh-CN"/>
        </w:rPr>
        <w:t>扫描以下二维码或登录“全国企业破产重整案件信息网”可下载。</w:t>
      </w:r>
      <w:bookmarkStart w:id="0" w:name="_GoBack"/>
      <w:bookmarkEnd w:id="0"/>
    </w:p>
    <w:p w14:paraId="4C790D2B">
      <w:pPr>
        <w:widowControl/>
        <w:numPr>
          <w:numId w:val="0"/>
        </w:numPr>
        <w:tabs>
          <w:tab w:val="left" w:pos="599"/>
        </w:tabs>
        <w:spacing w:line="500" w:lineRule="exact"/>
        <w:jc w:val="left"/>
        <w:rPr>
          <w:rStyle w:val="9"/>
          <w:rFonts w:hint="eastAsia" w:ascii="仿宋" w:hAnsi="仿宋" w:eastAsia="仿宋" w:cs="仿宋"/>
          <w:b/>
          <w:bCs w:val="0"/>
          <w:sz w:val="24"/>
          <w:szCs w:val="24"/>
          <w:highlight w:val="none"/>
          <w:u w:val="single"/>
          <w:shd w:val="clear" w:color="auto" w:fill="FFFFFF"/>
          <w:lang w:val="en-US" w:eastAsia="zh-CN"/>
        </w:rPr>
      </w:pPr>
      <w:r>
        <w:rPr>
          <w:rFonts w:ascii="宋体" w:hAnsi="宋体" w:eastAsia="宋体" w:cs="宋体"/>
          <w:sz w:val="24"/>
          <w:szCs w:val="24"/>
        </w:rPr>
        <w:drawing>
          <wp:inline distT="0" distB="0" distL="114300" distR="114300">
            <wp:extent cx="4762500" cy="4762500"/>
            <wp:effectExtent l="0" t="0" r="0" b="0"/>
            <wp:docPr id="2" name="图片 2" descr="【深圳市科锐普透科技有限公司】债权申报材料清单模板20250226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深圳市科锐普透科技有限公司】债权申报材料清单模板20250226的副本"/>
                    <pic:cNvPicPr>
                      <a:picLocks noChangeAspect="1"/>
                    </pic:cNvPicPr>
                  </pic:nvPicPr>
                  <pic:blipFill>
                    <a:blip r:embed="rId5"/>
                    <a:stretch>
                      <a:fillRect/>
                    </a:stretch>
                  </pic:blipFill>
                  <pic:spPr>
                    <a:xfrm>
                      <a:off x="0" y="0"/>
                      <a:ext cx="4762500" cy="4762500"/>
                    </a:xfrm>
                    <a:prstGeom prst="rect">
                      <a:avLst/>
                    </a:prstGeom>
                  </pic:spPr>
                </pic:pic>
              </a:graphicData>
            </a:graphic>
          </wp:inline>
        </w:drawing>
      </w:r>
      <w:r>
        <w:rPr>
          <w:rFonts w:ascii="宋体" w:hAnsi="宋体" w:eastAsia="宋体" w:cs="宋体"/>
          <w:sz w:val="24"/>
          <w:szCs w:val="24"/>
        </w:rPr>
        <w:drawing>
          <wp:anchor distT="0" distB="0" distL="114300" distR="114300" simplePos="0" relativeHeight="251659264" behindDoc="0" locked="0" layoutInCell="1" allowOverlap="1">
            <wp:simplePos x="0" y="0"/>
            <wp:positionH relativeFrom="column">
              <wp:posOffset>927100</wp:posOffset>
            </wp:positionH>
            <wp:positionV relativeFrom="paragraph">
              <wp:posOffset>327660</wp:posOffset>
            </wp:positionV>
            <wp:extent cx="3083560" cy="3083560"/>
            <wp:effectExtent l="0" t="0" r="2540" b="2540"/>
            <wp:wrapTopAndBottom/>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6"/>
                    <a:stretch>
                      <a:fillRect/>
                    </a:stretch>
                  </pic:blipFill>
                  <pic:spPr>
                    <a:xfrm>
                      <a:off x="0" y="0"/>
                      <a:ext cx="3083560" cy="3083560"/>
                    </a:xfrm>
                    <a:prstGeom prst="rect">
                      <a:avLst/>
                    </a:prstGeom>
                    <a:noFill/>
                    <a:ln w="9525">
                      <a:noFill/>
                    </a:ln>
                  </pic:spPr>
                </pic:pic>
              </a:graphicData>
            </a:graphic>
          </wp:anchor>
        </w:drawing>
      </w:r>
    </w:p>
    <w:p w14:paraId="5121D61F">
      <w:pPr>
        <w:pStyle w:val="2"/>
        <w:jc w:val="center"/>
        <w:rPr>
          <w:rFonts w:hint="eastAsia" w:ascii="宋体" w:hAnsi="宋体" w:cs="宋体" w:eastAsiaTheme="minorEastAsia"/>
          <w:b/>
          <w:bCs/>
          <w:kern w:val="0"/>
          <w:sz w:val="40"/>
          <w:szCs w:val="40"/>
          <w:highlight w:val="none"/>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4C47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640A06">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2640A06">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FAC56"/>
    <w:multiLevelType w:val="singleLevel"/>
    <w:tmpl w:val="FB7FAC56"/>
    <w:lvl w:ilvl="0" w:tentative="0">
      <w:start w:val="1"/>
      <w:numFmt w:val="decimal"/>
      <w:suff w:val="space"/>
      <w:lvlText w:val="%1."/>
      <w:lvlJc w:val="left"/>
    </w:lvl>
  </w:abstractNum>
  <w:abstractNum w:abstractNumId="1">
    <w:nsid w:val="0053208E"/>
    <w:multiLevelType w:val="singleLevel"/>
    <w:tmpl w:val="0053208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zNjllNzNhZGU1OWI1MmJkZDcyYzUxN2JmZmM0NzkifQ=="/>
  </w:docVars>
  <w:rsids>
    <w:rsidRoot w:val="00000000"/>
    <w:rsid w:val="04FA2E01"/>
    <w:rsid w:val="11B079A3"/>
    <w:rsid w:val="1C1B7EE1"/>
    <w:rsid w:val="1DCF03F4"/>
    <w:rsid w:val="5B9643D4"/>
    <w:rsid w:val="69AB431C"/>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unhideWhenUsed/>
    <w:qFormat/>
    <w:uiPriority w:val="99"/>
    <w:rPr>
      <w:rFonts w:hAnsi="Courier New" w:cs="Courier New" w:asciiTheme="minorEastAsia" w:eastAsiaTheme="minorEastAsia"/>
    </w:rPr>
  </w:style>
  <w:style w:type="paragraph" w:styleId="3">
    <w:name w:val="footer"/>
    <w:basedOn w:val="1"/>
    <w:link w:val="11"/>
    <w:autoRedefine/>
    <w:qFormat/>
    <w:uiPriority w:val="0"/>
    <w:pPr>
      <w:tabs>
        <w:tab w:val="center" w:pos="4153"/>
        <w:tab w:val="right" w:pos="8306"/>
      </w:tabs>
      <w:snapToGrid w:val="0"/>
      <w:jc w:val="left"/>
    </w:pPr>
    <w:rPr>
      <w:sz w:val="18"/>
      <w:szCs w:val="18"/>
    </w:rPr>
  </w:style>
  <w:style w:type="paragraph" w:styleId="4">
    <w:name w:val="header"/>
    <w:basedOn w:val="1"/>
    <w:link w:val="10"/>
    <w:autoRedefine/>
    <w:qFormat/>
    <w:uiPriority w:val="0"/>
    <w:pP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apple-style-span"/>
    <w:basedOn w:val="8"/>
    <w:autoRedefine/>
    <w:qFormat/>
    <w:uiPriority w:val="0"/>
  </w:style>
  <w:style w:type="character" w:customStyle="1" w:styleId="10">
    <w:name w:val="页眉 字符"/>
    <w:basedOn w:val="8"/>
    <w:link w:val="4"/>
    <w:autoRedefine/>
    <w:qFormat/>
    <w:uiPriority w:val="0"/>
    <w:rPr>
      <w:rFonts w:eastAsia="宋体"/>
      <w:kern w:val="2"/>
      <w:sz w:val="18"/>
      <w:szCs w:val="18"/>
    </w:rPr>
  </w:style>
  <w:style w:type="character" w:customStyle="1" w:styleId="11">
    <w:name w:val="页脚 字符"/>
    <w:basedOn w:val="8"/>
    <w:link w:val="3"/>
    <w:autoRedefine/>
    <w:qFormat/>
    <w:uiPriority w:val="0"/>
    <w:rPr>
      <w:rFonts w:eastAsia="宋体"/>
      <w:kern w:val="2"/>
      <w:sz w:val="18"/>
      <w:szCs w:val="18"/>
    </w:rPr>
  </w:style>
  <w:style w:type="paragraph" w:customStyle="1" w:styleId="12">
    <w:name w:val="列表段落1"/>
    <w:basedOn w:val="1"/>
    <w:autoRedefine/>
    <w:qFormat/>
    <w:uiPriority w:val="0"/>
    <w:pPr>
      <w:ind w:firstLine="420" w:firstLineChars="200"/>
    </w:pPr>
  </w:style>
  <w:style w:type="paragraph" w:customStyle="1" w:styleId="13">
    <w:name w:val="彩色列表 - 强调文字颜色 11"/>
    <w:basedOn w:val="1"/>
    <w:autoRedefine/>
    <w:qFormat/>
    <w:uiPriority w:val="34"/>
    <w:pPr>
      <w:ind w:firstLine="420" w:firstLineChars="2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3031</Words>
  <Characters>3202</Characters>
  <Lines>40</Lines>
  <Paragraphs>11</Paragraphs>
  <TotalTime>5</TotalTime>
  <ScaleCrop>false</ScaleCrop>
  <LinksUpToDate>false</LinksUpToDate>
  <CharactersWithSpaces>3297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2024-03-18T03:34:00Z</dcterms:created>
  <dc:creator>Chloe</dc:creator>
  <cp:lastModifiedBy>alkaid</cp:lastModifiedBy>
  <cp:lastPrinted>2023-09-15T07:49:00Z</cp:lastPrinted>
  <dcterms:modified xsi:type="dcterms:W3CDTF">2025-02-26T08:02:49Z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4A92970DE728463186D1C7BC4A0D29D2_13</vt:lpwstr>
  </property>
  <property fmtid="{D5CDD505-2E9C-101B-9397-08002B2CF9AE}" pid="4" name="KSOTemplateDocerSaveRecord">
    <vt:lpwstr>eyJoZGlkIjoiOWIzNjllNzNhZGU1OWI1MmJkZDcyYzUxN2JmZmM0NzkiLCJ1c2VySWQiOiI2NzA5NDA1ODMifQ==</vt:lpwstr>
  </property>
</Properties>
</file>