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56ABEBF">
      <w:pPr>
        <w:pStyle w:val="2"/>
        <w:keepNext/>
        <w:keepLines/>
        <w:pageBreakBefore w:val="0"/>
        <w:widowControl w:val="0"/>
        <w:kinsoku/>
        <w:wordWrap/>
        <w:overflowPunct/>
        <w:topLinePunct w:val="0"/>
        <w:autoSpaceDE/>
        <w:autoSpaceDN/>
        <w:bidi w:val="0"/>
        <w:adjustRightInd/>
        <w:snapToGrid/>
        <w:spacing w:before="0" w:after="0" w:line="560" w:lineRule="exact"/>
        <w:jc w:val="center"/>
        <w:textAlignment w:val="auto"/>
        <w:rPr>
          <w:rFonts w:hint="eastAsia"/>
          <w:sz w:val="28"/>
          <w:szCs w:val="28"/>
          <w:lang w:val="en-US" w:eastAsia="zh-CN"/>
        </w:rPr>
      </w:pPr>
      <w:r>
        <w:rPr>
          <w:rFonts w:hint="eastAsia"/>
          <w:sz w:val="28"/>
          <w:szCs w:val="28"/>
          <w:lang w:val="en-US" w:eastAsia="zh-CN"/>
        </w:rPr>
        <w:t>湖南株洲钢铁有限公司破产清算案</w:t>
      </w:r>
    </w:p>
    <w:p w14:paraId="5109CA8F">
      <w:pPr>
        <w:pStyle w:val="2"/>
        <w:keepNext/>
        <w:keepLines/>
        <w:pageBreakBefore w:val="0"/>
        <w:widowControl w:val="0"/>
        <w:kinsoku/>
        <w:wordWrap/>
        <w:overflowPunct/>
        <w:topLinePunct w:val="0"/>
        <w:autoSpaceDE/>
        <w:autoSpaceDN/>
        <w:bidi w:val="0"/>
        <w:adjustRightInd/>
        <w:snapToGrid/>
        <w:spacing w:before="0" w:after="0" w:line="560" w:lineRule="exact"/>
        <w:jc w:val="center"/>
        <w:textAlignment w:val="auto"/>
        <w:rPr>
          <w:rFonts w:hint="eastAsia"/>
          <w:sz w:val="28"/>
          <w:szCs w:val="28"/>
          <w:lang w:val="en-US" w:eastAsia="zh-CN"/>
        </w:rPr>
      </w:pPr>
      <w:bookmarkStart w:id="0" w:name="_GoBack"/>
      <w:r>
        <w:rPr>
          <w:rFonts w:hint="eastAsia"/>
          <w:sz w:val="28"/>
          <w:szCs w:val="28"/>
          <w:lang w:val="en-US" w:eastAsia="zh-CN"/>
        </w:rPr>
        <w:t>审计机构遴选评分表</w:t>
      </w:r>
    </w:p>
    <w:bookmarkEnd w:id="0"/>
    <w:tbl>
      <w:tblPr>
        <w:tblStyle w:val="4"/>
        <w:tblpPr w:leftFromText="180" w:rightFromText="180" w:vertAnchor="text" w:horzAnchor="page" w:tblpX="1990" w:tblpY="102"/>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8"/>
        <w:gridCol w:w="1373"/>
        <w:gridCol w:w="4732"/>
        <w:gridCol w:w="1264"/>
      </w:tblGrid>
      <w:tr w14:paraId="4BABF5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8" w:type="dxa"/>
            <w:vAlign w:val="center"/>
          </w:tcPr>
          <w:p w14:paraId="74E4AF07">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序号</w:t>
            </w:r>
          </w:p>
        </w:tc>
        <w:tc>
          <w:tcPr>
            <w:tcW w:w="1373" w:type="dxa"/>
            <w:vAlign w:val="center"/>
          </w:tcPr>
          <w:p w14:paraId="146C6535">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项目</w:t>
            </w:r>
          </w:p>
        </w:tc>
        <w:tc>
          <w:tcPr>
            <w:tcW w:w="4732" w:type="dxa"/>
            <w:vAlign w:val="center"/>
          </w:tcPr>
          <w:p w14:paraId="79CB070D">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评分内容</w:t>
            </w:r>
          </w:p>
        </w:tc>
        <w:tc>
          <w:tcPr>
            <w:tcW w:w="1264" w:type="dxa"/>
            <w:vAlign w:val="center"/>
          </w:tcPr>
          <w:p w14:paraId="726F2F0E">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分值</w:t>
            </w:r>
          </w:p>
        </w:tc>
      </w:tr>
      <w:tr w14:paraId="797D51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8" w:type="dxa"/>
            <w:vAlign w:val="center"/>
          </w:tcPr>
          <w:p w14:paraId="6B9A5389">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w:t>
            </w:r>
          </w:p>
        </w:tc>
        <w:tc>
          <w:tcPr>
            <w:tcW w:w="1373" w:type="dxa"/>
            <w:vAlign w:val="center"/>
          </w:tcPr>
          <w:p w14:paraId="38C997A2">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资质机构及规模</w:t>
            </w:r>
          </w:p>
        </w:tc>
        <w:tc>
          <w:tcPr>
            <w:tcW w:w="4732" w:type="dxa"/>
            <w:vAlign w:val="center"/>
          </w:tcPr>
          <w:p w14:paraId="76F35632">
            <w:pPr>
              <w:jc w:val="both"/>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中介机构的注册会计师达4人(8分)，每增加2人加1分，最多加2分;(评分依据以执业证书、年检情况和社保缴纳证明为准)</w:t>
            </w:r>
          </w:p>
        </w:tc>
        <w:tc>
          <w:tcPr>
            <w:tcW w:w="1264" w:type="dxa"/>
            <w:vAlign w:val="center"/>
          </w:tcPr>
          <w:p w14:paraId="75A9B43F">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10分</w:t>
            </w:r>
          </w:p>
        </w:tc>
      </w:tr>
      <w:tr w14:paraId="1F53A4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8" w:type="dxa"/>
            <w:vAlign w:val="center"/>
          </w:tcPr>
          <w:p w14:paraId="17EC355E">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w:t>
            </w:r>
          </w:p>
        </w:tc>
        <w:tc>
          <w:tcPr>
            <w:tcW w:w="1373" w:type="dxa"/>
            <w:vAlign w:val="center"/>
          </w:tcPr>
          <w:p w14:paraId="60D6462B">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机构业绩及经验</w:t>
            </w:r>
          </w:p>
        </w:tc>
        <w:tc>
          <w:tcPr>
            <w:tcW w:w="4732" w:type="dxa"/>
            <w:vAlign w:val="center"/>
          </w:tcPr>
          <w:p w14:paraId="6B42F53D">
            <w:pPr>
              <w:jc w:val="both"/>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①近3年担任过3件以上且企业资产规模1亿元以上的企业破产案件(关联企业合并破产案件计1件)的审计工作(2分)，超过5件加2分;</w:t>
            </w:r>
          </w:p>
          <w:p w14:paraId="1AE1891B">
            <w:pPr>
              <w:jc w:val="both"/>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②中介机构的过往业绩、经验能力等，包括但不限于破产重整、破产清算、并购重组、公司清算业务项目，可从项目的企业资产规模、办理周期、亮点、经典案例等方面评分(6分)。(评分依据以报名资料中提供的有依据证明的业绩并结合现场阐述为准)</w:t>
            </w:r>
          </w:p>
        </w:tc>
        <w:tc>
          <w:tcPr>
            <w:tcW w:w="1264" w:type="dxa"/>
            <w:vAlign w:val="center"/>
          </w:tcPr>
          <w:p w14:paraId="43503FF2">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10分</w:t>
            </w:r>
          </w:p>
        </w:tc>
      </w:tr>
      <w:tr w14:paraId="193F84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8" w:type="dxa"/>
            <w:vAlign w:val="center"/>
          </w:tcPr>
          <w:p w14:paraId="6BB5A274">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w:t>
            </w:r>
          </w:p>
        </w:tc>
        <w:tc>
          <w:tcPr>
            <w:tcW w:w="1373" w:type="dxa"/>
            <w:vAlign w:val="center"/>
          </w:tcPr>
          <w:p w14:paraId="2DB8737E">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团队配置及成员</w:t>
            </w:r>
          </w:p>
        </w:tc>
        <w:tc>
          <w:tcPr>
            <w:tcW w:w="4732" w:type="dxa"/>
            <w:vAlign w:val="center"/>
          </w:tcPr>
          <w:p w14:paraId="292A52BD">
            <w:pPr>
              <w:jc w:val="both"/>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①拟派驻团队成员6人及以上(2分);</w:t>
            </w:r>
          </w:p>
          <w:p w14:paraId="29D55F4F">
            <w:pPr>
              <w:jc w:val="both"/>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②拟派项目负责人执业10年以上(1分);③项目负责人近3年办理过重整业务的(2分);④团队成员中注册会计师满3人(2分)，超过3人加1分;(评分依据以团队成员执业证书、年检情况和社保缴纳证明为准)。</w:t>
            </w:r>
          </w:p>
          <w:p w14:paraId="08A22222">
            <w:pPr>
              <w:jc w:val="both"/>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⑤从团队人员结构优化及团队协作能力等方面评分（2分）</w:t>
            </w:r>
          </w:p>
        </w:tc>
        <w:tc>
          <w:tcPr>
            <w:tcW w:w="1264" w:type="dxa"/>
            <w:vAlign w:val="center"/>
          </w:tcPr>
          <w:p w14:paraId="5C9268B8">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10分</w:t>
            </w:r>
          </w:p>
        </w:tc>
      </w:tr>
      <w:tr w14:paraId="3706DE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8" w:type="dxa"/>
            <w:vAlign w:val="center"/>
          </w:tcPr>
          <w:p w14:paraId="3119C5A8">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w:t>
            </w:r>
          </w:p>
        </w:tc>
        <w:tc>
          <w:tcPr>
            <w:tcW w:w="1373" w:type="dxa"/>
            <w:vAlign w:val="center"/>
          </w:tcPr>
          <w:p w14:paraId="46F14BB9">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工作方案及计划</w:t>
            </w:r>
          </w:p>
        </w:tc>
        <w:tc>
          <w:tcPr>
            <w:tcW w:w="4732" w:type="dxa"/>
            <w:vAlign w:val="center"/>
          </w:tcPr>
          <w:p w14:paraId="71897DC4">
            <w:pPr>
              <w:jc w:val="both"/>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①有针对本项目的书面的具体工作计划和方案(5分);</w:t>
            </w:r>
          </w:p>
          <w:p w14:paraId="285CF9A0">
            <w:pPr>
              <w:jc w:val="both"/>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②工作方案主要从审计依据、审计目标、审计内容、内部管理制度、质量保障措施、项目难点及应对方法等方面评分(10分);</w:t>
            </w:r>
          </w:p>
          <w:p w14:paraId="7B63CFF1">
            <w:pPr>
              <w:jc w:val="both"/>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③工作计划主要从工作时间安排的合理性、进度节点的清晰度、人员安排与分工、有无沟通与反馈机制等方面评分(10分);</w:t>
            </w:r>
          </w:p>
          <w:p w14:paraId="5E6C34AC">
            <w:pPr>
              <w:jc w:val="both"/>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④在30天基础上每提前5天完成审计工作，加5分,最多加10分(需作出书面承诺)</w:t>
            </w:r>
          </w:p>
        </w:tc>
        <w:tc>
          <w:tcPr>
            <w:tcW w:w="1264" w:type="dxa"/>
            <w:vAlign w:val="center"/>
          </w:tcPr>
          <w:p w14:paraId="28FFFA16">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25分</w:t>
            </w:r>
          </w:p>
        </w:tc>
      </w:tr>
      <w:tr w14:paraId="05591A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8" w:type="dxa"/>
            <w:vAlign w:val="center"/>
          </w:tcPr>
          <w:p w14:paraId="3EEC1D97">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5</w:t>
            </w:r>
          </w:p>
        </w:tc>
        <w:tc>
          <w:tcPr>
            <w:tcW w:w="1373" w:type="dxa"/>
            <w:vAlign w:val="center"/>
          </w:tcPr>
          <w:p w14:paraId="37B7A2B9">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服务报价</w:t>
            </w:r>
          </w:p>
        </w:tc>
        <w:tc>
          <w:tcPr>
            <w:tcW w:w="4732" w:type="dxa"/>
            <w:vAlign w:val="center"/>
          </w:tcPr>
          <w:p w14:paraId="2179D7C7">
            <w:pPr>
              <w:jc w:val="both"/>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①明确同意以</w:t>
            </w:r>
            <w:r>
              <w:rPr>
                <w:rFonts w:hint="eastAsia" w:ascii="仿宋" w:hAnsi="仿宋" w:eastAsia="仿宋" w:cs="仿宋"/>
                <w:i w:val="0"/>
                <w:iCs w:val="0"/>
                <w:caps w:val="0"/>
                <w:color w:val="000000"/>
                <w:spacing w:val="0"/>
                <w:sz w:val="21"/>
                <w:szCs w:val="21"/>
                <w:shd w:val="clear" w:fill="FFFFFF"/>
              </w:rPr>
              <w:t>《关于重新规范我省司法鉴定收费有关问题的通知》（湘发改价费规〔2021〕798号）</w:t>
            </w:r>
            <w:r>
              <w:rPr>
                <w:rFonts w:hint="eastAsia" w:ascii="仿宋" w:hAnsi="仿宋" w:eastAsia="仿宋" w:cs="仿宋"/>
                <w:sz w:val="21"/>
                <w:szCs w:val="21"/>
                <w:vertAlign w:val="baseline"/>
                <w:lang w:val="en-US" w:eastAsia="zh-CN"/>
              </w:rPr>
              <w:t>为收费标准，并注明收取方式及折扣方案(5分):</w:t>
            </w:r>
          </w:p>
          <w:p w14:paraId="7B45C631">
            <w:pPr>
              <w:jc w:val="both"/>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②以本次所有报名机构有效报价的最低折扣为基准价,按(基准报价/报价折扣)x40分进行评分(40分)</w:t>
            </w:r>
          </w:p>
        </w:tc>
        <w:tc>
          <w:tcPr>
            <w:tcW w:w="1264" w:type="dxa"/>
            <w:vAlign w:val="center"/>
          </w:tcPr>
          <w:p w14:paraId="51CF15A9">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45分</w:t>
            </w:r>
          </w:p>
        </w:tc>
      </w:tr>
    </w:tbl>
    <w:p w14:paraId="4755FC6E">
      <w:pPr>
        <w:rPr>
          <w:rFonts w:hint="default"/>
          <w:lang w:val="en-US" w:eastAsia="zh-CN"/>
        </w:rPr>
      </w:pPr>
    </w:p>
    <w:p w14:paraId="6A0ED82D"/>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libri Light">
    <w:altName w:val="Calibri"/>
    <w:panose1 w:val="020F0302020204030204"/>
    <w:charset w:val="00"/>
    <w:family w:val="auto"/>
    <w:pitch w:val="default"/>
    <w:sig w:usb0="00000000" w:usb1="00000000"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E9356A6"/>
    <w:rsid w:val="7E9356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5">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2025-02-21T12:30:00Z</dcterms:created>
  <dc:creator>弘一律师刘育峰18673357706</dc:creator>
  <cp:lastModifiedBy>弘一律师刘育峰18673357706</cp:lastModifiedBy>
  <dcterms:modified xsi:type="dcterms:W3CDTF">2025-02-21T12:31:15Z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4A0DF63416EC442FBAC3E0F9647B7278_11</vt:lpwstr>
  </property>
  <property fmtid="{D5CDD505-2E9C-101B-9397-08002B2CF9AE}" pid="4" name="KSOTemplateDocerSaveRecord">
    <vt:lpwstr>eyJoZGlkIjoiYzg1M2VhODhjNmRhMWJjYTgwM2QzYzg4MzYxMWFjM2QiLCJ1c2VySWQiOiI3MDcyMTU0MjYifQ==</vt:lpwstr>
  </property>
</Properties>
</file>