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96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480" w:right="480" w:firstLine="0"/>
        <w:jc w:val="center"/>
        <w:rPr>
          <w:rFonts w:hint="eastAsia" w:ascii="宋体" w:hAnsi="宋体" w:eastAsia="宋体" w:cs="宋体"/>
          <w:i w:val="0"/>
          <w:iCs w:val="0"/>
          <w:caps w:val="0"/>
          <w:color w:val="auto"/>
          <w:spacing w:val="0"/>
          <w:kern w:val="0"/>
          <w:sz w:val="44"/>
          <w:szCs w:val="44"/>
          <w:lang w:val="en-US" w:eastAsia="zh-CN" w:bidi="ar"/>
        </w:rPr>
      </w:pPr>
      <w:r>
        <w:rPr>
          <w:rFonts w:hint="eastAsia" w:ascii="宋体" w:hAnsi="宋体" w:eastAsia="宋体" w:cs="宋体"/>
          <w:b/>
          <w:bCs/>
          <w:i w:val="0"/>
          <w:iCs w:val="0"/>
          <w:caps w:val="0"/>
          <w:color w:val="auto"/>
          <w:spacing w:val="0"/>
          <w:kern w:val="0"/>
          <w:sz w:val="44"/>
          <w:szCs w:val="44"/>
          <w:shd w:val="clear" w:fill="FFFFFF"/>
          <w:lang w:val="en-US" w:eastAsia="zh-CN" w:bidi="ar"/>
        </w:rPr>
        <w:t>竞买公告</w:t>
      </w:r>
      <w:r>
        <w:rPr>
          <w:rFonts w:hint="eastAsia" w:ascii="宋体" w:hAnsi="宋体" w:eastAsia="宋体" w:cs="宋体"/>
          <w:i w:val="0"/>
          <w:iCs w:val="0"/>
          <w:caps w:val="0"/>
          <w:color w:val="auto"/>
          <w:spacing w:val="0"/>
          <w:kern w:val="0"/>
          <w:sz w:val="44"/>
          <w:szCs w:val="44"/>
          <w:lang w:val="en-US" w:eastAsia="zh-CN" w:bidi="ar"/>
        </w:rPr>
        <w:t> </w:t>
      </w:r>
    </w:p>
    <w:p w14:paraId="66852AE5">
      <w:pPr>
        <w:keepNext w:val="0"/>
        <w:keepLines w:val="0"/>
        <w:widowControl/>
        <w:suppressLineNumbers w:val="0"/>
        <w:pBdr>
          <w:top w:val="none" w:color="auto" w:sz="0" w:space="0"/>
          <w:bottom w:val="none" w:color="auto" w:sz="0" w:space="0"/>
        </w:pBdr>
        <w:spacing w:before="0" w:beforeAutospacing="0" w:after="240" w:afterAutospacing="0"/>
        <w:ind w:left="480" w:right="480" w:firstLine="0"/>
        <w:jc w:val="center"/>
        <w:rPr>
          <w:rFonts w:hint="eastAsia" w:ascii="宋体" w:hAnsi="宋体" w:eastAsia="宋体" w:cs="宋体"/>
          <w:b/>
          <w:bCs/>
          <w:i w:val="0"/>
          <w:iCs w:val="0"/>
          <w:caps w:val="0"/>
          <w:color w:val="auto"/>
          <w:spacing w:val="0"/>
          <w:sz w:val="44"/>
          <w:szCs w:val="44"/>
          <w:lang w:eastAsia="zh-CN"/>
        </w:rPr>
      </w:pPr>
      <w:r>
        <w:rPr>
          <w:rFonts w:hint="eastAsia" w:ascii="宋体" w:hAnsi="宋体" w:eastAsia="宋体" w:cs="宋体"/>
          <w:b/>
          <w:bCs/>
          <w:i w:val="0"/>
          <w:iCs w:val="0"/>
          <w:caps w:val="0"/>
          <w:color w:val="auto"/>
          <w:spacing w:val="0"/>
          <w:sz w:val="44"/>
          <w:szCs w:val="44"/>
        </w:rPr>
        <w:t>关于沁阳市三源制麦有限公司土地使</w:t>
      </w:r>
      <w:bookmarkStart w:id="0" w:name="_GoBack"/>
      <w:bookmarkEnd w:id="0"/>
      <w:r>
        <w:rPr>
          <w:rFonts w:hint="eastAsia" w:ascii="宋体" w:hAnsi="宋体" w:eastAsia="宋体" w:cs="宋体"/>
          <w:b/>
          <w:bCs/>
          <w:i w:val="0"/>
          <w:iCs w:val="0"/>
          <w:caps w:val="0"/>
          <w:color w:val="auto"/>
          <w:spacing w:val="0"/>
          <w:sz w:val="44"/>
          <w:szCs w:val="44"/>
        </w:rPr>
        <w:t>用权和房屋建（构）筑物的拍卖公告</w:t>
      </w:r>
    </w:p>
    <w:p w14:paraId="62430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2" w:right="482"/>
        <w:jc w:val="center"/>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 </w:t>
      </w:r>
    </w:p>
    <w:p w14:paraId="52779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沁阳市三源制麦有限公司管理人将于2025年2月20日10时至2025年2月21日10时止（延时除外）在淘宝网阿里拍卖破产强清平台（处置单位：沁阳市三源制麦有限公司管理人，监督单位：河南省沁阳市人民法院，网址：https://susong.taobao.com）进行公开拍卖活动，现公告如下：</w:t>
      </w:r>
    </w:p>
    <w:p w14:paraId="6ACA20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一、重要提示</w:t>
      </w:r>
    </w:p>
    <w:p w14:paraId="7665A0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1、郑重声明：本标的系管理人依法独立履行《中华人民共和国企业破产法》第二十五条第6项职责，在破产强清平台处置的债务人财产。</w:t>
      </w:r>
    </w:p>
    <w:p w14:paraId="45F8DC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竞买人在竞拍前请务必遵照《竞买公告》《竞买须知》及《拍卖标的物调查情况表》的要求，进行实地看样、调查标的物信息、了解竞买资质、委托代理及尾款支付方式等内容。如违反相关约定，保证金可能会被划扣并产生其他法律责任，请理性参拍。</w:t>
      </w:r>
    </w:p>
    <w:p w14:paraId="424EC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拍卖公告所作的情况说明，仅为竞买人参与竞买提供参考，不能作为竞买人判断、权衡价值的最终依据，竞买人根据自身需求可自行调查、了解、核实有关情况。未尽事宜，管理人和辅拍公司不承担任何责任。此次拍卖标的面积有产权登记证书的以证载面积为准，</w:t>
      </w:r>
    </w:p>
    <w:p w14:paraId="28A01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无产权登记证书的以评估报告记载为准，拍卖成交后如经实际测定面积与产权登记证书、评估报告记载有出入，则拍卖成交价均不作调整。如在后续办理权属过户中存有超出范围、违建、无证等情形的土地或须将土地恢复原状的，则拍卖成交价均不作调整，所涉及的所有手续及费用均由买受人承担。</w:t>
      </w:r>
    </w:p>
    <w:p w14:paraId="41024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4、拍卖标的可能存在尚未被发现及未说明的瑕疵，竞买人应当亲自了解和查验，并自行承担拍卖标的存在尚未被发现及未说明瑕疵的风险。买受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721A6F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特别提示：</w:t>
      </w:r>
    </w:p>
    <w:p w14:paraId="38CBD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本次拍卖标的物为沁阳市三源制麦有限公司名下土地使用权和房屋建筑物（构）筑物，按实物现状交付。标的物的现状、数量、质量、型号及使用状态等以拍卖成交后移交时的现状、数量、质量、型号及使用状态等为准。若标的物交付时与拍卖公告载明的现状、数量、质量、型号及使用状态等有出入，拍卖成交价不作调整，按现状交付。</w:t>
      </w:r>
    </w:p>
    <w:p w14:paraId="4A750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本次拍卖标的物价值较大，国有土地使用权的证载面积、四至范围及其他指标以国土城建等相关部门的最终核实为准。交付时实物与竞买公告不一致的风险及评估基准日至交付之时所产生的风险如隐藏瑕疵、缺陷、损毁等均由买受人承担。竞买人竞拍前应向自然资源和规划局、住房和城乡建设局、市场监督管理局、税务等相关部门，对标的物的权属、能否过户、过户要求和流程、税费缴付的标准及起止时间，以及其他需注意的事项进行咨询。因政策原因或其他原因导致不能过户或完善相关手续的风险由买受人承担，管理人和辅拍公司对办理过户手续不做担保。</w:t>
      </w:r>
    </w:p>
    <w:p w14:paraId="1A253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标的物状况以标的物现状为准，管理人不承担本标的物瑕疵保证。拍卖标的物其他隐性的信息或损失管理人无法查知，具体以实物及实际情况为准。除拍卖文件披露外，竞买人应对拍卖标的的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将视为对拍卖标的物实物现状的确认，请竞买人慎重决定竞买行为。竞买人一旦做出竞买决定，则表明其已完全了解、并接受拍卖标的物的现状和一切已知及未知瑕疵。</w:t>
      </w:r>
    </w:p>
    <w:p w14:paraId="651140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4、竞买人决定参与竞买的，视为对标的物完全了解，并接受标的物一切已知和未知瑕疵。管理人对标的中的无证房屋的拍卖活动及拍卖活动形成的文书不作为该部分房屋办理产权登记的依据，对无证房屋管理人仅有交付义务，买受人依据法律规定自行处置无证房屋。</w:t>
      </w:r>
    </w:p>
    <w:p w14:paraId="21992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二、拍卖标的物情况介绍</w:t>
      </w:r>
    </w:p>
    <w:p w14:paraId="7DA25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标的物名称：沁阳市三源制麦有限公司土地使用权和房屋建（构）筑物</w:t>
      </w:r>
    </w:p>
    <w:p w14:paraId="54F1C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起拍价：10,741,955.00元；</w:t>
      </w:r>
    </w:p>
    <w:p w14:paraId="6EDD2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评估价：10,741,955.00元；</w:t>
      </w:r>
    </w:p>
    <w:p w14:paraId="1E7AE7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保证金：1,000,000.00元；</w:t>
      </w:r>
    </w:p>
    <w:p w14:paraId="28BDE9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增价幅度：50,000元或其整数倍。</w:t>
      </w:r>
    </w:p>
    <w:p w14:paraId="6383E8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1、土地使用权情况：</w:t>
      </w:r>
    </w:p>
    <w:p w14:paraId="2931C0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 沁阳市三源制麦有限公司名下的土地使用权有一宗，土地使用权证号为沁国用（2014）第 06190004号，土地位于河南省沁阳市王曲乡十三里店村、沁济公路南侧，占地面积 12134平方米，工业出让用地，使用期限为2064年5月30日。</w:t>
      </w:r>
    </w:p>
    <w:p w14:paraId="29740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2、房屋建构筑物情况：</w:t>
      </w:r>
    </w:p>
    <w:p w14:paraId="1C5043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房屋建构筑物共计22项，主要包括办公楼（砖混）、门岗（砖混）、仓库伙房（砖混）、筛选车间（框架）、原料仓库（3号、钢架）、机电房（砖混）、成品库（1号、钢架）、除根车间（砖混）、烘干车间（砖混）、发芽浸泡车间（框架）等，标的按现状交付，更多详情请见上传的《资产清单》（仅供参考）。</w:t>
      </w:r>
    </w:p>
    <w:p w14:paraId="209C04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特别说明：</w:t>
      </w:r>
    </w:p>
    <w:p w14:paraId="46D40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除拍卖文件披露外，竞买人应对拍卖标的的实际状况以及瑕疵（含显性、隐性瑕疵）等自行调查核实，并承担全部风险。</w:t>
      </w:r>
    </w:p>
    <w:p w14:paraId="5AAC23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对上述标的权属有异议者，请于本公告发布之日起至开拍前七日内与管理人联系。</w:t>
      </w:r>
    </w:p>
    <w:p w14:paraId="567507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三、咨询时间</w:t>
      </w:r>
    </w:p>
    <w:p w14:paraId="6B8BE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咨询、展示看样的时间与方式：本管理人已委托河南嘉运辅拍网络科技有限公司协助办理咨询、预展事务，自发布公告之日起至拍卖结束之日止（节假日除外）接受咨询，有意看样者请与王女士（联系电话：18638030707）联系。本标的统一安排现场看样，意向竞买人请亲自实地看样，详细情况可向相关部门了解或自行进行调查，未看样的竞买人视为对本标的实物现状的确认，责任自负，请谨慎参拍。</w:t>
      </w:r>
    </w:p>
    <w:p w14:paraId="35AEEA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为维护实地看样现场的正常秩序，现场看样时应听从工作人员的指挥，现场看样人员不服从指挥，扰乱现场秩序的，会被请出看样场地。</w:t>
      </w:r>
    </w:p>
    <w:p w14:paraId="43345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四、竞买人条件</w:t>
      </w:r>
    </w:p>
    <w:p w14:paraId="4A39B5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凡具备完全民事行为能力的自然人及依法成立、存续的法人和非法人组织均可参加竞买。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D095A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竞买人可委托代理人（具备完全民事行为能力的自然人）进行竞价，但须在拍卖开始日的五日前与管理人和辅拍公司沟通办理委托手续；竞买成功后，竞买人（法定代表人、其他组织的负责人）或其委托代理人应到管理人处办理交付或权属转移手续。如委托手续不全，竞买活动认定为委托代理人的个人行为。因不符合条件参加竞买的，由竞买人自行承担相应的法律责任。</w:t>
      </w:r>
    </w:p>
    <w:p w14:paraId="263FE5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五、优先购买权人</w:t>
      </w:r>
    </w:p>
    <w:p w14:paraId="5289C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1、本标的物优先购买权人相关说明：暂无。</w:t>
      </w:r>
    </w:p>
    <w:p w14:paraId="4D1129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如有竞买者行使优先购买权，按以下2、3、4条处理。</w:t>
      </w:r>
    </w:p>
    <w:p w14:paraId="236CC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本标的物优先购买权相关说明：优先购买权人参加竞买的，应于竞价活动开始三个工作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3CD7F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3、优先购买权人参与竞买的，以与其他竞买人以相同的价格出价，没有更高出价的，拍卖财产由优先购买权人竞得。</w:t>
      </w:r>
    </w:p>
    <w:p w14:paraId="69202E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7921A3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六、拍卖方式</w:t>
      </w:r>
    </w:p>
    <w:p w14:paraId="33151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本次拍卖采取有保留价的增价拍卖方式，保留价即为起拍价，至少一人报名且出价不低于起拍价，方可成交。无人报名或出价的，本次拍卖流拍。</w:t>
      </w:r>
    </w:p>
    <w:p w14:paraId="4DD80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本次及后续各轮次拍卖活动均设置延时出价功能，在拍卖活动结束前，每最后5分钟如果有竞买人出价，将自动延迟5分钟。</w:t>
      </w:r>
    </w:p>
    <w:p w14:paraId="52153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七、保证金和余款支付</w:t>
      </w:r>
    </w:p>
    <w:p w14:paraId="5D2B8A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1、拍卖竞价前将通过破产强清平台系统在竞买人支付宝账户内锁定相应资金作为应缴的保证金，拍卖结束后未能竞得者锁定的保证金自动解锁，锁定期间不计利息。</w:t>
      </w:r>
    </w:p>
    <w:p w14:paraId="0222A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拍卖成交后，买受人淘宝后台自动生成两笔待支付订单（软件服务费和综合服务费），买受人务必在24小时内付清两笔订单。若买受人在规定时间内未付清两笔待支付订单，后续导致标的资产交接延迟或给管理人与辅拍机构带来其他损失的，可视为买受人违约并放弃本标的成交，管理人有权启动再次拍卖，保证金按照悔拍规定处理。</w:t>
      </w:r>
    </w:p>
    <w:p w14:paraId="242B4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3、拍卖成交后，买受人交纳的保证金可以冲抵价款，本标的物买受人原锁定的保证金将在买受人支付软件服务费以后的24小时以内自动转入本管理人指定账户。</w:t>
      </w:r>
    </w:p>
    <w:p w14:paraId="1E864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本次拍卖余款请在拍卖成交后5日内汇款至本管理人指定账户：</w:t>
      </w:r>
    </w:p>
    <w:p w14:paraId="49439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户 名：沁阳市三源制麦有限公司管理人</w:t>
      </w:r>
    </w:p>
    <w:p w14:paraId="3412C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开户行：中信银行股份有限公司焦作沁阳支行</w:t>
      </w:r>
    </w:p>
    <w:p w14:paraId="4FA68F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账  号：8111 1010 1170 1890 836</w:t>
      </w:r>
    </w:p>
    <w:p w14:paraId="16636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汇款时备注：“沁阳市三源制麦有限公司破产财产成交价款”。</w:t>
      </w:r>
    </w:p>
    <w:p w14:paraId="75EF84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4、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taobao.com/market/paimai/sf-helpcenter.php?path=sf-hc-right-content5#q1。</w:t>
      </w:r>
    </w:p>
    <w:p w14:paraId="20827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八、税费及其他费用承担</w:t>
      </w:r>
    </w:p>
    <w:p w14:paraId="45EF1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竞价成交时，成交价不包含转让时依法应当由双方承担的全部税、费、应补地价、土地使用费、罚款、违约金等相关费用的补缴；过户时因转让依法应当由双方承担的全部税、费（包括但不限于所得税、土地增值税、增值税及其附加、印花税、契税等）、应补地价、土地出让金均由买受人承担。买受人在竞买前应向所涉相关政府部门（税务、不动产登记等）进行咨询、了解，确认成交后应缴纳的税费标准。</w:t>
      </w:r>
    </w:p>
    <w:p w14:paraId="014ADD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拍卖成交后，由买受人自行办理水、电等公共事业及相关手续，所产生的费用及拍卖标的所有欠费均由买受人承担。未明确缴费义务人的费用也由买受人承担，具体费用请竞买人到相关部门自行咨询。因竞买人的原因产生的税款滞纳金，全部由竞买人承担。</w:t>
      </w:r>
    </w:p>
    <w:p w14:paraId="06EF37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2、本标的物存在2%的综合服务费和0.5%的软件服务费由买受人承担。</w:t>
      </w:r>
    </w:p>
    <w:p w14:paraId="78612B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上述综合服务费和软件服务费，买受人逾期未全额缴纳的，阿里拍卖平台和拍卖辅助机构可对其进行依法追缴。</w:t>
      </w:r>
    </w:p>
    <w:p w14:paraId="47450B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3、如买受人在竞买成功后，届时交付拍品可能涉及的因拆卸、搬运等相关费用（包括但不限于搬迁、拆卸、吊装、运输费、安装费、维修费等）及相关安全责任均由买受人自行承担。</w:t>
      </w:r>
    </w:p>
    <w:p w14:paraId="697FB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九、拍品交付</w:t>
      </w:r>
    </w:p>
    <w:p w14:paraId="67F3F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1、买受人应于付清全部拍卖成交款后5日内（遇节假日顺延）凭付款凭证及相关身份材料到破产管理人处签署拍卖成交确认文件。并在尾款支付后10日内前往管理人处办理交割手续。</w:t>
      </w:r>
    </w:p>
    <w:p w14:paraId="626D3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未按照前述期限内办理交割手续的，由此产生的全部责任、损失和风险（包括但不限于支付场地费和看管费、相关税费、标的物损毁或灭失等）由买受人承担。若超出前述期限内未办理交割手续，视为买受人悔拍，除扣除竞价保证金外，另从竞价尾款中扣取相应的库管费用和税费（如有）等费用。</w:t>
      </w:r>
    </w:p>
    <w:p w14:paraId="14A32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2、拍卖标的物能否办理过户（登记）手续及办理过户（登记）手续的时间，请竞买人在竞买前自行到相关部门咨询确认。拍卖成交后，由管理人和辅拍公司协助买受人到相关部门办理产权过户手续。</w:t>
      </w:r>
    </w:p>
    <w:p w14:paraId="23E716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3、买受人应于竞买结束后60日内完成过户手续办理，否则视为买受人悔拍。管理人有权扣除保证金，并要求买受人承担逾期办理过户造成的一切后果。</w:t>
      </w:r>
    </w:p>
    <w:p w14:paraId="373E7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4、如本次拍卖标的物由于不确定因素或自然灾害等不可抗力或管理人和辅拍公司未能掌握的情形等原因致使拍卖标的物不能如期交付的，管理人和辅拍公司概不承担任何责任。</w:t>
      </w:r>
    </w:p>
    <w:p w14:paraId="79A9E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十、特别提醒</w:t>
      </w:r>
    </w:p>
    <w:p w14:paraId="33A7F4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1、标的物以实物现状为准，土地需要等设备清场后交付。管理人和辅拍公司不承担本标的瑕疵担保责任。有意者请亲自实地看样，未看样的竞买人视为对本标的实物现状的确认，责任自负。本次网络竞价所涉标的物已知的标的物属性等情况已经公示，买受人需自行承担标的物存在的全部权利瑕疵风险及其他未知相关风险。如果因标的物存在权利瑕疵或其他原因导致交易行为无法顺利完成的，管理人和辅拍公司与网络竞价平台不承担任何责任。对于已经公示披露的权利瑕疵及风险，竞买人仍参与竞买的，视为对本标的物权利瑕疵及风险的确认，责任自负。</w:t>
      </w:r>
    </w:p>
    <w:p w14:paraId="2EA66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2、与本标的物有利害关系的人可参加竞拍，不参加竞拍的请关注本次拍卖活动的整个过程。</w:t>
      </w:r>
    </w:p>
    <w:p w14:paraId="5D74E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3、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5D1F3D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4、竞买人在竞买过程中及竞买后严格按照本公告及其他相关文件履行相应义务。如竞买人不严格履行或存在违约的，管理人有权要求竞买人继续履行，或者对竞买标的进行重新拍卖等，竞买人完全知悉且无任何异议。</w:t>
      </w:r>
    </w:p>
    <w:p w14:paraId="542AD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5、竞买者须自行登录平台履行注册、登录、报名等相关网页操作流程并缴纳规定数额的保证金，方能正式参与竞买。若发现竞买人提供虚假证明，则其竞买保证金不予退还。竞买成功后签署成交确认书的竞买人或其委托代理人，应与办理竞买登记手续的竞买人或其委托代理人身份相符，否则保证金不予退还且造成的一切后果及损失由竞买人自行承担。</w:t>
      </w:r>
    </w:p>
    <w:p w14:paraId="5A3CE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十一、管理人根据法律规定有权在拍卖开始前中止拍卖或撤回拍卖。</w:t>
      </w:r>
    </w:p>
    <w:p w14:paraId="1F8AC2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拍卖成交后买受人悔拍（包括但不限于买受人未在拍卖成交后按规定日期内将拍卖成交全部余款缴入指定账户，以及买受人明示或暗示其悔拍等情形）的，管理人可重新委托拍卖，买受人交纳的保证金不予退还。重新拍卖的成交价低于原拍卖成交价造成的差价、费用损失（包括但不限于因此而增加产生的场地费等），均由原买受人承担，管理人直接从原买受人交纳的保证金中扣除。扣除后保证金有剩余的，剩余部分将纳入破产财产范围，依法定程序进行清偿；保证金数额不足的，管理人有权责令原买受人补交，拒不补交的，管理人有权提起诉讼。重新拍卖时，原买受人不得参加竞买。</w:t>
      </w:r>
    </w:p>
    <w:p w14:paraId="6B228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十二、竞买人应当遵守拍卖规定，不得阻挠其他竞买人竞拍，不得操纵、垄断竞拍价格，严禁竞买人恶意串标，上述行为一经发现，将取消其竞买资格，并追究相关的法律责任。</w:t>
      </w:r>
    </w:p>
    <w:p w14:paraId="102B14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三、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78CEF5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十四、凡发现拍卖中有违规行为，可如实举报。破产案件监督单位：河南省沁阳市人民法院。</w:t>
      </w:r>
    </w:p>
    <w:p w14:paraId="26184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咨询看样：王女士18638030707。</w:t>
      </w:r>
    </w:p>
    <w:p w14:paraId="6A92F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淘宝技术咨询：400-822-2870。</w:t>
      </w:r>
    </w:p>
    <w:p w14:paraId="32E6FE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本公告未尽事宜，请向管理人咨询，管理人具有最终解释权。</w:t>
      </w:r>
    </w:p>
    <w:p w14:paraId="171DF9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666666"/>
          <w:spacing w:val="0"/>
          <w:sz w:val="28"/>
          <w:szCs w:val="28"/>
        </w:rPr>
        <w:t> </w:t>
      </w:r>
    </w:p>
    <w:p w14:paraId="6B6181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p>
    <w:p w14:paraId="598AF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沁阳市三源制麦有限公司管理人</w:t>
      </w:r>
    </w:p>
    <w:p w14:paraId="299D9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2025年2月5日 </w:t>
      </w:r>
    </w:p>
    <w:p w14:paraId="5CF08B29">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569F3AAF">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7BEDB8C0">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36306E01">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6AE4D811">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2FABDFC1">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3D596ED7">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5E2FF89F">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7E0595E5">
      <w:pPr>
        <w:keepNext w:val="0"/>
        <w:keepLines w:val="0"/>
        <w:widowControl/>
        <w:suppressLineNumbers w:val="0"/>
        <w:spacing w:before="0" w:beforeAutospacing="0" w:after="240" w:afterAutospacing="0"/>
        <w:ind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r>
        <w:rPr>
          <w:rFonts w:hint="eastAsia" w:ascii="宋体" w:hAnsi="宋体" w:eastAsia="宋体" w:cs="宋体"/>
          <w:b/>
          <w:bCs/>
          <w:i w:val="0"/>
          <w:iCs w:val="0"/>
          <w:caps w:val="0"/>
          <w:color w:val="auto"/>
          <w:spacing w:val="0"/>
          <w:kern w:val="0"/>
          <w:sz w:val="44"/>
          <w:szCs w:val="44"/>
          <w:shd w:val="clear" w:fill="FFFFFF"/>
          <w:lang w:val="en-US" w:eastAsia="zh-CN" w:bidi="ar"/>
        </w:rPr>
        <w:t>竞买须知</w:t>
      </w:r>
    </w:p>
    <w:p w14:paraId="24AD61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rPr>
      </w:pPr>
    </w:p>
    <w:p w14:paraId="2DDC80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沁阳市三源制麦有限公司管理人将于2025年2月20日10时至2025年2月21日10时止（延时除外）在淘宝网阿里拍卖破产强清平台进行公开拍卖活动，现就网上拍卖有关事宜敬告各位竞买人：</w:t>
      </w:r>
    </w:p>
    <w:p w14:paraId="534172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一、本《拍卖须知》根据《中华人民共和国民事诉讼法》等相关法律规定所制定，竞买人应认真仔细阅读，了解本须知的全部内容。</w:t>
      </w:r>
    </w:p>
    <w:p w14:paraId="39CBC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二、本次拍卖活动遵循“公开、公平、公正、诚实守信”的原则，拍卖活动具备法律效力。参加本次拍卖活动的竞买人必须遵守本须知的各项条款，并对自己的行为承担法律责任。</w:t>
      </w:r>
    </w:p>
    <w:p w14:paraId="68060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三、本次拍卖是经法定公告期和展示期后才举行的，就拍卖标的物已知及可能存在的瑕疵已在本次拍卖资料中作了详尽的说明。管理人和辅拍公司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68AAC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四、优先购买权人参加竞买的，应于竞价活动开始三个工作日前向管理人提交合法有效的证明，资格经管理人确认并添加至破产强清平台后台系统后才能参与竞买，逾期不提交的，视为放弃对本标的物享有优先购买权。</w:t>
      </w:r>
    </w:p>
    <w:p w14:paraId="5B643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五、与本标的物有利害关系的当事人可参加竞拍，不参加竞拍的请关注本次拍卖活动的整个过程。</w:t>
      </w:r>
    </w:p>
    <w:p w14:paraId="1FDB5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六、本次拍卖活动设置延时出价功能，在拍卖活动结束前，每最后5分钟如果有竞买人出价，就自动延迟5分钟。</w:t>
      </w:r>
    </w:p>
    <w:p w14:paraId="380B76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七、拍卖成交的，本标的物竞得者（又称“买受人”）冻结的保证金将自动转入管理人指定账户，其他竞买人的保证金在拍卖后即时解冻。拍卖未成交的（即流拍的），竞买人的保证金在拍卖活动结束后即时解冻，保证金冻结期间不计利息。</w:t>
      </w:r>
    </w:p>
    <w:p w14:paraId="32A607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16"/>
          <w:szCs w:val="16"/>
          <w:lang w:eastAsia="zh-CN"/>
        </w:rPr>
      </w:pPr>
      <w:r>
        <w:rPr>
          <w:rFonts w:hint="eastAsia" w:ascii="宋体" w:hAnsi="宋体" w:eastAsia="宋体" w:cs="宋体"/>
          <w:i w:val="0"/>
          <w:iCs w:val="0"/>
          <w:caps w:val="0"/>
          <w:color w:val="666666"/>
          <w:spacing w:val="0"/>
          <w:sz w:val="28"/>
          <w:szCs w:val="28"/>
        </w:rPr>
        <w:t>破产企业资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宋体" w:hAnsi="宋体" w:eastAsia="宋体" w:cs="宋体"/>
          <w:i w:val="0"/>
          <w:iCs w:val="0"/>
          <w:caps w:val="0"/>
          <w:color w:val="666666"/>
          <w:spacing w:val="0"/>
          <w:sz w:val="28"/>
          <w:szCs w:val="28"/>
          <w:u w:val="none"/>
        </w:rPr>
        <w:fldChar w:fldCharType="begin"/>
      </w:r>
      <w:r>
        <w:rPr>
          <w:rFonts w:hint="eastAsia" w:ascii="宋体" w:hAnsi="宋体" w:eastAsia="宋体" w:cs="宋体"/>
          <w:i w:val="0"/>
          <w:iCs w:val="0"/>
          <w:caps w:val="0"/>
          <w:color w:val="666666"/>
          <w:spacing w:val="0"/>
          <w:sz w:val="28"/>
          <w:szCs w:val="28"/>
          <w:u w:val="none"/>
        </w:rPr>
        <w:instrText xml:space="preserve"> HYPERLINK "https://susong-item.taobao.com/auction/678427087015.htm?spm=a2129.27076131.puimod-pc-search-list_2004318340.3&amp;pm&amp;pmtk=20140647.0.0.0.25287167.puimod-pc-search-navbar_5143927030.vault-jump&amp;path=25287167,27076131&amp;track_" </w:instrText>
      </w:r>
      <w:r>
        <w:rPr>
          <w:rFonts w:hint="eastAsia" w:ascii="宋体" w:hAnsi="宋体" w:eastAsia="宋体" w:cs="宋体"/>
          <w:i w:val="0"/>
          <w:iCs w:val="0"/>
          <w:caps w:val="0"/>
          <w:color w:val="666666"/>
          <w:spacing w:val="0"/>
          <w:sz w:val="28"/>
          <w:szCs w:val="28"/>
          <w:u w:val="none"/>
        </w:rPr>
        <w:fldChar w:fldCharType="separate"/>
      </w:r>
      <w:r>
        <w:rPr>
          <w:rStyle w:val="5"/>
          <w:rFonts w:hint="eastAsia" w:ascii="宋体" w:hAnsi="宋体" w:eastAsia="宋体" w:cs="宋体"/>
          <w:i w:val="0"/>
          <w:iCs w:val="0"/>
          <w:caps w:val="0"/>
          <w:color w:val="666666"/>
          <w:spacing w:val="0"/>
          <w:sz w:val="28"/>
          <w:szCs w:val="28"/>
          <w:u w:val="none"/>
        </w:rPr>
        <w:t>https://www.taobao.com/market/paimai/sf-helpcenter.php?path=sf-hc-right-content5#q1</w:t>
      </w:r>
      <w:r>
        <w:rPr>
          <w:rFonts w:hint="eastAsia" w:ascii="宋体" w:hAnsi="宋体" w:eastAsia="宋体" w:cs="宋体"/>
          <w:i w:val="0"/>
          <w:iCs w:val="0"/>
          <w:caps w:val="0"/>
          <w:color w:val="666666"/>
          <w:spacing w:val="0"/>
          <w:sz w:val="28"/>
          <w:szCs w:val="28"/>
          <w:u w:val="none"/>
        </w:rPr>
        <w:fldChar w:fldCharType="end"/>
      </w:r>
      <w:r>
        <w:rPr>
          <w:rFonts w:hint="eastAsia" w:ascii="宋体" w:hAnsi="宋体" w:eastAsia="宋体" w:cs="宋体"/>
          <w:i w:val="0"/>
          <w:iCs w:val="0"/>
          <w:caps w:val="0"/>
          <w:color w:val="666666"/>
          <w:spacing w:val="0"/>
          <w:sz w:val="16"/>
          <w:szCs w:val="16"/>
        </w:rPr>
        <w:t>。</w:t>
      </w:r>
    </w:p>
    <w:p w14:paraId="043E92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八、请买受人于付清全部拍卖成交款后三日内主动与管理人取得联系以确认相关事项。</w:t>
      </w:r>
    </w:p>
    <w:p w14:paraId="18AB0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九、买受人在按要求缴纳全部拍卖款后应及时签署成交相关文件，并由管理人和辅拍公司协助办理过户手续，逾期不办理的，将承担本标的物可能发生的损毁、灭失等后果，并承担因逾期办理过户产生的相关费用。能否办理过户手续及办理过户手续的时间请竞买人在竞买前自行到相关部门咨询确认，标的物现状及存在瑕疵等原因不能或者延迟办理过户手续造成的费用增加的后果自负，管理人和辅拍公司不作过户的任何承诺。</w:t>
      </w:r>
    </w:p>
    <w:p w14:paraId="70B94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十、本次拍卖活动计价货币为人民币，拍卖时的起拍价、成交价均不含买受人在拍卖标的物交付、过户时所发生的费用和税费。</w:t>
      </w:r>
    </w:p>
    <w:p w14:paraId="002D7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十一、管理人根据法律规定有权在拍卖开始前中止拍卖或撤回拍卖。</w:t>
      </w:r>
    </w:p>
    <w:p w14:paraId="1F2C09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二、为便于买受人及时收到拍卖相关的文书，竞买人在拍卖竞价前如实向淘宝网司法拍卖网络平台提供确切的送达地址或者主动与管理人联系。如需更改地址，买受人应及时与管理人联系确认更改。因提供的送达地址不确切，或未及时告知变更地址，导致有关法律文书无法送达的，由竞买人自行承担由此可能产生的法律后果。</w:t>
      </w:r>
    </w:p>
    <w:p w14:paraId="11B64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三、土地权利限制由竞买人自行调查。解除限制权利手续需要一定时间，拍卖标的物相关权证原件无法取得或存在担保物权的，办理标的物权属变更登记时需办理登报注销手续或注销他项权证，办理权属变更登记的时间会延长。</w:t>
      </w:r>
    </w:p>
    <w:p w14:paraId="0AFA0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四、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5AA15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十五、凡发现拍卖中有违规行为，可如实举报。破产案件监督单位：河南省沁阳市人民法院。</w:t>
      </w:r>
    </w:p>
    <w:p w14:paraId="302CD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咨询看样：王女士18638030707。</w:t>
      </w:r>
    </w:p>
    <w:p w14:paraId="6336B5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淘宝技术咨询：400-822-2870。</w:t>
      </w:r>
    </w:p>
    <w:p w14:paraId="6CDA1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本公告未尽事宜，请向管理人咨询，管理人具有最终解释权。</w:t>
      </w:r>
    </w:p>
    <w:p w14:paraId="08610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 </w:t>
      </w:r>
    </w:p>
    <w:p w14:paraId="41DF3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 </w:t>
      </w:r>
    </w:p>
    <w:p w14:paraId="7405CD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3080" w:firstLineChars="1100"/>
        <w:jc w:val="right"/>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rPr>
        <w:t>沁阳市三源制麦有限公司管理人</w:t>
      </w:r>
    </w:p>
    <w:p w14:paraId="020EF6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center"/>
        <w:textAlignment w:val="auto"/>
        <w:rPr>
          <w:rFonts w:hint="eastAsia" w:ascii="宋体" w:hAnsi="宋体" w:eastAsia="宋体" w:cs="宋体"/>
          <w:i w:val="0"/>
          <w:iCs w:val="0"/>
          <w:caps w:val="0"/>
          <w:color w:val="666666"/>
          <w:spacing w:val="0"/>
          <w:sz w:val="28"/>
          <w:szCs w:val="28"/>
          <w:lang w:eastAsia="zh-CN"/>
        </w:rPr>
      </w:pPr>
      <w:r>
        <w:rPr>
          <w:rFonts w:hint="eastAsia" w:ascii="宋体" w:hAnsi="宋体" w:eastAsia="宋体" w:cs="宋体"/>
          <w:i w:val="0"/>
          <w:iCs w:val="0"/>
          <w:caps w:val="0"/>
          <w:color w:val="666666"/>
          <w:spacing w:val="0"/>
          <w:sz w:val="28"/>
          <w:szCs w:val="28"/>
          <w:lang w:val="en-US" w:eastAsia="zh-CN"/>
        </w:rPr>
        <w:t xml:space="preserve">                                     </w:t>
      </w:r>
      <w:r>
        <w:rPr>
          <w:rFonts w:hint="eastAsia" w:ascii="宋体" w:hAnsi="宋体" w:eastAsia="宋体" w:cs="宋体"/>
          <w:i w:val="0"/>
          <w:iCs w:val="0"/>
          <w:caps w:val="0"/>
          <w:color w:val="666666"/>
          <w:spacing w:val="0"/>
          <w:sz w:val="28"/>
          <w:szCs w:val="28"/>
        </w:rPr>
        <w:t>2025年2月5日</w:t>
      </w:r>
    </w:p>
    <w:p w14:paraId="7056B910">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hint="eastAsia" w:ascii="宋体" w:hAnsi="宋体" w:eastAsia="宋体" w:cs="宋体"/>
          <w:lang w:eastAsia="zh-CN"/>
        </w:rPr>
      </w:pPr>
    </w:p>
    <w:p w14:paraId="54AC1C09">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5ECDB902">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2E1BC724">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4820D36B">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1D1899A3">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4765DC7B">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33782999">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29D9BC90">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5099BB21">
      <w:pPr>
        <w:keepNext w:val="0"/>
        <w:keepLines w:val="0"/>
        <w:widowControl/>
        <w:suppressLineNumbers w:val="0"/>
        <w:spacing w:before="0" w:beforeAutospacing="0" w:after="240" w:afterAutospacing="0"/>
        <w:ind w:left="480" w:right="480"/>
        <w:jc w:val="center"/>
        <w:rPr>
          <w:rFonts w:hint="eastAsia" w:ascii="宋体" w:hAnsi="宋体" w:eastAsia="宋体" w:cs="宋体"/>
          <w:i w:val="0"/>
          <w:iCs w:val="0"/>
          <w:caps w:val="0"/>
          <w:color w:val="C21F3A"/>
          <w:spacing w:val="0"/>
          <w:kern w:val="0"/>
          <w:sz w:val="44"/>
          <w:szCs w:val="44"/>
          <w:shd w:val="clear" w:fill="FFFFFF"/>
          <w:lang w:val="en-US" w:eastAsia="zh-CN" w:bidi="ar"/>
        </w:rPr>
      </w:pPr>
    </w:p>
    <w:p w14:paraId="0D2AE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rPr>
          <w:rFonts w:hint="default"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lang w:val="en-US" w:eastAsia="zh-CN"/>
        </w:rPr>
        <w:t>标的物介绍</w:t>
      </w:r>
    </w:p>
    <w:p w14:paraId="6C97C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52" w:lineRule="atLeast"/>
        <w:ind w:right="0" w:firstLine="560" w:firstLineChars="200"/>
        <w:jc w:val="left"/>
        <w:textAlignment w:val="auto"/>
        <w:rPr>
          <w:rFonts w:hint="eastAsia" w:ascii="宋体" w:hAnsi="宋体" w:eastAsia="宋体" w:cs="宋体"/>
          <w:i w:val="0"/>
          <w:iCs w:val="0"/>
          <w:caps w:val="0"/>
          <w:color w:val="1B253A"/>
          <w:spacing w:val="0"/>
          <w:sz w:val="28"/>
          <w:szCs w:val="28"/>
        </w:rPr>
      </w:pPr>
      <w:r>
        <w:rPr>
          <w:rFonts w:hint="eastAsia" w:ascii="宋体" w:hAnsi="宋体" w:eastAsia="宋体" w:cs="宋体"/>
          <w:i w:val="0"/>
          <w:iCs w:val="0"/>
          <w:caps w:val="0"/>
          <w:color w:val="1B253A"/>
          <w:spacing w:val="0"/>
          <w:sz w:val="28"/>
          <w:szCs w:val="28"/>
          <w:shd w:val="clear" w:fill="FFFFFF"/>
        </w:rPr>
        <w:t>标的为沁阳市三源制麦有限公司破产清算资产，具体为土地使用权和房屋建（构）筑物，按实物现状交付。</w:t>
      </w:r>
    </w:p>
    <w:p w14:paraId="21A7C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60"/>
        <w:jc w:val="left"/>
        <w:rPr>
          <w:rFonts w:hint="eastAsia" w:ascii="宋体" w:hAnsi="宋体" w:eastAsia="宋体" w:cs="宋体"/>
          <w:i w:val="0"/>
          <w:iCs w:val="0"/>
          <w:caps w:val="0"/>
          <w:color w:val="1B253A"/>
          <w:spacing w:val="0"/>
          <w:sz w:val="28"/>
          <w:szCs w:val="28"/>
        </w:rPr>
      </w:pPr>
      <w:r>
        <w:rPr>
          <w:rFonts w:hint="eastAsia" w:ascii="宋体" w:hAnsi="宋体" w:eastAsia="宋体" w:cs="宋体"/>
          <w:i w:val="0"/>
          <w:iCs w:val="0"/>
          <w:caps w:val="0"/>
          <w:color w:val="1B253A"/>
          <w:spacing w:val="0"/>
          <w:sz w:val="28"/>
          <w:szCs w:val="28"/>
          <w:shd w:val="clear" w:fill="FFFFFF"/>
        </w:rPr>
        <w:t>详情见下表：</w:t>
      </w:r>
    </w:p>
    <w:tbl>
      <w:tblPr>
        <w:tblStyle w:val="3"/>
        <w:tblW w:w="10120" w:type="dxa"/>
        <w:jc w:val="center"/>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00"/>
        <w:gridCol w:w="1638"/>
        <w:gridCol w:w="6582"/>
      </w:tblGrid>
      <w:tr w14:paraId="2BCAEE66">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101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E00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hint="eastAsia" w:ascii="宋体" w:hAnsi="宋体" w:eastAsia="宋体" w:cs="宋体"/>
              </w:rPr>
            </w:pPr>
            <w:r>
              <w:rPr>
                <w:rFonts w:hint="eastAsia" w:ascii="宋体" w:hAnsi="宋体" w:eastAsia="宋体" w:cs="宋体"/>
                <w:b/>
                <w:bCs/>
                <w:sz w:val="32"/>
                <w:szCs w:val="32"/>
              </w:rPr>
              <w:t>拍卖标的物调查表</w:t>
            </w:r>
          </w:p>
        </w:tc>
      </w:tr>
      <w:tr w14:paraId="495A8CA5">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EE2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标的名称</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CA5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沁阳市三源制麦有限公司名下的土地使用权和房屋建（构）筑物</w:t>
            </w:r>
          </w:p>
        </w:tc>
      </w:tr>
      <w:tr w14:paraId="083B4B9F">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4F8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详细位置</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3F1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河南省沁阳市王曲乡十三里店村、沁济公路南侧</w:t>
            </w:r>
          </w:p>
        </w:tc>
      </w:tr>
      <w:tr w14:paraId="357812EB">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PrEx>
        <w:trPr>
          <w:trHeight w:val="5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F92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权利来源</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C6F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(2019）豫0882破1号之三</w:t>
            </w:r>
          </w:p>
        </w:tc>
      </w:tr>
      <w:tr w14:paraId="77C0B488">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6E0D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拍品所有人</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B77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沁阳市三源制麦有限公司</w:t>
            </w:r>
          </w:p>
        </w:tc>
      </w:tr>
      <w:tr w14:paraId="2953AD5B">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5CC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提供的文件</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ED0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《拍卖成交确认书》</w:t>
            </w:r>
          </w:p>
        </w:tc>
      </w:tr>
      <w:tr w14:paraId="63E4E16B">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vMerge w:val="restart"/>
            <w:tcBorders>
              <w:top w:val="inset" w:color="auto" w:sz="8" w:space="0"/>
              <w:left w:val="inset" w:color="auto" w:sz="8" w:space="0"/>
              <w:bottom w:val="inset" w:color="auto" w:sz="8" w:space="0"/>
              <w:right w:val="inset" w:color="auto" w:sz="8" w:space="0"/>
            </w:tcBorders>
            <w:shd w:val="clear" w:color="auto" w:fill="auto"/>
            <w:tcMar>
              <w:left w:w="108" w:type="dxa"/>
              <w:right w:w="108" w:type="dxa"/>
            </w:tcMar>
            <w:vAlign w:val="center"/>
          </w:tcPr>
          <w:p w14:paraId="47A29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拍品介绍</w:t>
            </w:r>
          </w:p>
          <w:p w14:paraId="44E43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3A7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土地使用权</w:t>
            </w:r>
          </w:p>
        </w:tc>
        <w:tc>
          <w:tcPr>
            <w:tcW w:w="658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050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沁阳市三源制麦有限公司名下的土地使用权有一宗，土地使用权证号为沁国用（2014）第 06190004号，土地位于河南省沁阳市王曲乡十三里店村、沁济公路南侧，占地面积 12134平方米，工业出让用地，使用期限为2064年5月30日。</w:t>
            </w:r>
          </w:p>
        </w:tc>
      </w:tr>
      <w:tr w14:paraId="5E34C61F">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vMerge w:val="continue"/>
            <w:tcBorders>
              <w:top w:val="inset" w:color="auto" w:sz="8" w:space="0"/>
              <w:left w:val="inset" w:color="auto" w:sz="8" w:space="0"/>
              <w:bottom w:val="inset" w:color="auto" w:sz="8" w:space="0"/>
              <w:right w:val="inset" w:color="auto" w:sz="8" w:space="0"/>
            </w:tcBorders>
            <w:shd w:val="clear" w:color="auto" w:fill="auto"/>
            <w:tcMar>
              <w:left w:w="108" w:type="dxa"/>
              <w:right w:w="108" w:type="dxa"/>
            </w:tcMar>
            <w:vAlign w:val="center"/>
          </w:tcPr>
          <w:p w14:paraId="5F4B5FF3">
            <w:pPr>
              <w:rPr>
                <w:rFonts w:hint="eastAsia" w:ascii="宋体" w:hAnsi="宋体" w:eastAsia="宋体" w:cs="宋体"/>
                <w:sz w:val="21"/>
                <w:szCs w:val="21"/>
              </w:rPr>
            </w:pPr>
          </w:p>
        </w:tc>
        <w:tc>
          <w:tcPr>
            <w:tcW w:w="163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926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房屋建（构）筑物</w:t>
            </w:r>
          </w:p>
        </w:tc>
        <w:tc>
          <w:tcPr>
            <w:tcW w:w="658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CB9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房屋建构筑物共计22项，主要包括办公楼（砖混）、门岗（砖混）、仓库伙房（砖混）、筛选车间（框架）、原料仓库（3号、钢架）、机电房（砖混）、成品库（1号、钢架）、除根车间（砖混）、烘干车间（砖混）、发芽浸泡车间（框架）等，标的按现状交付，更多详情请见上传的《资产清单》（仅供参考）。</w:t>
            </w:r>
          </w:p>
        </w:tc>
      </w:tr>
      <w:tr w14:paraId="74E18949">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5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DAF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竞买人资格</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432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竞买人须具有完全民事行为能力，符合竞买条件。</w:t>
            </w:r>
          </w:p>
        </w:tc>
      </w:tr>
      <w:tr w14:paraId="08061C5D">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B60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税费及其他费用负担</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F04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1、竞价成交时，成交价不包含转让时依法应当由双方承担的全部税、费、应补地价、土地使用费、罚款、违约金等相关费用的补缴；过户时因转让依法应当由双方承担的全部税、费（包括但不限于所得税、土地增值税、增值税及其附加、印花税、契税等）、应补地价、土地出让金均由买受人承担。买受人在竞买前应向所涉相关政府部门（税务、不动产登记等）进行咨询、了解，确认成交后应缴纳的税费标准。</w:t>
            </w:r>
          </w:p>
          <w:p w14:paraId="4D243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拍卖成交后，由买受人自行办理水、电等公共事业及相关手续，所产生的费用及拍卖标的所有欠费均由买受人承担。未明确缴费义务人的费用也由买受人承担，具体费用请竞买人到相关部门自行咨询。因竞买人的原因产生的税款滞纳金，全部由竞买人承担。如买受人在竞买成功后，届时交付拍品可能涉及的因拆卸、搬运等相关费用（包括但不限于搬迁、拆卸、吊装、运输费、安装费、维修费等）及相关安全责任均由买受人自行承担。</w:t>
            </w:r>
          </w:p>
        </w:tc>
      </w:tr>
      <w:tr w14:paraId="1FFAF5B2">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94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301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特别说明</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C5E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除拍卖文件披露外，竞买人应对拍卖标的的实际状况以及瑕疵（含显性、隐性瑕疵）等自行调查核实，并承担全部风险。</w:t>
            </w:r>
          </w:p>
        </w:tc>
      </w:tr>
      <w:tr w14:paraId="38A8F3F1">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0" w:type="dxa"/>
            <w:left w:w="0" w:type="dxa"/>
            <w:bottom w:w="0" w:type="dxa"/>
            <w:right w:w="0" w:type="dxa"/>
          </w:tblCellMar>
        </w:tblPrEx>
        <w:trPr>
          <w:trHeight w:val="900" w:hRule="atLeast"/>
          <w:jc w:val="center"/>
        </w:trPr>
        <w:tc>
          <w:tcPr>
            <w:tcW w:w="19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C3D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特别提醒</w:t>
            </w:r>
          </w:p>
        </w:tc>
        <w:tc>
          <w:tcPr>
            <w:tcW w:w="8220"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8E6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hint="eastAsia" w:ascii="宋体" w:hAnsi="宋体" w:eastAsia="宋体" w:cs="宋体"/>
                <w:sz w:val="21"/>
                <w:szCs w:val="21"/>
              </w:rPr>
            </w:pPr>
            <w:r>
              <w:rPr>
                <w:rFonts w:hint="eastAsia" w:ascii="宋体" w:hAnsi="宋体" w:eastAsia="宋体" w:cs="宋体"/>
                <w:sz w:val="21"/>
                <w:szCs w:val="21"/>
              </w:rPr>
              <w:t>在拍卖竞价前请务必再仔细阅读本管理人发布的《竞买公告》《竞买须知》《标的物调查表》（仅供参考）。</w:t>
            </w:r>
          </w:p>
        </w:tc>
      </w:tr>
    </w:tbl>
    <w:p w14:paraId="2EBF4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560"/>
        <w:jc w:val="left"/>
        <w:rPr>
          <w:rFonts w:hint="eastAsia" w:ascii="宋体" w:hAnsi="宋体" w:eastAsia="宋体" w:cs="宋体"/>
          <w:i w:val="0"/>
          <w:iCs w:val="0"/>
          <w:caps w:val="0"/>
          <w:color w:val="1B253A"/>
          <w:spacing w:val="0"/>
          <w:sz w:val="16"/>
          <w:szCs w:val="16"/>
        </w:rPr>
      </w:pPr>
      <w:r>
        <w:rPr>
          <w:rFonts w:hint="eastAsia" w:ascii="宋体" w:hAnsi="宋体" w:eastAsia="宋体" w:cs="宋体"/>
          <w:i w:val="0"/>
          <w:iCs w:val="0"/>
          <w:caps w:val="0"/>
          <w:color w:val="1B253A"/>
          <w:spacing w:val="0"/>
          <w:sz w:val="28"/>
          <w:szCs w:val="28"/>
          <w:shd w:val="clear" w:fill="FFFFFF"/>
        </w:rPr>
        <w:t> </w:t>
      </w:r>
    </w:p>
    <w:p w14:paraId="4E36CACD">
      <w:pPr>
        <w:rPr>
          <w:rFonts w:hint="eastAsia" w:ascii="宋体" w:hAnsi="宋体" w:eastAsia="宋体" w:cs="宋体"/>
        </w:rPr>
      </w:pPr>
    </w:p>
    <w:p w14:paraId="12723B36">
      <w:pPr>
        <w:keepNext w:val="0"/>
        <w:keepLines w:val="0"/>
        <w:pageBreakBefore w:val="0"/>
        <w:kinsoku/>
        <w:wordWrap/>
        <w:overflowPunct/>
        <w:topLinePunct w:val="0"/>
        <w:autoSpaceDE/>
        <w:autoSpaceDN/>
        <w:bidi w:val="0"/>
        <w:adjustRightInd/>
        <w:snapToGrid/>
        <w:spacing w:line="240" w:lineRule="auto"/>
        <w:ind w:right="0"/>
        <w:textAlignment w:val="auto"/>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56E41"/>
    <w:rsid w:val="62EA7CBF"/>
    <w:rsid w:val="78FA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5817</Words>
  <Characters>6052</Characters>
  <Lines>0</Lines>
  <Paragraphs>0</Paragraphs>
  <TotalTime>0</TotalTime>
  <ScaleCrop>false</ScaleCrop>
  <LinksUpToDate>false</LinksUpToDate>
  <CharactersWithSpaces>6066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2025-02-10T06:26:00Z</dcterms:created>
  <dc:creator>HUAWEI</dc:creator>
  <cp:lastModifiedBy>微信用户</cp:lastModifiedBy>
  <dcterms:modified xsi:type="dcterms:W3CDTF">2025-02-10T07:05:28Z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eyJoZGlkIjoiNzI4MmQxMzhmZTZlYjhiMzFkODgzYzU5NzkzOTM1NDgiLCJ1c2VySWQiOiIxMjE3NjMyNTY0In0=</vt:lpwstr>
  </property>
  <property fmtid="{D5CDD505-2E9C-101B-9397-08002B2CF9AE}" pid="4" name="ICV">
    <vt:lpwstr>C38237E7DE904D3D8720AC572415C436_12</vt:lpwstr>
  </property>
</Properties>
</file>