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55536">
      <w:pPr>
        <w:jc w:val="center"/>
        <w:rPr>
          <w:rFonts w:hint="eastAsia" w:ascii="黑体" w:hAnsi="黑体" w:eastAsia="黑体" w:cs="黑体"/>
          <w:b/>
          <w:bCs/>
          <w:sz w:val="32"/>
          <w:szCs w:val="32"/>
        </w:rPr>
      </w:pPr>
      <w:r>
        <w:rPr>
          <w:rFonts w:hint="eastAsia" w:ascii="黑体" w:hAnsi="黑体" w:eastAsia="黑体" w:cs="黑体"/>
          <w:b/>
          <w:bCs/>
          <w:sz w:val="32"/>
          <w:szCs w:val="32"/>
        </w:rPr>
        <w:t>关于</w:t>
      </w:r>
      <w:r>
        <w:rPr>
          <w:rFonts w:hint="eastAsia" w:ascii="黑体" w:hAnsi="黑体" w:eastAsia="黑体" w:cs="黑体"/>
          <w:b/>
          <w:bCs/>
          <w:sz w:val="32"/>
          <w:szCs w:val="32"/>
          <w:lang w:val="en-US" w:eastAsia="zh-CN"/>
        </w:rPr>
        <w:t>安徽省宁国市紫金阳生物科技有限公司预重整</w:t>
      </w:r>
      <w:r>
        <w:rPr>
          <w:rFonts w:hint="eastAsia" w:ascii="黑体" w:hAnsi="黑体" w:eastAsia="黑体" w:cs="黑体"/>
          <w:b/>
          <w:bCs/>
          <w:sz w:val="32"/>
          <w:szCs w:val="32"/>
        </w:rPr>
        <w:t>案</w:t>
      </w:r>
    </w:p>
    <w:p w14:paraId="2FDBFE28">
      <w:pPr>
        <w:jc w:val="center"/>
        <w:rPr>
          <w:rFonts w:hint="eastAsia" w:ascii="黑体" w:hAnsi="黑体" w:eastAsia="黑体" w:cs="黑体"/>
          <w:b/>
          <w:bCs/>
          <w:sz w:val="32"/>
          <w:szCs w:val="32"/>
        </w:rPr>
      </w:pPr>
      <w:r>
        <w:rPr>
          <w:rFonts w:hint="eastAsia" w:ascii="黑体" w:hAnsi="黑体" w:eastAsia="黑体" w:cs="黑体"/>
          <w:b/>
          <w:bCs/>
          <w:sz w:val="32"/>
          <w:szCs w:val="32"/>
        </w:rPr>
        <w:t>选任审计机构、评估机构比选公告</w:t>
      </w:r>
    </w:p>
    <w:p w14:paraId="6281BDB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宁国</w:t>
      </w:r>
      <w:r>
        <w:rPr>
          <w:rFonts w:hint="eastAsia" w:asciiTheme="minorEastAsia" w:hAnsiTheme="minorEastAsia" w:eastAsiaTheme="minorEastAsia" w:cstheme="minorEastAsia"/>
          <w:color w:val="auto"/>
          <w:sz w:val="28"/>
          <w:szCs w:val="28"/>
        </w:rPr>
        <w:t>市人民法院</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以下简</w:t>
      </w:r>
      <w:bookmarkStart w:id="0" w:name="_GoBack"/>
      <w:bookmarkEnd w:id="0"/>
      <w:r>
        <w:rPr>
          <w:rFonts w:hint="eastAsia" w:asciiTheme="minorEastAsia" w:hAnsiTheme="minorEastAsia" w:eastAsiaTheme="minorEastAsia" w:cstheme="minorEastAsia"/>
          <w:color w:val="auto"/>
          <w:sz w:val="28"/>
          <w:szCs w:val="28"/>
        </w:rPr>
        <w:t>称“</w:t>
      </w:r>
      <w:r>
        <w:rPr>
          <w:rFonts w:hint="eastAsia" w:asciiTheme="minorEastAsia" w:hAnsiTheme="minorEastAsia" w:eastAsiaTheme="minorEastAsia" w:cstheme="minorEastAsia"/>
          <w:color w:val="auto"/>
          <w:sz w:val="28"/>
          <w:szCs w:val="28"/>
          <w:lang w:val="en-US" w:eastAsia="zh-CN"/>
        </w:rPr>
        <w:t>宁国</w:t>
      </w:r>
      <w:r>
        <w:rPr>
          <w:rFonts w:hint="eastAsia" w:asciiTheme="minorEastAsia" w:hAnsiTheme="minorEastAsia" w:eastAsiaTheme="minorEastAsia" w:cstheme="minorEastAsia"/>
          <w:color w:val="auto"/>
          <w:sz w:val="28"/>
          <w:szCs w:val="28"/>
        </w:rPr>
        <w:t>法院”</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于202</w:t>
      </w:r>
      <w:r>
        <w:rPr>
          <w:rFonts w:hint="eastAsia" w:asciiTheme="minorEastAsia" w:hAnsi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年</w:t>
      </w:r>
      <w:r>
        <w:rPr>
          <w:rFonts w:hint="eastAsia" w:asciiTheme="minorEastAsia" w:hAnsi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月</w:t>
      </w:r>
      <w:r>
        <w:rPr>
          <w:rFonts w:hint="eastAsia" w:asciiTheme="minorEastAsia" w:hAnsiTheme="minorEastAsia" w:cstheme="minorEastAsia"/>
          <w:color w:val="auto"/>
          <w:sz w:val="28"/>
          <w:szCs w:val="28"/>
          <w:lang w:val="en-US" w:eastAsia="zh-CN"/>
        </w:rPr>
        <w:t>28</w:t>
      </w:r>
      <w:r>
        <w:rPr>
          <w:rFonts w:hint="eastAsia" w:asciiTheme="minorEastAsia" w:hAnsiTheme="minorEastAsia" w:eastAsiaTheme="minorEastAsia" w:cstheme="minorEastAsia"/>
          <w:color w:val="auto"/>
          <w:sz w:val="28"/>
          <w:szCs w:val="28"/>
        </w:rPr>
        <w:t>日作出</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202</w:t>
      </w:r>
      <w:r>
        <w:rPr>
          <w:rFonts w:hint="eastAsia" w:asciiTheme="minorEastAsia" w:hAnsi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皖1881</w:t>
      </w:r>
      <w:r>
        <w:rPr>
          <w:rFonts w:hint="eastAsia" w:asciiTheme="minorEastAsia" w:hAnsiTheme="minorEastAsia" w:eastAsiaTheme="minorEastAsia" w:cstheme="minorEastAsia"/>
          <w:color w:val="auto"/>
          <w:sz w:val="28"/>
          <w:szCs w:val="28"/>
        </w:rPr>
        <w:t>破申</w:t>
      </w:r>
      <w:r>
        <w:rPr>
          <w:rFonts w:hint="eastAsia" w:asciiTheme="minorEastAsia" w:hAnsi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号</w:t>
      </w:r>
      <w:r>
        <w:rPr>
          <w:rFonts w:hint="eastAsia" w:asciiTheme="minorEastAsia" w:hAnsiTheme="minorEastAsia" w:cstheme="minorEastAsia"/>
          <w:color w:val="auto"/>
          <w:sz w:val="28"/>
          <w:szCs w:val="28"/>
          <w:lang w:val="en-US" w:eastAsia="zh-CN"/>
        </w:rPr>
        <w:t>决定书</w:t>
      </w:r>
      <w:r>
        <w:rPr>
          <w:rFonts w:hint="eastAsia" w:asciiTheme="minorEastAsia" w:hAnsiTheme="minorEastAsia" w:eastAsiaTheme="minorEastAsia" w:cstheme="minorEastAsia"/>
          <w:color w:val="auto"/>
          <w:sz w:val="28"/>
          <w:szCs w:val="28"/>
        </w:rPr>
        <w:t>，</w:t>
      </w:r>
      <w:r>
        <w:rPr>
          <w:rFonts w:hint="eastAsia" w:asciiTheme="minorEastAsia" w:hAnsiTheme="minorEastAsia" w:cstheme="minorEastAsia"/>
          <w:color w:val="auto"/>
          <w:sz w:val="28"/>
          <w:szCs w:val="28"/>
          <w:lang w:val="en-US" w:eastAsia="zh-CN"/>
        </w:rPr>
        <w:t>决定</w:t>
      </w:r>
      <w:r>
        <w:rPr>
          <w:rFonts w:hint="eastAsia" w:asciiTheme="minorEastAsia" w:hAnsiTheme="minorEastAsia" w:eastAsiaTheme="minorEastAsia" w:cstheme="minorEastAsia"/>
          <w:color w:val="auto"/>
          <w:sz w:val="28"/>
          <w:szCs w:val="28"/>
        </w:rPr>
        <w:t>受理</w:t>
      </w:r>
      <w:r>
        <w:rPr>
          <w:rFonts w:hint="eastAsia" w:asciiTheme="minorEastAsia" w:hAnsiTheme="minorEastAsia" w:cstheme="minorEastAsia"/>
          <w:color w:val="auto"/>
          <w:sz w:val="28"/>
          <w:szCs w:val="28"/>
          <w:lang w:val="en-US" w:eastAsia="zh-CN"/>
        </w:rPr>
        <w:t>安徽省宁国市紫金阳生物科技有限公司</w:t>
      </w:r>
      <w:r>
        <w:rPr>
          <w:rFonts w:hint="eastAsia" w:asciiTheme="minorEastAsia" w:hAnsiTheme="minorEastAsia" w:eastAsiaTheme="minorEastAsia" w:cstheme="minorEastAsia"/>
          <w:color w:val="auto"/>
          <w:sz w:val="28"/>
          <w:szCs w:val="28"/>
          <w:lang w:val="en-US" w:eastAsia="zh-CN"/>
        </w:rPr>
        <w:t>（以下简称“</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公司”或“债务人”）</w:t>
      </w:r>
      <w:r>
        <w:rPr>
          <w:rFonts w:hint="eastAsia" w:asciiTheme="minorEastAsia" w:hAnsiTheme="minorEastAsia" w:cstheme="minorEastAsia"/>
          <w:color w:val="auto"/>
          <w:sz w:val="28"/>
          <w:szCs w:val="28"/>
          <w:lang w:val="en-US" w:eastAsia="zh-CN"/>
        </w:rPr>
        <w:t>预</w:t>
      </w:r>
      <w:r>
        <w:rPr>
          <w:rFonts w:hint="eastAsia" w:asciiTheme="minorEastAsia" w:hAnsiTheme="minorEastAsia" w:eastAsiaTheme="minorEastAsia" w:cstheme="minorEastAsia"/>
          <w:color w:val="auto"/>
          <w:sz w:val="28"/>
          <w:szCs w:val="28"/>
          <w:lang w:val="en-US" w:eastAsia="zh-CN"/>
        </w:rPr>
        <w:t>重整申请</w:t>
      </w:r>
      <w:r>
        <w:rPr>
          <w:rFonts w:hint="eastAsia" w:asciiTheme="minorEastAsia" w:hAnsiTheme="minorEastAsia" w:eastAsiaTheme="minorEastAsia" w:cstheme="minorEastAsia"/>
          <w:color w:val="auto"/>
          <w:sz w:val="28"/>
          <w:szCs w:val="28"/>
        </w:rPr>
        <w:t>，并于</w:t>
      </w:r>
      <w:r>
        <w:rPr>
          <w:rFonts w:hint="eastAsia" w:asciiTheme="minorEastAsia" w:hAnsiTheme="minorEastAsia" w:eastAsiaTheme="minorEastAsia" w:cstheme="minorEastAsia"/>
          <w:color w:val="auto"/>
          <w:sz w:val="28"/>
          <w:szCs w:val="28"/>
          <w:lang w:val="en-US" w:eastAsia="zh-CN"/>
        </w:rPr>
        <w:t>同日</w:t>
      </w:r>
      <w:r>
        <w:rPr>
          <w:rFonts w:hint="eastAsia" w:asciiTheme="minorEastAsia" w:hAnsiTheme="minorEastAsia" w:eastAsiaTheme="minorEastAsia" w:cstheme="minorEastAsia"/>
          <w:color w:val="auto"/>
          <w:sz w:val="28"/>
          <w:szCs w:val="28"/>
        </w:rPr>
        <w:t>作出</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202</w:t>
      </w:r>
      <w:r>
        <w:rPr>
          <w:rFonts w:hint="eastAsia" w:asciiTheme="minorEastAsia" w:hAnsi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皖1881破</w:t>
      </w:r>
      <w:r>
        <w:rPr>
          <w:rFonts w:hint="eastAsia" w:asciiTheme="minorEastAsia" w:hAnsiTheme="minorEastAsia" w:cstheme="minorEastAsia"/>
          <w:color w:val="auto"/>
          <w:sz w:val="28"/>
          <w:szCs w:val="28"/>
          <w:lang w:val="en-US" w:eastAsia="zh-CN"/>
        </w:rPr>
        <w:t>申1-1</w:t>
      </w:r>
      <w:r>
        <w:rPr>
          <w:rFonts w:hint="eastAsia" w:asciiTheme="minorEastAsia" w:hAnsiTheme="minorEastAsia" w:eastAsiaTheme="minorEastAsia" w:cstheme="minorEastAsia"/>
          <w:color w:val="auto"/>
          <w:sz w:val="28"/>
          <w:szCs w:val="28"/>
        </w:rPr>
        <w:t>号决定书指定</w:t>
      </w:r>
      <w:r>
        <w:rPr>
          <w:rFonts w:hint="eastAsia" w:asciiTheme="minorEastAsia" w:hAnsiTheme="minorEastAsia" w:eastAsiaTheme="minorEastAsia" w:cstheme="minorEastAsia"/>
          <w:color w:val="auto"/>
          <w:sz w:val="28"/>
          <w:szCs w:val="28"/>
          <w:lang w:val="en-US" w:eastAsia="zh-CN"/>
        </w:rPr>
        <w:t>安徽宁芯破产清算事务所有限公司担任</w:t>
      </w:r>
      <w:r>
        <w:rPr>
          <w:rFonts w:hint="eastAsia" w:asciiTheme="minorEastAsia" w:hAnsiTheme="minorEastAsia" w:cstheme="minorEastAsia"/>
          <w:color w:val="auto"/>
          <w:sz w:val="28"/>
          <w:szCs w:val="28"/>
          <w:lang w:val="en-US" w:eastAsia="zh-CN"/>
        </w:rPr>
        <w:t>预重整</w:t>
      </w:r>
      <w:r>
        <w:rPr>
          <w:rFonts w:hint="eastAsia" w:asciiTheme="minorEastAsia" w:hAnsiTheme="minorEastAsia" w:eastAsiaTheme="minorEastAsia" w:cstheme="minorEastAsia"/>
          <w:color w:val="auto"/>
          <w:sz w:val="28"/>
          <w:szCs w:val="28"/>
        </w:rPr>
        <w:t>管理人</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以下简称“管理人”</w:t>
      </w:r>
      <w:r>
        <w:rPr>
          <w:rFonts w:hint="eastAsia" w:asciiTheme="minorEastAsia" w:hAnsi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开展本案</w:t>
      </w:r>
      <w:r>
        <w:rPr>
          <w:rFonts w:hint="eastAsia" w:asciiTheme="minorEastAsia" w:hAnsiTheme="minorEastAsia" w:cstheme="minorEastAsia"/>
          <w:color w:val="auto"/>
          <w:sz w:val="28"/>
          <w:szCs w:val="28"/>
          <w:lang w:val="en-US" w:eastAsia="zh-CN"/>
        </w:rPr>
        <w:t>预重整</w:t>
      </w:r>
      <w:r>
        <w:rPr>
          <w:rFonts w:hint="eastAsia" w:asciiTheme="minorEastAsia" w:hAnsiTheme="minorEastAsia" w:eastAsiaTheme="minorEastAsia" w:cstheme="minorEastAsia"/>
          <w:color w:val="auto"/>
          <w:sz w:val="28"/>
          <w:szCs w:val="28"/>
          <w:lang w:val="en-US" w:eastAsia="zh-CN"/>
        </w:rPr>
        <w:t>重整</w:t>
      </w:r>
      <w:r>
        <w:rPr>
          <w:rFonts w:hint="eastAsia" w:asciiTheme="minorEastAsia" w:hAnsiTheme="minorEastAsia" w:eastAsiaTheme="minorEastAsia" w:cstheme="minorEastAsia"/>
          <w:color w:val="auto"/>
          <w:sz w:val="28"/>
          <w:szCs w:val="28"/>
        </w:rPr>
        <w:t>工作。</w:t>
      </w:r>
    </w:p>
    <w:p w14:paraId="3A31AA6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现</w:t>
      </w:r>
      <w:r>
        <w:rPr>
          <w:rFonts w:hint="eastAsia" w:asciiTheme="minorEastAsia" w:hAnsiTheme="minorEastAsia" w:eastAsiaTheme="minorEastAsia" w:cstheme="minorEastAsia"/>
          <w:color w:val="auto"/>
          <w:sz w:val="28"/>
          <w:szCs w:val="28"/>
        </w:rPr>
        <w:t>为顺利推进本案</w:t>
      </w:r>
      <w:r>
        <w:rPr>
          <w:rFonts w:hint="eastAsia" w:asciiTheme="minorEastAsia" w:hAnsiTheme="minorEastAsia" w:cstheme="minorEastAsia"/>
          <w:color w:val="auto"/>
          <w:sz w:val="28"/>
          <w:szCs w:val="28"/>
          <w:lang w:val="en-US" w:eastAsia="zh-CN"/>
        </w:rPr>
        <w:t>预</w:t>
      </w:r>
      <w:r>
        <w:rPr>
          <w:rFonts w:hint="eastAsia" w:asciiTheme="minorEastAsia" w:hAnsiTheme="minorEastAsia" w:eastAsiaTheme="minorEastAsia" w:cstheme="minorEastAsia"/>
          <w:color w:val="auto"/>
          <w:sz w:val="28"/>
          <w:szCs w:val="28"/>
          <w:lang w:val="en-US" w:eastAsia="zh-CN"/>
        </w:rPr>
        <w:t>重整</w:t>
      </w:r>
      <w:r>
        <w:rPr>
          <w:rFonts w:hint="eastAsia" w:asciiTheme="minorEastAsia" w:hAnsiTheme="minorEastAsia" w:eastAsiaTheme="minorEastAsia" w:cstheme="minorEastAsia"/>
          <w:color w:val="auto"/>
          <w:sz w:val="28"/>
          <w:szCs w:val="28"/>
        </w:rPr>
        <w:t>程序，管理人需要选聘审计机构和评估机构。经管理人请示</w:t>
      </w:r>
      <w:r>
        <w:rPr>
          <w:rFonts w:hint="eastAsia" w:asciiTheme="minorEastAsia" w:hAnsiTheme="minorEastAsia" w:eastAsiaTheme="minorEastAsia" w:cstheme="minorEastAsia"/>
          <w:color w:val="auto"/>
          <w:sz w:val="28"/>
          <w:szCs w:val="28"/>
          <w:lang w:val="en-US" w:eastAsia="zh-CN"/>
        </w:rPr>
        <w:t>宁国</w:t>
      </w:r>
      <w:r>
        <w:rPr>
          <w:rFonts w:hint="eastAsia" w:asciiTheme="minorEastAsia" w:hAnsiTheme="minorEastAsia" w:eastAsiaTheme="minorEastAsia" w:cstheme="minorEastAsia"/>
          <w:color w:val="auto"/>
          <w:sz w:val="28"/>
          <w:szCs w:val="28"/>
        </w:rPr>
        <w:t>法院同意后，发布本次比选公告。</w:t>
      </w:r>
    </w:p>
    <w:p w14:paraId="6B58D4A0">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债务人基本情况</w:t>
      </w:r>
    </w:p>
    <w:p w14:paraId="22269CF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cstheme="minorEastAsia"/>
          <w:color w:val="auto"/>
          <w:sz w:val="28"/>
          <w:szCs w:val="28"/>
          <w:lang w:eastAsia="zh-CN"/>
        </w:rPr>
        <w:t>紫金阳</w:t>
      </w:r>
      <w:r>
        <w:rPr>
          <w:rFonts w:hint="eastAsia" w:asciiTheme="minorEastAsia" w:hAnsiTheme="minorEastAsia" w:eastAsiaTheme="minorEastAsia" w:cstheme="minorEastAsia"/>
          <w:color w:val="auto"/>
          <w:sz w:val="28"/>
          <w:szCs w:val="28"/>
        </w:rPr>
        <w:t>公司于2012年7月3日在宁国市市场监督管理局登记注册，工商注册号341881000058567，统一社会信用代码91341881598694990K。注册资本为人民币</w:t>
      </w:r>
      <w:r>
        <w:rPr>
          <w:rFonts w:hint="eastAsia" w:asciiTheme="minorEastAsia" w:hAnsiTheme="minorEastAsia" w:cstheme="minorEastAsia"/>
          <w:color w:val="auto"/>
          <w:sz w:val="28"/>
          <w:szCs w:val="28"/>
          <w:lang w:val="en-US" w:eastAsia="zh-CN"/>
        </w:rPr>
        <w:t>10</w:t>
      </w:r>
      <w:r>
        <w:rPr>
          <w:rFonts w:hint="eastAsia" w:asciiTheme="minorEastAsia" w:hAnsiTheme="minorEastAsia" w:eastAsiaTheme="minorEastAsia" w:cstheme="minorEastAsia"/>
          <w:color w:val="auto"/>
          <w:sz w:val="28"/>
          <w:szCs w:val="28"/>
        </w:rPr>
        <w:t>00万元，股东为吴江平、吴潞琳。公司经营范围是一般项目：消毒剂销售（不含危险化学品）；医学研究和试验发展（除人体干细胞、基因诊断与治疗技术开发和应用）；农业科学研究和试验发展；养老服务；技术服务、技术开发、技术咨询、技术交流、技术转让、技术推广；谷物种植；谷物销售；中药提取物生产；休闲观光活动；健康咨询服务（不含诊疗服务）；养生保健服务（非医疗）；广告制作；广告设计、代理；广告发布；商标代理；知识产权服务（专利代理服务除外）；市场营销策划；企业形象策划；组织文化艺术交流活动；计算机软硬件及外围设备制造；软件开发；家居用品销售；橡胶制品销售；建筑材料销售；技术进出口；发酵过程优化技术研发；细胞技术研发和应用；海洋生物活性物质提取、纯化、合成技术研发；非居住房地产租赁；自然科学研究和试验发展；中草药种植；农产品的生产、销售、加工、运输、贮藏及其他相关服务；地产中草药(不含中药饮片）购销（除许可业务外，可自主依法经营法律法规非禁止或限制的项目）许可项目：药品批发；药品生产；化妆品生产；保健食品生产；食品销售；生活美容服务；消毒剂生产（不含危险化学品）（依法须经批准的项目，经相关部门批准后方可开展经营活动，具体经营项目以相关部门批准文件或许可证件为准）</w:t>
      </w:r>
      <w:r>
        <w:rPr>
          <w:rFonts w:hint="eastAsia" w:asciiTheme="minorEastAsia" w:hAnsiTheme="minorEastAsia" w:cstheme="minorEastAsia"/>
          <w:color w:val="auto"/>
          <w:sz w:val="28"/>
          <w:szCs w:val="28"/>
          <w:lang w:eastAsia="zh-CN"/>
        </w:rPr>
        <w:t>。</w:t>
      </w:r>
    </w:p>
    <w:p w14:paraId="0EC29F15">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审计、评估工作对象及内容</w:t>
      </w:r>
    </w:p>
    <w:p w14:paraId="170AC363">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审计及评估的对象</w:t>
      </w:r>
    </w:p>
    <w:p w14:paraId="4300B9EA">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审计：</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w:t>
      </w:r>
      <w:r>
        <w:rPr>
          <w:rFonts w:hint="eastAsia" w:asciiTheme="minorEastAsia" w:hAnsiTheme="minorEastAsia" w:cstheme="minorEastAsia"/>
          <w:color w:val="auto"/>
          <w:sz w:val="28"/>
          <w:szCs w:val="28"/>
          <w:lang w:val="en-US" w:eastAsia="zh-CN"/>
        </w:rPr>
        <w:t>财务状况</w:t>
      </w:r>
    </w:p>
    <w:p w14:paraId="661B38EF">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评估：</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公司名下资产</w:t>
      </w:r>
    </w:p>
    <w:p w14:paraId="1FE4CE49">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审计机构工作内容</w:t>
      </w:r>
    </w:p>
    <w:p w14:paraId="73EAEF5B">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按照管理人要求年限对</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公司进行财务审计，并出具专项审计报告。</w:t>
      </w:r>
    </w:p>
    <w:p w14:paraId="2BA87BF9">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对</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可能涉及的《企业破产法》相关问题，如债务人是否存在《企业破产法》第三十一条、三十二条规定的可撤销行为。债务人的出资人是否存在《企业破产法》第三十五条规定的尚未完全履行出资义务的行为。债务人的董事、监事和高级管理人员是否存在《企业破产法》第三十六条规定的利用职权获取非正常收入或者侵占债务人财产的行为等事项出具审查意见。</w:t>
      </w:r>
    </w:p>
    <w:p w14:paraId="3FD6BC9E">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债务人与其股东、实际控制人、关联企业之间的大额资金往来及其性质</w:t>
      </w:r>
      <w:r>
        <w:rPr>
          <w:rFonts w:hint="eastAsia" w:asciiTheme="minorEastAsia" w:hAnsiTheme="minorEastAsia" w:cstheme="minorEastAsia"/>
          <w:color w:val="auto"/>
          <w:sz w:val="28"/>
          <w:szCs w:val="28"/>
          <w:lang w:val="en-US" w:eastAsia="zh-CN"/>
        </w:rPr>
        <w:t>。</w:t>
      </w:r>
    </w:p>
    <w:p w14:paraId="55A205A0">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债务人为关联企业、第三方担保的情况</w:t>
      </w:r>
      <w:r>
        <w:rPr>
          <w:rFonts w:hint="eastAsia" w:asciiTheme="minorEastAsia" w:hAnsiTheme="minorEastAsia" w:cstheme="minorEastAsia"/>
          <w:color w:val="auto"/>
          <w:sz w:val="28"/>
          <w:szCs w:val="28"/>
          <w:lang w:val="en-US" w:eastAsia="zh-CN"/>
        </w:rPr>
        <w:t>。</w:t>
      </w:r>
    </w:p>
    <w:p w14:paraId="1AF343C9">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债务人对外投资、第三方代持等情况。</w:t>
      </w:r>
    </w:p>
    <w:p w14:paraId="3F3885CA">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协助管理人进行债权审查，并按照管理人的要求出具债权审查辅助意见。</w:t>
      </w:r>
    </w:p>
    <w:p w14:paraId="7CE7FBA0">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管理人安排的与</w:t>
      </w:r>
      <w:r>
        <w:rPr>
          <w:rFonts w:hint="eastAsia" w:asciiTheme="minorEastAsia" w:hAnsiTheme="minorEastAsia" w:cstheme="minorEastAsia"/>
          <w:color w:val="auto"/>
          <w:sz w:val="28"/>
          <w:szCs w:val="28"/>
          <w:lang w:val="en-US" w:eastAsia="zh-CN"/>
        </w:rPr>
        <w:t>预重整</w:t>
      </w:r>
      <w:r>
        <w:rPr>
          <w:rFonts w:hint="eastAsia" w:asciiTheme="minorEastAsia" w:hAnsiTheme="minorEastAsia" w:eastAsiaTheme="minorEastAsia" w:cstheme="minorEastAsia"/>
          <w:color w:val="auto"/>
          <w:sz w:val="28"/>
          <w:szCs w:val="28"/>
          <w:lang w:val="en-US" w:eastAsia="zh-CN"/>
        </w:rPr>
        <w:t>项目有关的其他审计事项，句括但不限于:参加债权人会议介绍审计情况</w:t>
      </w:r>
      <w:r>
        <w:rPr>
          <w:rFonts w:hint="eastAsia" w:asciiTheme="minorEastAsia" w:hAnsiTheme="minorEastAsia" w:cstheme="minorEastAsia"/>
          <w:color w:val="auto"/>
          <w:sz w:val="28"/>
          <w:szCs w:val="28"/>
          <w:lang w:val="en-US" w:eastAsia="zh-CN"/>
        </w:rPr>
        <w:t>、</w:t>
      </w:r>
      <w:r>
        <w:rPr>
          <w:rFonts w:hint="eastAsia" w:asciiTheme="minorEastAsia" w:hAnsiTheme="minorEastAsia" w:eastAsiaTheme="minorEastAsia" w:cstheme="minorEastAsia"/>
          <w:color w:val="auto"/>
          <w:sz w:val="28"/>
          <w:szCs w:val="28"/>
          <w:lang w:val="en-US" w:eastAsia="zh-CN"/>
        </w:rPr>
        <w:t>未申报债权统计工作、接受债权人的咨询、债务人财务账按照会计有关准则进行调整等其他事宜。</w:t>
      </w:r>
    </w:p>
    <w:p w14:paraId="4D58AAA3">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其他将根据后续案件办理情况再行调整。</w:t>
      </w:r>
    </w:p>
    <w:p w14:paraId="4F9D0EFA">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评估机构工作内容</w:t>
      </w:r>
    </w:p>
    <w:p w14:paraId="52993C9E">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对</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名下全部资产进行评估，出具评估报告。评估报告中需要对涉及抵押、质押、融资租赁、留置、商标/专利等事项的资产评估情况做出专项说明及披露，配合管理人对于有特定财产担保等债权的金额进行确认。</w:t>
      </w:r>
    </w:p>
    <w:p w14:paraId="5CB7CEE4">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管理人安排的与</w:t>
      </w:r>
      <w:r>
        <w:rPr>
          <w:rFonts w:hint="eastAsia" w:asciiTheme="minorEastAsia" w:hAnsiTheme="minorEastAsia" w:cstheme="minorEastAsia"/>
          <w:color w:val="auto"/>
          <w:sz w:val="28"/>
          <w:szCs w:val="28"/>
          <w:lang w:val="en-US" w:eastAsia="zh-CN"/>
        </w:rPr>
        <w:t>预重整</w:t>
      </w:r>
      <w:r>
        <w:rPr>
          <w:rFonts w:hint="eastAsia" w:asciiTheme="minorEastAsia" w:hAnsiTheme="minorEastAsia" w:eastAsiaTheme="minorEastAsia" w:cstheme="minorEastAsia"/>
          <w:color w:val="auto"/>
          <w:sz w:val="28"/>
          <w:szCs w:val="28"/>
          <w:lang w:val="en-US" w:eastAsia="zh-CN"/>
        </w:rPr>
        <w:t>项目有关的其他评估事项，包括但不限于参加债权人会议介绍评估情况、接受债权人的咨询等其他事宜。</w:t>
      </w:r>
    </w:p>
    <w:p w14:paraId="31AC1F08">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对</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公司资产的市场价值出具评估报告，并对</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lang w:val="en-US" w:eastAsia="zh-CN"/>
        </w:rPr>
        <w:t>公司偿债能力进行分析并出具偿债能力分析报告。</w:t>
      </w:r>
    </w:p>
    <w:p w14:paraId="2E8A0C3C">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其他将根据后续案件办理情况再行调整</w:t>
      </w:r>
    </w:p>
    <w:p w14:paraId="63BB0FC2">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参选条件</w:t>
      </w:r>
    </w:p>
    <w:p w14:paraId="7172BA0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参选机构需同时满足以下条件:</w:t>
      </w:r>
    </w:p>
    <w:p w14:paraId="43A7B6C7">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参选机构要求具有相应的专业资质，若经审查提交的资料系虚假的，法律后果自负。</w:t>
      </w:r>
    </w:p>
    <w:p w14:paraId="7E8296D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注</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需提供证明材料。</w:t>
      </w:r>
    </w:p>
    <w:p w14:paraId="0E0BFA94">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参选机构及从业人员不得具有法律、司法解释规定的回避或者不得、不宜进行资产评估、财务审计的情形。</w:t>
      </w:r>
    </w:p>
    <w:p w14:paraId="606DFB41">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参选机构及从业人员最近三年内没有违法违纪等不良记录。</w:t>
      </w:r>
    </w:p>
    <w:p w14:paraId="28E28BB7">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具有行政主管部门颁发的相关执业资质，能独立承担民事责任，具有良好的商业信誉。</w:t>
      </w:r>
    </w:p>
    <w:p w14:paraId="07FEFD69">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具备较大规模，能够保证指派充足人员进入</w:t>
      </w:r>
      <w:r>
        <w:rPr>
          <w:rFonts w:hint="eastAsia" w:asciiTheme="minorEastAsia" w:hAnsiTheme="minorEastAsia" w:cstheme="minorEastAsia"/>
          <w:color w:val="auto"/>
          <w:sz w:val="28"/>
          <w:szCs w:val="28"/>
          <w:lang w:val="en-US" w:eastAsia="zh-CN"/>
        </w:rPr>
        <w:t>紫金阳</w:t>
      </w:r>
      <w:r>
        <w:rPr>
          <w:rFonts w:hint="eastAsia" w:asciiTheme="minorEastAsia" w:hAnsiTheme="minorEastAsia" w:eastAsiaTheme="minorEastAsia" w:cstheme="minorEastAsia"/>
          <w:color w:val="auto"/>
          <w:sz w:val="28"/>
          <w:szCs w:val="28"/>
        </w:rPr>
        <w:t>公司现场办公(其中审计机构不少于</w:t>
      </w:r>
      <w:r>
        <w:rPr>
          <w:rFonts w:hint="eastAsia" w:asciiTheme="minorEastAsia" w:hAnsi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人，评估机构不少于</w:t>
      </w: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人，派驻人员中注册会计师/评估师不少于</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人)。</w:t>
      </w:r>
    </w:p>
    <w:p w14:paraId="0BF113C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注</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需提供证明材料。</w:t>
      </w:r>
    </w:p>
    <w:p w14:paraId="1A02277C">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能够在规定时间内完成审计、评估工作。</w:t>
      </w:r>
    </w:p>
    <w:p w14:paraId="2E1B1CA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注</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审计机构需在进场之日起</w:t>
      </w:r>
      <w:r>
        <w:rPr>
          <w:rFonts w:hint="eastAsia" w:asciiTheme="minorEastAsia" w:hAnsiTheme="minorEastAsia" w:cstheme="minorEastAsia"/>
          <w:color w:val="auto"/>
          <w:sz w:val="28"/>
          <w:szCs w:val="28"/>
          <w:lang w:val="en-US" w:eastAsia="zh-CN"/>
        </w:rPr>
        <w:t>30</w:t>
      </w:r>
      <w:r>
        <w:rPr>
          <w:rFonts w:hint="eastAsia" w:asciiTheme="minorEastAsia" w:hAnsiTheme="minorEastAsia" w:eastAsiaTheme="minorEastAsia" w:cstheme="minorEastAsia"/>
          <w:color w:val="auto"/>
          <w:sz w:val="28"/>
          <w:szCs w:val="28"/>
        </w:rPr>
        <w:t>日内出具审计报告，评估机构需在进场之日起</w:t>
      </w:r>
      <w:r>
        <w:rPr>
          <w:rFonts w:hint="eastAsia" w:asciiTheme="minorEastAsia" w:hAnsiTheme="minorEastAsia" w:cstheme="minorEastAsia"/>
          <w:color w:val="auto"/>
          <w:sz w:val="28"/>
          <w:szCs w:val="28"/>
          <w:lang w:val="en-US" w:eastAsia="zh-CN"/>
        </w:rPr>
        <w:t>20</w:t>
      </w:r>
      <w:r>
        <w:rPr>
          <w:rFonts w:hint="eastAsia" w:asciiTheme="minorEastAsia" w:hAnsiTheme="minorEastAsia" w:eastAsiaTheme="minorEastAsia" w:cstheme="minorEastAsia"/>
          <w:color w:val="auto"/>
          <w:sz w:val="28"/>
          <w:szCs w:val="28"/>
        </w:rPr>
        <w:t>日内出具评估报告，</w:t>
      </w:r>
      <w:r>
        <w:rPr>
          <w:rFonts w:hint="eastAsia" w:asciiTheme="minorEastAsia" w:hAnsiTheme="minorEastAsia" w:eastAsiaTheme="minorEastAsia" w:cstheme="minorEastAsia"/>
          <w:color w:val="auto"/>
          <w:sz w:val="28"/>
          <w:szCs w:val="28"/>
          <w:lang w:val="en-US" w:eastAsia="zh-CN"/>
        </w:rPr>
        <w:t>需</w:t>
      </w:r>
      <w:r>
        <w:rPr>
          <w:rFonts w:hint="eastAsia" w:asciiTheme="minorEastAsia" w:hAnsiTheme="minorEastAsia" w:eastAsiaTheme="minorEastAsia" w:cstheme="minorEastAsia"/>
          <w:color w:val="auto"/>
          <w:sz w:val="28"/>
          <w:szCs w:val="28"/>
        </w:rPr>
        <w:t>向管理人出具承诺函并在委托协议明确约定，如无法按时出具报告管理人将扣减报酬。未出具承诺函的视为无效报名。</w:t>
      </w:r>
    </w:p>
    <w:p w14:paraId="32319DDF">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愿意接受先提供服务后支付服务费的服务模式。</w:t>
      </w:r>
    </w:p>
    <w:p w14:paraId="7C02AE6D">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参选机构及拟投入本项目的团队具有破产案件审计、评估工作经验</w:t>
      </w:r>
      <w:r>
        <w:rPr>
          <w:rFonts w:hint="eastAsia" w:asciiTheme="minorEastAsia" w:hAnsiTheme="minorEastAsia" w:eastAsiaTheme="minorEastAsia" w:cstheme="minorEastAsia"/>
          <w:color w:val="auto"/>
          <w:sz w:val="28"/>
          <w:szCs w:val="28"/>
          <w:lang w:eastAsia="zh-CN"/>
        </w:rPr>
        <w:t>。</w:t>
      </w:r>
    </w:p>
    <w:p w14:paraId="692CDB36">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color w:val="auto"/>
          <w:sz w:val="28"/>
          <w:szCs w:val="28"/>
          <w:lang w:val="en-US" w:eastAsia="zh-CN"/>
        </w:rPr>
        <w:t>审计、评估机构注册地位于宁国市内。</w:t>
      </w:r>
    </w:p>
    <w:p w14:paraId="79EBADD6">
      <w:pPr>
        <w:keepNext w:val="0"/>
        <w:keepLines w:val="0"/>
        <w:pageBreakBefore w:val="0"/>
        <w:widowControl w:val="0"/>
        <w:numPr>
          <w:ilvl w:val="0"/>
          <w:numId w:val="6"/>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具备法律法规规定的其他条件。</w:t>
      </w:r>
    </w:p>
    <w:p w14:paraId="5F6B99CE">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参选方式</w:t>
      </w:r>
    </w:p>
    <w:p w14:paraId="42D7B9FB">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参选文件递送方式</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参选文件需提交一式贰份(正本副本各一份)，通过中国邮政特快专递(EMS)邮寄纸质版材料或现场送达。</w:t>
      </w:r>
    </w:p>
    <w:p w14:paraId="63DBB324">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参选机构应最迟于202</w:t>
      </w:r>
      <w:r>
        <w:rPr>
          <w:rFonts w:hint="eastAsia" w:asciiTheme="minorEastAsia" w:hAnsi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年</w:t>
      </w:r>
      <w:r>
        <w:rPr>
          <w:rFonts w:hint="eastAsia" w:asciiTheme="minorEastAsia" w:hAnsi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cstheme="minorEastAsia"/>
          <w:color w:val="auto"/>
          <w:sz w:val="28"/>
          <w:szCs w:val="28"/>
          <w:lang w:val="en-US" w:eastAsia="zh-CN"/>
        </w:rPr>
        <w:t>7</w:t>
      </w:r>
      <w:r>
        <w:rPr>
          <w:rFonts w:hint="eastAsia" w:asciiTheme="minorEastAsia" w:hAnsiTheme="minorEastAsia" w:eastAsiaTheme="minorEastAsia" w:cstheme="minorEastAsia"/>
          <w:color w:val="auto"/>
          <w:sz w:val="28"/>
          <w:szCs w:val="28"/>
        </w:rPr>
        <w:t>日上午12:00前提交书面的参选文件。</w:t>
      </w:r>
    </w:p>
    <w:p w14:paraId="6C206EE1">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参选文件接收地址</w:t>
      </w:r>
      <w:r>
        <w:rPr>
          <w:rFonts w:hint="eastAsia" w:asciiTheme="minorEastAsia" w:hAnsiTheme="minorEastAsia" w:eastAsiaTheme="minorEastAsia" w:cstheme="minorEastAsia"/>
          <w:color w:val="auto"/>
          <w:sz w:val="28"/>
          <w:szCs w:val="28"/>
          <w:lang w:eastAsia="zh-CN"/>
        </w:rPr>
        <w:t>：宁国市宁国大道诚信大厦 3 楼安徽宁芯破产清算事务所有限公司</w:t>
      </w:r>
      <w:r>
        <w:rPr>
          <w:rFonts w:hint="eastAsia" w:asciiTheme="minorEastAsia" w:hAnsiTheme="minorEastAsia" w:eastAsiaTheme="minorEastAsia" w:cstheme="minorEastAsia"/>
          <w:color w:val="auto"/>
          <w:sz w:val="28"/>
          <w:szCs w:val="28"/>
          <w:lang w:val="en-US" w:eastAsia="zh-CN"/>
        </w:rPr>
        <w:t>；</w:t>
      </w:r>
      <w:r>
        <w:rPr>
          <w:rFonts w:hint="eastAsia" w:asciiTheme="minorEastAsia" w:hAnsiTheme="minorEastAsia" w:eastAsiaTheme="minorEastAsia" w:cstheme="minorEastAsia"/>
          <w:color w:val="auto"/>
          <w:sz w:val="28"/>
          <w:szCs w:val="28"/>
        </w:rPr>
        <w:t>联系人</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汤律师15345718682</w:t>
      </w:r>
    </w:p>
    <w:p w14:paraId="48FC1AA5">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参选文件应包括以下内容:</w:t>
      </w:r>
    </w:p>
    <w:p w14:paraId="137EB1CD">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参选机构的基本情况，破产审计或评估团队建设情况。</w:t>
      </w:r>
    </w:p>
    <w:p w14:paraId="38DDC67B">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参与本案的竞争优势，过往类似工作业绩介绍，并附所承办项目的委托合同等业绩证明文件。</w:t>
      </w:r>
    </w:p>
    <w:p w14:paraId="3A587274">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拟从事本项目审计、评估工作的团队负责人、现场负责人及团队成员的资质和简历，包括已取得的资质证书及过往类似工作业绩情况等。</w:t>
      </w:r>
    </w:p>
    <w:p w14:paraId="23EC17D5">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对本项目的理解及工作方案。</w:t>
      </w:r>
    </w:p>
    <w:p w14:paraId="52D7D077">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本项目的承诺完成时间。</w:t>
      </w:r>
    </w:p>
    <w:p w14:paraId="48CEC51B">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审计、评估费用报价方案。</w:t>
      </w:r>
    </w:p>
    <w:p w14:paraId="2418412A">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left="425" w:leftChars="0" w:hanging="425"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审计、评估机构资质证明文件: 如注册证书(复印件) 、营业执照 (复印件) 、机构及人员的资质资格证书 (复印件) 、本项目团队成员名单 (未经允许，不得随意改动) 、工作业绩证明文件、法定代表人(负责人) 身份证明、参与本次选聘人员的授权委托书及其他证明文件。</w:t>
      </w:r>
    </w:p>
    <w:p w14:paraId="55E7F661">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报价方式及支付方式</w:t>
      </w:r>
    </w:p>
    <w:p w14:paraId="00A89BD8">
      <w:pPr>
        <w:keepNext w:val="0"/>
        <w:keepLines w:val="0"/>
        <w:pageBreakBefore w:val="0"/>
        <w:widowControl w:val="0"/>
        <w:numPr>
          <w:ilvl w:val="0"/>
          <w:numId w:val="9"/>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本次报价费用采取包干计费方式，报价中应包含差旅费、食宿费等其它相关费用。</w:t>
      </w:r>
    </w:p>
    <w:p w14:paraId="554B6122">
      <w:pPr>
        <w:keepNext w:val="0"/>
        <w:keepLines w:val="0"/>
        <w:pageBreakBefore w:val="0"/>
        <w:widowControl w:val="0"/>
        <w:numPr>
          <w:ilvl w:val="0"/>
          <w:numId w:val="9"/>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因</w:t>
      </w:r>
      <w:r>
        <w:rPr>
          <w:rFonts w:hint="eastAsia" w:asciiTheme="minorEastAsia" w:hAnsiTheme="minorEastAsia" w:cstheme="minorEastAsia"/>
          <w:color w:val="auto"/>
          <w:sz w:val="28"/>
          <w:szCs w:val="28"/>
          <w:lang w:val="en-US" w:eastAsia="zh-CN"/>
        </w:rPr>
        <w:t>预重整</w:t>
      </w:r>
      <w:r>
        <w:rPr>
          <w:rFonts w:hint="eastAsia" w:asciiTheme="minorEastAsia" w:hAnsiTheme="minorEastAsia" w:eastAsiaTheme="minorEastAsia" w:cstheme="minorEastAsia"/>
          <w:color w:val="auto"/>
          <w:sz w:val="28"/>
          <w:szCs w:val="28"/>
        </w:rPr>
        <w:t>案件的特殊性</w:t>
      </w:r>
      <w:r>
        <w:rPr>
          <w:rFonts w:hint="eastAsia" w:asciiTheme="minorEastAsia" w:hAnsi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审计、评估费用</w:t>
      </w:r>
      <w:r>
        <w:rPr>
          <w:rFonts w:hint="eastAsia" w:asciiTheme="minorEastAsia" w:hAnsiTheme="minorEastAsia" w:cstheme="minorEastAsia"/>
          <w:color w:val="auto"/>
          <w:sz w:val="28"/>
          <w:szCs w:val="28"/>
          <w:lang w:val="en-US" w:eastAsia="zh-CN"/>
        </w:rPr>
        <w:t>将</w:t>
      </w:r>
      <w:r>
        <w:rPr>
          <w:rFonts w:hint="eastAsia" w:asciiTheme="minorEastAsia" w:hAnsiTheme="minorEastAsia" w:eastAsiaTheme="minorEastAsia" w:cstheme="minorEastAsia"/>
          <w:color w:val="auto"/>
          <w:sz w:val="28"/>
          <w:szCs w:val="28"/>
        </w:rPr>
        <w:t>根据</w:t>
      </w:r>
      <w:r>
        <w:rPr>
          <w:rFonts w:hint="eastAsia" w:asciiTheme="minorEastAsia" w:hAnsiTheme="minorEastAsia" w:cstheme="minorEastAsia"/>
          <w:color w:val="auto"/>
          <w:sz w:val="28"/>
          <w:szCs w:val="28"/>
          <w:lang w:val="en-US" w:eastAsia="zh-CN"/>
        </w:rPr>
        <w:t>债务人</w:t>
      </w:r>
      <w:r>
        <w:rPr>
          <w:rFonts w:hint="eastAsia" w:asciiTheme="minorEastAsia" w:hAnsiTheme="minorEastAsia" w:eastAsiaTheme="minorEastAsia" w:cstheme="minorEastAsia"/>
          <w:color w:val="auto"/>
          <w:sz w:val="28"/>
          <w:szCs w:val="28"/>
        </w:rPr>
        <w:t>情况</w:t>
      </w:r>
      <w:r>
        <w:rPr>
          <w:rFonts w:hint="eastAsia" w:asciiTheme="minorEastAsia" w:hAnsiTheme="minorEastAsia" w:cstheme="minorEastAsia"/>
          <w:color w:val="auto"/>
          <w:sz w:val="28"/>
          <w:szCs w:val="28"/>
          <w:lang w:val="en-US" w:eastAsia="zh-CN"/>
        </w:rPr>
        <w:t>适时</w:t>
      </w:r>
      <w:r>
        <w:rPr>
          <w:rFonts w:hint="eastAsia" w:asciiTheme="minorEastAsia" w:hAnsiTheme="minorEastAsia" w:eastAsiaTheme="minorEastAsia" w:cstheme="minorEastAsia"/>
          <w:color w:val="auto"/>
          <w:sz w:val="28"/>
          <w:szCs w:val="28"/>
        </w:rPr>
        <w:t>支付。</w:t>
      </w:r>
      <w:r>
        <w:rPr>
          <w:rFonts w:hint="eastAsia" w:asciiTheme="minorEastAsia" w:hAnsiTheme="minorEastAsia" w:cstheme="minorEastAsia"/>
          <w:color w:val="auto"/>
          <w:sz w:val="28"/>
          <w:szCs w:val="28"/>
          <w:lang w:val="en-US" w:eastAsia="zh-CN"/>
        </w:rPr>
        <w:t>另紫金阳公司</w:t>
      </w:r>
      <w:r>
        <w:rPr>
          <w:rFonts w:hint="eastAsia" w:asciiTheme="minorEastAsia" w:hAnsiTheme="minorEastAsia" w:cstheme="minorEastAsia"/>
          <w:color w:val="auto"/>
          <w:sz w:val="28"/>
          <w:szCs w:val="28"/>
          <w:lang w:eastAsia="zh-CN"/>
        </w:rPr>
        <w:t>现处于预重整阶段，待转入正式重整程序后，评估、审计费用依法作为破产费用支付，管理人将根据破产案件进展情况适时支付。</w:t>
      </w:r>
    </w:p>
    <w:p w14:paraId="2FC056AD">
      <w:pPr>
        <w:keepNext w:val="0"/>
        <w:keepLines w:val="0"/>
        <w:pageBreakBefore w:val="0"/>
        <w:widowControl w:val="0"/>
        <w:numPr>
          <w:ilvl w:val="0"/>
          <w:numId w:val="9"/>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因</w:t>
      </w:r>
      <w:r>
        <w:rPr>
          <w:rFonts w:hint="eastAsia" w:asciiTheme="minorEastAsia" w:hAnsiTheme="minorEastAsia" w:cstheme="minorEastAsia"/>
          <w:color w:val="auto"/>
          <w:sz w:val="28"/>
          <w:szCs w:val="28"/>
          <w:lang w:val="en-US" w:eastAsia="zh-CN"/>
        </w:rPr>
        <w:t>预重整</w:t>
      </w:r>
      <w:r>
        <w:rPr>
          <w:rFonts w:hint="eastAsia" w:asciiTheme="minorEastAsia" w:hAnsiTheme="minorEastAsia" w:eastAsiaTheme="minorEastAsia" w:cstheme="minorEastAsia"/>
          <w:color w:val="auto"/>
          <w:sz w:val="28"/>
          <w:szCs w:val="28"/>
        </w:rPr>
        <w:t>程序的进展，需对审计、评估工作内容及进行调整或因报告过期，需补充出具或重新出具报告的，不再额外增加费用。</w:t>
      </w:r>
    </w:p>
    <w:p w14:paraId="5A23BFA3">
      <w:pPr>
        <w:keepNext w:val="0"/>
        <w:keepLines w:val="0"/>
        <w:pageBreakBefore w:val="0"/>
        <w:widowControl w:val="0"/>
        <w:numPr>
          <w:ilvl w:val="0"/>
          <w:numId w:val="9"/>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本项目如发生破产程序转换的，管理人有权对工作内容及工作事项进行调整或要求出具新的审计、评估报告，不再额外增加费用。</w:t>
      </w:r>
    </w:p>
    <w:p w14:paraId="18156CFA">
      <w:pPr>
        <w:keepNext w:val="0"/>
        <w:keepLines w:val="0"/>
        <w:pageBreakBefore w:val="0"/>
        <w:widowControl w:val="0"/>
        <w:numPr>
          <w:ilvl w:val="0"/>
          <w:numId w:val="9"/>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中选机构未能按照规定时间完成工作的，或者所出具的报告存在漏项的，管理人有权相应调减费用。</w:t>
      </w:r>
    </w:p>
    <w:p w14:paraId="22C9AA4D">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选定方式</w:t>
      </w:r>
    </w:p>
    <w:p w14:paraId="4BDE9758">
      <w:pPr>
        <w:keepNext w:val="0"/>
        <w:keepLines w:val="0"/>
        <w:pageBreakBefore w:val="0"/>
        <w:widowControl w:val="0"/>
        <w:numPr>
          <w:ilvl w:val="0"/>
          <w:numId w:val="10"/>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评审方式管理人将在202</w:t>
      </w:r>
      <w:r>
        <w:rPr>
          <w:rFonts w:hint="eastAsia" w:asciiTheme="minorEastAsia" w:hAnsi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年</w:t>
      </w:r>
      <w:r>
        <w:rPr>
          <w:rFonts w:hint="eastAsia" w:asciiTheme="minorEastAsia" w:hAnsi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cstheme="minorEastAsia"/>
          <w:color w:val="auto"/>
          <w:sz w:val="28"/>
          <w:szCs w:val="28"/>
          <w:lang w:val="en-US" w:eastAsia="zh-CN"/>
        </w:rPr>
        <w:t>7</w:t>
      </w:r>
      <w:r>
        <w:rPr>
          <w:rFonts w:hint="eastAsia" w:asciiTheme="minorEastAsia" w:hAnsiTheme="minorEastAsia" w:eastAsiaTheme="minorEastAsia" w:cstheme="minorEastAsia"/>
          <w:color w:val="auto"/>
          <w:sz w:val="28"/>
          <w:szCs w:val="28"/>
        </w:rPr>
        <w:t>日下午14:00召开评审会议。管理人根据参选单位提交的参选文件，综合考虑各参选单位的资质、规模、经验、报价、服务方案等，分别确定一家中选审计机构、评估机构和一家备选审计机构、评估机构。</w:t>
      </w:r>
    </w:p>
    <w:p w14:paraId="045EF297">
      <w:pPr>
        <w:keepNext w:val="0"/>
        <w:keepLines w:val="0"/>
        <w:pageBreakBefore w:val="0"/>
        <w:widowControl w:val="0"/>
        <w:numPr>
          <w:ilvl w:val="0"/>
          <w:numId w:val="10"/>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评审标准</w:t>
      </w:r>
    </w:p>
    <w:p w14:paraId="5E94426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详见附件《</w:t>
      </w:r>
      <w:r>
        <w:rPr>
          <w:rFonts w:hint="eastAsia" w:asciiTheme="minorEastAsia" w:hAnsiTheme="minorEastAsia" w:cstheme="minorEastAsia"/>
          <w:sz w:val="28"/>
          <w:szCs w:val="28"/>
          <w:lang w:eastAsia="zh-CN"/>
        </w:rPr>
        <w:t>紫金阳</w:t>
      </w:r>
      <w:r>
        <w:rPr>
          <w:rFonts w:hint="eastAsia" w:asciiTheme="minorEastAsia" w:hAnsiTheme="minorEastAsia" w:eastAsiaTheme="minorEastAsia" w:cstheme="minorEastAsia"/>
          <w:sz w:val="28"/>
          <w:szCs w:val="28"/>
        </w:rPr>
        <w:t>公司</w:t>
      </w:r>
      <w:r>
        <w:rPr>
          <w:rFonts w:hint="eastAsia" w:asciiTheme="minorEastAsia" w:hAnsiTheme="minorEastAsia" w:cstheme="minorEastAsia"/>
          <w:sz w:val="28"/>
          <w:szCs w:val="28"/>
          <w:lang w:val="en-US" w:eastAsia="zh-CN"/>
        </w:rPr>
        <w:t>预</w:t>
      </w:r>
      <w:r>
        <w:rPr>
          <w:rFonts w:hint="eastAsia" w:asciiTheme="minorEastAsia" w:hAnsiTheme="minorEastAsia" w:eastAsiaTheme="minorEastAsia" w:cstheme="minorEastAsia"/>
          <w:sz w:val="28"/>
          <w:szCs w:val="28"/>
        </w:rPr>
        <w:t>重整案选任审计机构、评估机构评分标准》</w:t>
      </w:r>
    </w:p>
    <w:p w14:paraId="1FFB4B2C">
      <w:pPr>
        <w:keepNext w:val="0"/>
        <w:keepLines w:val="0"/>
        <w:pageBreakBefore w:val="0"/>
        <w:widowControl w:val="0"/>
        <w:numPr>
          <w:ilvl w:val="0"/>
          <w:numId w:val="10"/>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确定选聘结果</w:t>
      </w:r>
    </w:p>
    <w:p w14:paraId="7A04BD9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每名评委都会形成对报名机构的最终打分 (即该评委对报名机构的基础分数与综合分数之和) ，报名机构的最终得分根据所有评委对该报名机构的最终打分计算算术平均数形成。</w:t>
      </w:r>
    </w:p>
    <w:p w14:paraId="2E755D7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人将根据各家机构的最终得分高低，从参选评估机构中选取一家得分最高的机构作为中选机构，得分第二高的机构作为备选机构。管理人将于2个工作日内通过电话或邮件的形式通知中选机构和备选机构，未得到通知的报名机构，则为未中选。如只有一家参选单位报名，则管理人不再重新组织评选，直接确定其为中选机构并签订委托合同。</w:t>
      </w:r>
    </w:p>
    <w:p w14:paraId="28B0F67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人将与中选机构签署具体的委托协议书，进一步明确双方的权利义务内容，包括但不限于工作范围、工作要求、违约情形、违约责任，以及管理人的单方解除权等。比如，中选机构无法按时、按质、按量出具评估以及管理人要求的其他报告，或者出现无法继续开展审计、评估工作的情形时，管理人有权单方解除与中选机构的委托协议，并聘请备选机构开展评估工作。</w:t>
      </w:r>
    </w:p>
    <w:p w14:paraId="7BE323A1">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420" w:firstLineChars="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其他注意事项</w:t>
      </w:r>
    </w:p>
    <w:p w14:paraId="3FCBC989">
      <w:pPr>
        <w:keepNext w:val="0"/>
        <w:keepLines w:val="0"/>
        <w:pageBreakBefore w:val="0"/>
        <w:widowControl w:val="0"/>
        <w:numPr>
          <w:ilvl w:val="0"/>
          <w:numId w:val="11"/>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一旦被选定，审计、评估机构应当自选定之日起2日内派驻符合报名文件中所承诺的相关专业人员驻场开展工作。</w:t>
      </w:r>
    </w:p>
    <w:p w14:paraId="5F120DC8">
      <w:pPr>
        <w:keepNext w:val="0"/>
        <w:keepLines w:val="0"/>
        <w:pageBreakBefore w:val="0"/>
        <w:widowControl w:val="0"/>
        <w:numPr>
          <w:ilvl w:val="0"/>
          <w:numId w:val="11"/>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参选单位向管理人递交报名材料，即视为同意本公告一切条款。</w:t>
      </w:r>
    </w:p>
    <w:p w14:paraId="035B965D">
      <w:pPr>
        <w:keepNext w:val="0"/>
        <w:keepLines w:val="0"/>
        <w:pageBreakBefore w:val="0"/>
        <w:widowControl w:val="0"/>
        <w:numPr>
          <w:ilvl w:val="0"/>
          <w:numId w:val="11"/>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对于报名未入选的参选单位</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不再另行通知，报名材料不予退还。</w:t>
      </w:r>
    </w:p>
    <w:p w14:paraId="4D37CE7D">
      <w:pPr>
        <w:keepNext w:val="0"/>
        <w:keepLines w:val="0"/>
        <w:pageBreakBefore w:val="0"/>
        <w:widowControl w:val="0"/>
        <w:numPr>
          <w:ilvl w:val="0"/>
          <w:numId w:val="11"/>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管理人保留因情况变化撤回本选聘公告的权利。</w:t>
      </w:r>
    </w:p>
    <w:p w14:paraId="6A2B30DC">
      <w:pPr>
        <w:keepNext w:val="0"/>
        <w:keepLines w:val="0"/>
        <w:pageBreakBefore w:val="0"/>
        <w:widowControl w:val="0"/>
        <w:numPr>
          <w:ilvl w:val="0"/>
          <w:numId w:val="11"/>
        </w:numPr>
        <w:kinsoku/>
        <w:wordWrap/>
        <w:overflowPunct/>
        <w:topLinePunct w:val="0"/>
        <w:autoSpaceDE/>
        <w:autoSpaceDN/>
        <w:bidi w:val="0"/>
        <w:adjustRightInd/>
        <w:snapToGrid/>
        <w:spacing w:line="440" w:lineRule="exact"/>
        <w:ind w:left="0" w:leftChars="0" w:firstLine="42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本公告的最终解释权归管理人所有。</w:t>
      </w:r>
    </w:p>
    <w:p w14:paraId="48C146D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管理人联系人：汤律师，</w:t>
      </w:r>
      <w:r>
        <w:rPr>
          <w:rFonts w:hint="eastAsia" w:asciiTheme="minorEastAsia" w:hAnsiTheme="minorEastAsia" w:eastAsiaTheme="minorEastAsia" w:cstheme="minorEastAsia"/>
          <w:sz w:val="28"/>
          <w:szCs w:val="28"/>
        </w:rPr>
        <w:t>15345718682</w:t>
      </w:r>
    </w:p>
    <w:p w14:paraId="63B67B5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sz w:val="28"/>
          <w:szCs w:val="28"/>
        </w:rPr>
      </w:pPr>
    </w:p>
    <w:p w14:paraId="120EBF0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安徽省宁国市紫金阳生物科技有限公司</w:t>
      </w:r>
      <w:r>
        <w:rPr>
          <w:rFonts w:hint="eastAsia" w:asciiTheme="minorEastAsia" w:hAnsiTheme="minorEastAsia" w:eastAsiaTheme="minorEastAsia" w:cstheme="minorEastAsia"/>
          <w:sz w:val="28"/>
          <w:szCs w:val="28"/>
          <w:lang w:val="en-US" w:eastAsia="zh-CN"/>
        </w:rPr>
        <w:t>管理人</w:t>
      </w:r>
    </w:p>
    <w:p w14:paraId="583D6726">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二〇二</w:t>
      </w:r>
      <w:r>
        <w:rPr>
          <w:rFonts w:hint="eastAsia" w:asciiTheme="minorEastAsia" w:hAnsiTheme="minorEastAsia" w:cstheme="minorEastAsia"/>
          <w:sz w:val="28"/>
          <w:szCs w:val="28"/>
          <w:lang w:val="en-US" w:eastAsia="zh-CN"/>
        </w:rPr>
        <w:t>五</w:t>
      </w:r>
      <w:r>
        <w:rPr>
          <w:rFonts w:hint="eastAsia" w:asciiTheme="minorEastAsia" w:hAnsiTheme="minorEastAsia" w:eastAsiaTheme="minorEastAsia" w:cstheme="minorEastAsia"/>
          <w:sz w:val="28"/>
          <w:szCs w:val="28"/>
          <w:lang w:val="en-US" w:eastAsia="zh-CN"/>
        </w:rPr>
        <w:t>年</w:t>
      </w:r>
      <w:r>
        <w:rPr>
          <w:rFonts w:hint="eastAsia" w:asciiTheme="minorEastAsia" w:hAnsiTheme="minorEastAsia" w:cstheme="minorEastAsia"/>
          <w:sz w:val="28"/>
          <w:szCs w:val="28"/>
          <w:lang w:val="en-US" w:eastAsia="zh-CN"/>
        </w:rPr>
        <w:t>三</w:t>
      </w:r>
      <w:r>
        <w:rPr>
          <w:rFonts w:hint="eastAsia" w:asciiTheme="minorEastAsia" w:hAnsiTheme="minorEastAsia" w:eastAsiaTheme="minorEastAsia" w:cstheme="minorEastAsia"/>
          <w:sz w:val="28"/>
          <w:szCs w:val="28"/>
          <w:lang w:val="en-US" w:eastAsia="zh-CN"/>
        </w:rPr>
        <w:t>月</w:t>
      </w:r>
      <w:r>
        <w:rPr>
          <w:rFonts w:hint="eastAsia" w:asciiTheme="minorEastAsia" w:hAnsiTheme="minorEastAsia" w:cstheme="minorEastAsia"/>
          <w:sz w:val="28"/>
          <w:szCs w:val="28"/>
          <w:lang w:val="en-US" w:eastAsia="zh-CN"/>
        </w:rPr>
        <w:t>十二</w:t>
      </w:r>
      <w:r>
        <w:rPr>
          <w:rFonts w:hint="eastAsia" w:asciiTheme="minorEastAsia" w:hAnsiTheme="minorEastAsia" w:eastAsiaTheme="minorEastAsia" w:cstheme="minorEastAsia"/>
          <w:sz w:val="28"/>
          <w:szCs w:val="28"/>
          <w:lang w:val="en-US" w:eastAsia="zh-CN"/>
        </w:rPr>
        <w:t>日</w:t>
      </w:r>
    </w:p>
    <w:p w14:paraId="41AC26A0">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auto"/>
        <w:rPr>
          <w:rFonts w:hint="eastAsia" w:asciiTheme="minorEastAsia" w:hAnsiTheme="minorEastAsia" w:eastAsiaTheme="minorEastAsia" w:cstheme="minorEastAsia"/>
          <w:sz w:val="28"/>
          <w:szCs w:val="28"/>
          <w:lang w:val="en-US" w:eastAsia="zh-CN"/>
        </w:rPr>
      </w:pPr>
    </w:p>
    <w:p w14:paraId="649771C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附件：《紫金阳公司预重整案选任审计机构、评估机构评分标准》</w:t>
      </w:r>
    </w:p>
    <w:p w14:paraId="63629F6F">
      <w:pPr>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br w:type="page"/>
      </w:r>
    </w:p>
    <w:p w14:paraId="14CF5692">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紫金阳公司预重整案选任审计机构、评估机构评分标准</w:t>
      </w:r>
    </w:p>
    <w:p w14:paraId="76C1312B">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sz w:val="32"/>
          <w:szCs w:val="32"/>
          <w:lang w:val="en-US" w:eastAsia="zh-CN"/>
        </w:rPr>
      </w:pPr>
    </w:p>
    <w:tbl>
      <w:tblPr>
        <w:tblStyle w:val="4"/>
        <w:tblW w:w="97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0"/>
        <w:gridCol w:w="1830"/>
        <w:gridCol w:w="2410"/>
        <w:gridCol w:w="4490"/>
      </w:tblGrid>
      <w:tr w14:paraId="5156E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A507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2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9D6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评分项</w:t>
            </w:r>
          </w:p>
        </w:tc>
        <w:tc>
          <w:tcPr>
            <w:tcW w:w="4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4CA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评分标准</w:t>
            </w:r>
          </w:p>
        </w:tc>
      </w:tr>
      <w:tr w14:paraId="2C7A0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45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5AB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机构规模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（20分）</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3D2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机构年限（10分）</w:t>
            </w:r>
          </w:p>
        </w:tc>
        <w:tc>
          <w:tcPr>
            <w:tcW w:w="4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38A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成立3年以下的不得分，成立3年以上的得3分。成立5年以上的得5分。成立10年以上的得10分。</w:t>
            </w:r>
          </w:p>
        </w:tc>
      </w:tr>
      <w:tr w14:paraId="3DB1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B131">
            <w:pPr>
              <w:jc w:val="center"/>
              <w:rPr>
                <w:rFonts w:hint="eastAsia" w:ascii="宋体" w:hAnsi="宋体" w:eastAsia="宋体" w:cs="宋体"/>
                <w:i w:val="0"/>
                <w:iCs w:val="0"/>
                <w:color w:val="000000"/>
                <w:sz w:val="22"/>
                <w:szCs w:val="22"/>
                <w:u w:val="none"/>
              </w:rPr>
            </w:pPr>
          </w:p>
        </w:tc>
        <w:tc>
          <w:tcPr>
            <w:tcW w:w="1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D7EF9">
            <w:pPr>
              <w:jc w:val="center"/>
              <w:rPr>
                <w:rFonts w:hint="eastAsia" w:ascii="宋体" w:hAnsi="宋体" w:eastAsia="宋体" w:cs="宋体"/>
                <w:i w:val="0"/>
                <w:iCs w:val="0"/>
                <w:color w:val="000000"/>
                <w:sz w:val="22"/>
                <w:szCs w:val="22"/>
                <w:u w:val="none"/>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5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机构人数（10分）</w:t>
            </w:r>
          </w:p>
        </w:tc>
        <w:tc>
          <w:tcPr>
            <w:tcW w:w="4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BF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机构注册会计师/评估师5人以下得1分，5(含) -10人得5分，10(含) 人以上得10分。</w:t>
            </w:r>
          </w:p>
        </w:tc>
      </w:tr>
      <w:tr w14:paraId="33D3F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7F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A92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机构业绩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（20分）</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30A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机构业绩（10分）</w:t>
            </w:r>
          </w:p>
        </w:tc>
        <w:tc>
          <w:tcPr>
            <w:tcW w:w="4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F7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2020年1月1日以来承办过法院、管理人委托的审计/评估项目。每1个得1分，最高不超过10分。</w:t>
            </w:r>
          </w:p>
        </w:tc>
      </w:tr>
      <w:tr w14:paraId="464EE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2CDFA">
            <w:pPr>
              <w:jc w:val="center"/>
              <w:rPr>
                <w:rFonts w:hint="eastAsia" w:ascii="宋体" w:hAnsi="宋体" w:eastAsia="宋体" w:cs="宋体"/>
                <w:i w:val="0"/>
                <w:iCs w:val="0"/>
                <w:color w:val="000000"/>
                <w:sz w:val="22"/>
                <w:szCs w:val="22"/>
                <w:u w:val="none"/>
              </w:rPr>
            </w:pPr>
          </w:p>
        </w:tc>
        <w:tc>
          <w:tcPr>
            <w:tcW w:w="1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DBD22A">
            <w:pPr>
              <w:jc w:val="center"/>
              <w:rPr>
                <w:rFonts w:hint="eastAsia" w:ascii="宋体" w:hAnsi="宋体" w:eastAsia="宋体" w:cs="宋体"/>
                <w:i w:val="0"/>
                <w:iCs w:val="0"/>
                <w:color w:val="000000"/>
                <w:sz w:val="22"/>
                <w:szCs w:val="22"/>
                <w:u w:val="none"/>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05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项目负责人业绩（5分）</w:t>
            </w:r>
          </w:p>
        </w:tc>
        <w:tc>
          <w:tcPr>
            <w:tcW w:w="4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94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委派项目负责人2020年1月1日以来承办过法院、管理人委托的审计/评估项目,每1个得1分，最高不超过5分。</w:t>
            </w:r>
          </w:p>
        </w:tc>
      </w:tr>
      <w:tr w14:paraId="3EBB9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AA543">
            <w:pPr>
              <w:jc w:val="center"/>
              <w:rPr>
                <w:rFonts w:hint="eastAsia" w:ascii="宋体" w:hAnsi="宋体" w:eastAsia="宋体" w:cs="宋体"/>
                <w:i w:val="0"/>
                <w:iCs w:val="0"/>
                <w:color w:val="000000"/>
                <w:sz w:val="22"/>
                <w:szCs w:val="22"/>
                <w:u w:val="none"/>
              </w:rPr>
            </w:pPr>
          </w:p>
        </w:tc>
        <w:tc>
          <w:tcPr>
            <w:tcW w:w="1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F0E9A">
            <w:pPr>
              <w:jc w:val="center"/>
              <w:rPr>
                <w:rFonts w:hint="eastAsia" w:ascii="宋体" w:hAnsi="宋体" w:eastAsia="宋体" w:cs="宋体"/>
                <w:i w:val="0"/>
                <w:iCs w:val="0"/>
                <w:color w:val="000000"/>
                <w:sz w:val="22"/>
                <w:szCs w:val="22"/>
                <w:u w:val="none"/>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A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类似工作经验（5分）</w:t>
            </w:r>
          </w:p>
        </w:tc>
        <w:tc>
          <w:tcPr>
            <w:tcW w:w="4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4A4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2020年1月1日以来承办过法院、管理人委托的房地产企业破产审计/评估项目。每1个得1分，最高不超过5分。</w:t>
            </w:r>
          </w:p>
        </w:tc>
      </w:tr>
      <w:tr w14:paraId="4037F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BF5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7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拟派驻团队的规模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（10分）</w:t>
            </w:r>
          </w:p>
        </w:tc>
        <w:tc>
          <w:tcPr>
            <w:tcW w:w="6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A8E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能承诺派驻 (需在管理人办公地点进行办公) 注册会计师/评估师2人以下得5分，2(含) -5人得7分，5(含) 人以上得10分。</w:t>
            </w:r>
          </w:p>
        </w:tc>
      </w:tr>
      <w:tr w14:paraId="3A23D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E4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A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（30分）</w:t>
            </w:r>
          </w:p>
        </w:tc>
        <w:tc>
          <w:tcPr>
            <w:tcW w:w="6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C5B5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方案内容设计全面、完善、合理、具有可实施性，方案内容应包含: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1.委派项目人员与本项目审计/评估工作的匹配程度，最高不超过10分；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2.审计/评估工作时间安排合理、及时高效且全面，有明确具体的工作计划，最高不超过10分；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3.对审计/评估过程中可能面临的困难和问题有初步的认识和相应的措施等，最高不超过10分。</w:t>
            </w:r>
          </w:p>
        </w:tc>
      </w:tr>
      <w:tr w14:paraId="196D7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19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54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（20分）</w:t>
            </w:r>
          </w:p>
        </w:tc>
        <w:tc>
          <w:tcPr>
            <w:tcW w:w="6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268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投标报价得分= (基准价/投标报价)*20，最高不超过20分。注: 若有效投标人数少于4个 (含) 时，基准价为所有有效的投标报价算术平均值。当有效的投标人数大于4个 (不含) 时，基准价为去掉最高价和最低价的算术平均值。</w:t>
            </w:r>
          </w:p>
        </w:tc>
      </w:tr>
    </w:tbl>
    <w:p w14:paraId="274BB223">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Theme="minorEastAsia" w:hAnsiTheme="minorEastAsia" w:cstheme="minorEastAsia"/>
          <w:sz w:val="28"/>
          <w:szCs w:val="28"/>
          <w:lang w:val="en-US" w:eastAsia="zh-CN"/>
        </w:rPr>
      </w:pPr>
    </w:p>
    <w:p w14:paraId="2746F908">
      <w:pPr>
        <w:ind w:firstLine="560" w:firstLineChars="200"/>
        <w:rPr>
          <w:rFonts w:hint="eastAsia" w:asciiTheme="minorEastAsia" w:hAnsiTheme="minorEastAsia" w:eastAsiaTheme="minorEastAsia" w:cstheme="minorEastAsia"/>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79FD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EACE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BEEACE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4536C"/>
    <w:multiLevelType w:val="singleLevel"/>
    <w:tmpl w:val="8324536C"/>
    <w:lvl w:ilvl="0" w:tentative="0">
      <w:start w:val="1"/>
      <w:numFmt w:val="chineseCounting"/>
      <w:suff w:val="nothing"/>
      <w:lvlText w:val="（%1）"/>
      <w:lvlJc w:val="left"/>
      <w:pPr>
        <w:ind w:left="0" w:firstLine="420"/>
      </w:pPr>
      <w:rPr>
        <w:rFonts w:hint="eastAsia"/>
      </w:rPr>
    </w:lvl>
  </w:abstractNum>
  <w:abstractNum w:abstractNumId="1">
    <w:nsid w:val="95CABC8C"/>
    <w:multiLevelType w:val="singleLevel"/>
    <w:tmpl w:val="95CABC8C"/>
    <w:lvl w:ilvl="0" w:tentative="0">
      <w:start w:val="1"/>
      <w:numFmt w:val="decimal"/>
      <w:lvlText w:val="%1."/>
      <w:lvlJc w:val="left"/>
      <w:pPr>
        <w:ind w:left="425" w:hanging="425"/>
      </w:pPr>
      <w:rPr>
        <w:rFonts w:hint="default"/>
      </w:rPr>
    </w:lvl>
  </w:abstractNum>
  <w:abstractNum w:abstractNumId="2">
    <w:nsid w:val="A8B44CD9"/>
    <w:multiLevelType w:val="singleLevel"/>
    <w:tmpl w:val="A8B44CD9"/>
    <w:lvl w:ilvl="0" w:tentative="0">
      <w:start w:val="1"/>
      <w:numFmt w:val="chineseCounting"/>
      <w:suff w:val="nothing"/>
      <w:lvlText w:val="（%1）"/>
      <w:lvlJc w:val="left"/>
      <w:pPr>
        <w:ind w:left="0" w:firstLine="420"/>
      </w:pPr>
      <w:rPr>
        <w:rFonts w:hint="eastAsia"/>
      </w:rPr>
    </w:lvl>
  </w:abstractNum>
  <w:abstractNum w:abstractNumId="3">
    <w:nsid w:val="C3B4AEF6"/>
    <w:multiLevelType w:val="singleLevel"/>
    <w:tmpl w:val="C3B4AEF6"/>
    <w:lvl w:ilvl="0" w:tentative="0">
      <w:start w:val="1"/>
      <w:numFmt w:val="chineseCounting"/>
      <w:suff w:val="nothing"/>
      <w:lvlText w:val="（%1）"/>
      <w:lvlJc w:val="left"/>
      <w:pPr>
        <w:ind w:left="0" w:firstLine="420"/>
      </w:pPr>
      <w:rPr>
        <w:rFonts w:hint="eastAsia"/>
      </w:rPr>
    </w:lvl>
  </w:abstractNum>
  <w:abstractNum w:abstractNumId="4">
    <w:nsid w:val="DD06C9AA"/>
    <w:multiLevelType w:val="singleLevel"/>
    <w:tmpl w:val="DD06C9AA"/>
    <w:lvl w:ilvl="0" w:tentative="0">
      <w:start w:val="1"/>
      <w:numFmt w:val="decimal"/>
      <w:lvlText w:val="%1."/>
      <w:lvlJc w:val="left"/>
      <w:pPr>
        <w:ind w:left="425" w:hanging="425"/>
      </w:pPr>
      <w:rPr>
        <w:rFonts w:hint="default"/>
      </w:rPr>
    </w:lvl>
  </w:abstractNum>
  <w:abstractNum w:abstractNumId="5">
    <w:nsid w:val="EA3534B8"/>
    <w:multiLevelType w:val="singleLevel"/>
    <w:tmpl w:val="EA3534B8"/>
    <w:lvl w:ilvl="0" w:tentative="0">
      <w:start w:val="1"/>
      <w:numFmt w:val="chineseCounting"/>
      <w:suff w:val="nothing"/>
      <w:lvlText w:val="（%1）"/>
      <w:lvlJc w:val="left"/>
      <w:pPr>
        <w:ind w:left="0" w:firstLine="420"/>
      </w:pPr>
      <w:rPr>
        <w:rFonts w:hint="eastAsia"/>
      </w:rPr>
    </w:lvl>
  </w:abstractNum>
  <w:abstractNum w:abstractNumId="6">
    <w:nsid w:val="F0302CF1"/>
    <w:multiLevelType w:val="singleLevel"/>
    <w:tmpl w:val="F0302CF1"/>
    <w:lvl w:ilvl="0" w:tentative="0">
      <w:start w:val="1"/>
      <w:numFmt w:val="chineseCounting"/>
      <w:suff w:val="nothing"/>
      <w:lvlText w:val="%1、"/>
      <w:lvlJc w:val="left"/>
      <w:pPr>
        <w:ind w:left="0" w:firstLine="420"/>
      </w:pPr>
      <w:rPr>
        <w:rFonts w:hint="eastAsia"/>
      </w:rPr>
    </w:lvl>
  </w:abstractNum>
  <w:abstractNum w:abstractNumId="7">
    <w:nsid w:val="FC680681"/>
    <w:multiLevelType w:val="singleLevel"/>
    <w:tmpl w:val="FC680681"/>
    <w:lvl w:ilvl="0" w:tentative="0">
      <w:start w:val="1"/>
      <w:numFmt w:val="decimal"/>
      <w:lvlText w:val="%1."/>
      <w:lvlJc w:val="left"/>
      <w:pPr>
        <w:ind w:left="425" w:hanging="425"/>
      </w:pPr>
      <w:rPr>
        <w:rFonts w:hint="default"/>
      </w:rPr>
    </w:lvl>
  </w:abstractNum>
  <w:abstractNum w:abstractNumId="8">
    <w:nsid w:val="305B64E9"/>
    <w:multiLevelType w:val="singleLevel"/>
    <w:tmpl w:val="305B64E9"/>
    <w:lvl w:ilvl="0" w:tentative="0">
      <w:start w:val="1"/>
      <w:numFmt w:val="decimal"/>
      <w:lvlText w:val="%1."/>
      <w:lvlJc w:val="left"/>
      <w:pPr>
        <w:ind w:left="425" w:hanging="425"/>
      </w:pPr>
      <w:rPr>
        <w:rFonts w:hint="default"/>
      </w:rPr>
    </w:lvl>
  </w:abstractNum>
  <w:abstractNum w:abstractNumId="9">
    <w:nsid w:val="34CC62C1"/>
    <w:multiLevelType w:val="singleLevel"/>
    <w:tmpl w:val="34CC62C1"/>
    <w:lvl w:ilvl="0" w:tentative="0">
      <w:start w:val="1"/>
      <w:numFmt w:val="chineseCounting"/>
      <w:suff w:val="nothing"/>
      <w:lvlText w:val="（%1）"/>
      <w:lvlJc w:val="left"/>
      <w:pPr>
        <w:ind w:left="0" w:firstLine="420"/>
      </w:pPr>
      <w:rPr>
        <w:rFonts w:hint="eastAsia"/>
      </w:rPr>
    </w:lvl>
  </w:abstractNum>
  <w:abstractNum w:abstractNumId="10">
    <w:nsid w:val="619ECFC2"/>
    <w:multiLevelType w:val="singleLevel"/>
    <w:tmpl w:val="619ECFC2"/>
    <w:lvl w:ilvl="0" w:tentative="0">
      <w:start w:val="1"/>
      <w:numFmt w:val="chineseCounting"/>
      <w:suff w:val="nothing"/>
      <w:lvlText w:val="（%1）"/>
      <w:lvlJc w:val="left"/>
      <w:pPr>
        <w:ind w:left="0" w:firstLine="420"/>
      </w:pPr>
      <w:rPr>
        <w:rFonts w:hint="eastAsia"/>
      </w:rPr>
    </w:lvl>
  </w:abstractNum>
  <w:num w:numId="1">
    <w:abstractNumId w:val="6"/>
  </w:num>
  <w:num w:numId="2">
    <w:abstractNumId w:val="2"/>
  </w:num>
  <w:num w:numId="3">
    <w:abstractNumId w:val="4"/>
  </w:num>
  <w:num w:numId="4">
    <w:abstractNumId w:val="1"/>
  </w:num>
  <w:num w:numId="5">
    <w:abstractNumId w:val="8"/>
  </w:num>
  <w:num w:numId="6">
    <w:abstractNumId w:val="5"/>
  </w:num>
  <w:num w:numId="7">
    <w:abstractNumId w:val="9"/>
  </w:num>
  <w:num w:numId="8">
    <w:abstractNumId w:val="7"/>
  </w:num>
  <w:num w:numId="9">
    <w:abstractNumId w:val="0"/>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00000000"/>
    <w:rsid w:val="234F42B2"/>
    <w:rsid w:val="263B2F3C"/>
    <w:rsid w:val="33340F45"/>
    <w:rsid w:val="358D34D4"/>
    <w:rsid w:val="361A30E2"/>
    <w:rsid w:val="3A856654"/>
    <w:rsid w:val="4B0A39D3"/>
    <w:rsid w:val="56724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4088</Words>
  <Characters>4225</Characters>
  <Lines>0</Lines>
  <Paragraphs>0</Paragraphs>
  <TotalTime>10</TotalTime>
  <ScaleCrop>false</ScaleCrop>
  <LinksUpToDate>false</LinksUpToDate>
  <CharactersWithSpaces>4250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2023-08-09T03:24:00Z</dcterms:created>
  <dc:creator>dell</dc:creator>
  <cp:lastModifiedBy>白马探花Ohyes！</cp:lastModifiedBy>
  <dcterms:modified xsi:type="dcterms:W3CDTF">2025-03-12T09:00:11Z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7E42FD0B133F45A596921165EA108C10_12</vt:lpwstr>
  </property>
  <property fmtid="{D5CDD505-2E9C-101B-9397-08002B2CF9AE}" pid="4" name="KSOTemplateDocerSaveRecord">
    <vt:lpwstr>eyJoZGlkIjoiNjYzODNjMGI2OGMwMmM2YzkyODdiNmY1OTY5ZGEzZmEiLCJ1c2VySWQiOiIyNzkxODcyOTQifQ==</vt:lpwstr>
  </property>
</Properties>
</file>