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29AF84">
      <w:pPr>
        <w:spacing w:line="700" w:lineRule="exact"/>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关于嘉峪关溥源置业有限责任公司破产重整案</w:t>
      </w:r>
    </w:p>
    <w:p w14:paraId="3BE71832">
      <w:pPr>
        <w:spacing w:line="70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36"/>
          <w:szCs w:val="36"/>
        </w:rPr>
        <w:t>选聘</w:t>
      </w:r>
      <w:r>
        <w:rPr>
          <w:rFonts w:hint="eastAsia" w:ascii="方正小标宋简体" w:hAnsi="方正小标宋简体" w:eastAsia="方正小标宋简体" w:cs="方正小标宋简体"/>
          <w:sz w:val="36"/>
          <w:szCs w:val="36"/>
          <w:lang w:val="en-US" w:eastAsia="zh-CN"/>
        </w:rPr>
        <w:t>财</w:t>
      </w:r>
      <w:r>
        <w:rPr>
          <w:rFonts w:hint="eastAsia" w:ascii="方正小标宋简体" w:hAnsi="方正小标宋简体" w:eastAsia="方正小标宋简体" w:cs="方正小标宋简体"/>
          <w:sz w:val="36"/>
          <w:szCs w:val="36"/>
        </w:rPr>
        <w:t>税服务机构的公告</w:t>
      </w:r>
    </w:p>
    <w:p w14:paraId="2B98103B">
      <w:pPr>
        <w:ind w:firstLine="640" w:firstLineChars="200"/>
        <w:rPr>
          <w:rFonts w:ascii="Times New Roman" w:hAnsi="Times New Roman" w:eastAsia="仿宋_GB2312" w:cs="仿宋_GB2312"/>
          <w:sz w:val="32"/>
          <w:szCs w:val="32"/>
        </w:rPr>
      </w:pPr>
    </w:p>
    <w:p w14:paraId="4DB63309">
      <w:pPr>
        <w:rPr>
          <w:rFonts w:ascii="Times New Roman" w:hAnsi="Times New Roman" w:eastAsia="仿宋_GB2312" w:cs="仿宋_GB2312"/>
          <w:sz w:val="32"/>
          <w:szCs w:val="32"/>
        </w:rPr>
      </w:pPr>
      <w:bookmarkStart w:id="0" w:name="_Hlk193480069"/>
      <w:r>
        <w:rPr>
          <w:rFonts w:hint="eastAsia" w:ascii="Times New Roman" w:hAnsi="Times New Roman" w:eastAsia="仿宋_GB2312" w:cs="仿宋_GB2312"/>
          <w:sz w:val="32"/>
          <w:szCs w:val="32"/>
        </w:rPr>
        <w:t>　　嘉峪关市中级人民法院</w:t>
      </w:r>
      <w:bookmarkEnd w:id="0"/>
      <w:r>
        <w:rPr>
          <w:rFonts w:hint="eastAsia" w:ascii="Times New Roman" w:hAnsi="Times New Roman" w:eastAsia="仿宋_GB2312" w:cs="仿宋_GB2312"/>
          <w:sz w:val="32"/>
          <w:szCs w:val="32"/>
        </w:rPr>
        <w:t>于2023年12月14日作出（2023）甘02破申2号民事裁定，受理浙江省东阳第三建筑工程有限公司对嘉峪关溥源置业有限责任公司（以下简称溥源公司）的破产重整申请，并于2023年12月18日作出（2023）甘02破1号决定书，指定甘肃资产管理有限公司担任管理人（以下简称管理人）。2024年7月16日，嘉峪关市中级人民法院作出（2023）甘02破1号民事裁定书，依法裁定批准溥源公司重整计划并终止溥源公司重整程序，后续由管理人负责执行重整计划。</w:t>
      </w:r>
    </w:p>
    <w:p w14:paraId="149C1855">
      <w:pPr>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rPr>
        <w:t>为推进溥源公司重整计划执行，维持溥源公司依法合规经营，维护保障债权人权益，根据《中华人民共和国企业破产法》的相关规定，管理人现公开选聘</w:t>
      </w:r>
      <w:r>
        <w:rPr>
          <w:rFonts w:hint="eastAsia" w:ascii="Times New Roman" w:hAnsi="Times New Roman" w:eastAsia="仿宋_GB2312" w:cs="仿宋_GB2312"/>
          <w:sz w:val="32"/>
          <w:szCs w:val="32"/>
          <w:lang w:val="en-US" w:eastAsia="zh-CN"/>
        </w:rPr>
        <w:t>财税</w:t>
      </w:r>
      <w:r>
        <w:rPr>
          <w:rFonts w:hint="eastAsia" w:ascii="Times New Roman" w:hAnsi="Times New Roman" w:eastAsia="仿宋_GB2312" w:cs="仿宋_GB2312"/>
          <w:sz w:val="32"/>
          <w:szCs w:val="32"/>
        </w:rPr>
        <w:t>服务机构。具体公告如下：</w:t>
      </w:r>
    </w:p>
    <w:p w14:paraId="435E443A">
      <w:pPr>
        <w:rPr>
          <w:rFonts w:hint="eastAsia" w:ascii="黑体" w:hAnsi="黑体" w:eastAsia="黑体" w:cs="黑体"/>
          <w:sz w:val="32"/>
          <w:szCs w:val="32"/>
        </w:rPr>
      </w:pPr>
      <w:r>
        <w:rPr>
          <w:rFonts w:hint="eastAsia" w:ascii="黑体" w:hAnsi="黑体" w:eastAsia="黑体" w:cs="黑体"/>
          <w:sz w:val="32"/>
          <w:szCs w:val="32"/>
        </w:rPr>
        <w:t>　　一、项目简要情况</w:t>
      </w:r>
    </w:p>
    <w:p w14:paraId="095A3288">
      <w:pPr>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溥源公司成立于2010年12月29日，注册地址：甘肃省嘉峪关市新华南路111号（原注册地址：甘肃省嘉峪关市和诚西路1758号），法定代表人：任玉贵，统一社会信用代码：91620200566421488H，营业期限：2010年12月29日至2030年12月28日，注册资本：1000万元，企业类型：有限责任公司（自然人投资或控股），登记机关：嘉峪关市市场监督管理局，经营范围：房地产开发与销售、房屋租赁等（以工商登记为准）。</w:t>
      </w:r>
    </w:p>
    <w:p w14:paraId="0E7C3B46">
      <w:pPr>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rPr>
        <w:t>溥源公司开发建设的天诚广场项目位于嘉峪关城区中心，项目于2016年建成，2017年投入运营。项目总建筑面积为126710.40</w:t>
      </w:r>
      <w:r>
        <w:rPr>
          <w:rFonts w:hint="eastAsia" w:ascii="微软雅黑" w:hAnsi="微软雅黑" w:eastAsia="微软雅黑" w:cs="微软雅黑"/>
          <w:sz w:val="32"/>
          <w:szCs w:val="32"/>
        </w:rPr>
        <w:t>㎡</w:t>
      </w:r>
      <w:r>
        <w:rPr>
          <w:rFonts w:hint="eastAsia" w:ascii="仿宋_GB2312" w:hAnsi="仿宋_GB2312" w:eastAsia="仿宋_GB2312" w:cs="仿宋_GB2312"/>
          <w:sz w:val="32"/>
          <w:szCs w:val="32"/>
        </w:rPr>
        <w:t>（约</w:t>
      </w:r>
      <w:r>
        <w:rPr>
          <w:rFonts w:hint="eastAsia" w:ascii="Times New Roman" w:hAnsi="Times New Roman" w:eastAsia="仿宋_GB2312" w:cs="仿宋_GB2312"/>
          <w:sz w:val="32"/>
          <w:szCs w:val="32"/>
        </w:rPr>
        <w:t>12.67万平方米），其中－2层车库13683.20</w:t>
      </w:r>
      <w:r>
        <w:rPr>
          <w:rFonts w:hint="eastAsia" w:ascii="微软雅黑" w:hAnsi="微软雅黑" w:eastAsia="微软雅黑" w:cs="微软雅黑"/>
          <w:sz w:val="32"/>
          <w:szCs w:val="32"/>
        </w:rPr>
        <w:t>㎡</w:t>
      </w:r>
      <w:r>
        <w:rPr>
          <w:rFonts w:hint="eastAsia" w:ascii="仿宋_GB2312" w:hAnsi="仿宋_GB2312" w:eastAsia="仿宋_GB2312" w:cs="仿宋_GB2312"/>
          <w:sz w:val="32"/>
          <w:szCs w:val="32"/>
        </w:rPr>
        <w:t>、</w:t>
      </w:r>
      <w:r>
        <w:rPr>
          <w:rFonts w:hint="eastAsia" w:ascii="Times New Roman" w:hAnsi="Times New Roman" w:eastAsia="仿宋_GB2312" w:cs="仿宋_GB2312"/>
          <w:sz w:val="32"/>
          <w:szCs w:val="32"/>
        </w:rPr>
        <w:t>－1层商业（超市）13237.58</w:t>
      </w:r>
      <w:r>
        <w:rPr>
          <w:rFonts w:hint="eastAsia" w:ascii="微软雅黑" w:hAnsi="微软雅黑" w:eastAsia="微软雅黑" w:cs="微软雅黑"/>
          <w:sz w:val="32"/>
          <w:szCs w:val="32"/>
        </w:rPr>
        <w:t>㎡</w:t>
      </w:r>
      <w:r>
        <w:rPr>
          <w:rFonts w:hint="eastAsia" w:ascii="仿宋_GB2312" w:hAnsi="仿宋_GB2312" w:eastAsia="仿宋_GB2312" w:cs="仿宋_GB2312"/>
          <w:sz w:val="32"/>
          <w:szCs w:val="32"/>
        </w:rPr>
        <w:t>、裙楼</w:t>
      </w:r>
      <w:r>
        <w:rPr>
          <w:rFonts w:hint="eastAsia" w:ascii="Times New Roman" w:hAnsi="Times New Roman" w:eastAsia="仿宋_GB2312" w:cs="仿宋_GB2312"/>
          <w:sz w:val="32"/>
          <w:szCs w:val="32"/>
        </w:rPr>
        <w:t>1－5层58446.21</w:t>
      </w:r>
      <w:r>
        <w:rPr>
          <w:rFonts w:hint="eastAsia" w:ascii="微软雅黑" w:hAnsi="微软雅黑" w:eastAsia="微软雅黑" w:cs="微软雅黑"/>
          <w:sz w:val="32"/>
          <w:szCs w:val="32"/>
        </w:rPr>
        <w:t>㎡</w:t>
      </w:r>
      <w:r>
        <w:rPr>
          <w:rFonts w:hint="eastAsia" w:ascii="仿宋_GB2312" w:hAnsi="仿宋_GB2312" w:eastAsia="仿宋_GB2312" w:cs="仿宋_GB2312"/>
          <w:sz w:val="32"/>
          <w:szCs w:val="32"/>
        </w:rPr>
        <w:t>、</w:t>
      </w:r>
      <w:r>
        <w:rPr>
          <w:rFonts w:hint="eastAsia" w:ascii="Times New Roman" w:hAnsi="Times New Roman" w:eastAsia="仿宋_GB2312" w:cs="仿宋_GB2312"/>
          <w:sz w:val="32"/>
          <w:szCs w:val="32"/>
        </w:rPr>
        <w:t>6－20层公寓式酒店16789.65</w:t>
      </w:r>
      <w:r>
        <w:rPr>
          <w:rFonts w:hint="eastAsia" w:ascii="微软雅黑" w:hAnsi="微软雅黑" w:eastAsia="微软雅黑" w:cs="微软雅黑"/>
          <w:sz w:val="32"/>
          <w:szCs w:val="32"/>
        </w:rPr>
        <w:t>㎡</w:t>
      </w:r>
      <w:r>
        <w:rPr>
          <w:rFonts w:hint="eastAsia" w:ascii="仿宋_GB2312" w:hAnsi="仿宋_GB2312" w:eastAsia="仿宋_GB2312" w:cs="仿宋_GB2312"/>
          <w:sz w:val="32"/>
          <w:szCs w:val="32"/>
        </w:rPr>
        <w:t>、</w:t>
      </w:r>
      <w:r>
        <w:rPr>
          <w:rFonts w:hint="eastAsia" w:ascii="Times New Roman" w:hAnsi="Times New Roman" w:eastAsia="仿宋_GB2312" w:cs="仿宋_GB2312"/>
          <w:sz w:val="32"/>
          <w:szCs w:val="32"/>
        </w:rPr>
        <w:t>1号写字楼6－20层17278.76</w:t>
      </w:r>
      <w:r>
        <w:rPr>
          <w:rFonts w:hint="eastAsia" w:ascii="微软雅黑" w:hAnsi="微软雅黑" w:eastAsia="微软雅黑" w:cs="微软雅黑"/>
          <w:sz w:val="32"/>
          <w:szCs w:val="32"/>
        </w:rPr>
        <w:t>㎡</w:t>
      </w:r>
      <w:r>
        <w:rPr>
          <w:rFonts w:hint="eastAsia" w:ascii="仿宋_GB2312" w:hAnsi="仿宋_GB2312" w:eastAsia="仿宋_GB2312" w:cs="仿宋_GB2312"/>
          <w:sz w:val="32"/>
          <w:szCs w:val="32"/>
        </w:rPr>
        <w:t>、</w:t>
      </w:r>
      <w:r>
        <w:rPr>
          <w:rFonts w:hint="eastAsia" w:ascii="Times New Roman" w:hAnsi="Times New Roman" w:eastAsia="仿宋_GB2312" w:cs="仿宋_GB2312"/>
          <w:sz w:val="32"/>
          <w:szCs w:val="32"/>
        </w:rPr>
        <w:t>2号写字楼6－15层7275.00</w:t>
      </w:r>
      <w:r>
        <w:rPr>
          <w:rFonts w:hint="eastAsia" w:ascii="微软雅黑" w:hAnsi="微软雅黑" w:eastAsia="微软雅黑" w:cs="微软雅黑"/>
          <w:sz w:val="32"/>
          <w:szCs w:val="32"/>
        </w:rPr>
        <w:t>㎡</w:t>
      </w:r>
      <w:r>
        <w:rPr>
          <w:rFonts w:hint="eastAsia" w:ascii="仿宋_GB2312" w:hAnsi="仿宋_GB2312" w:eastAsia="仿宋_GB2312" w:cs="仿宋_GB2312"/>
          <w:sz w:val="32"/>
          <w:szCs w:val="32"/>
        </w:rPr>
        <w:t>（给嘉峪关市总工会还建资产已交付工会使用）</w:t>
      </w:r>
      <w:r>
        <w:rPr>
          <w:rFonts w:hint="eastAsia" w:ascii="Times New Roman" w:hAnsi="Times New Roman" w:eastAsia="仿宋_GB2312" w:cs="仿宋_GB2312"/>
          <w:sz w:val="32"/>
          <w:szCs w:val="32"/>
        </w:rPr>
        <w:t>。</w:t>
      </w:r>
    </w:p>
    <w:p w14:paraId="0870A8CF">
      <w:pPr>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rPr>
        <w:t>目前，溥源公司处于重整计划执行阶段，需要聘请财税专业机构完成公司日常经营财务会计工作、发票开具、税务处理等工作，以及重整计划执行中的资产过户、债权清偿等涉及的税务处理事项。</w:t>
      </w:r>
    </w:p>
    <w:p w14:paraId="6508D341">
      <w:pPr>
        <w:ind w:firstLine="640" w:firstLineChars="200"/>
        <w:rPr>
          <w:rFonts w:hint="eastAsia" w:ascii="黑体" w:hAnsi="黑体" w:eastAsia="黑体" w:cs="黑体"/>
          <w:sz w:val="32"/>
          <w:szCs w:val="32"/>
        </w:rPr>
      </w:pPr>
      <w:r>
        <w:rPr>
          <w:rFonts w:hint="eastAsia" w:ascii="黑体" w:hAnsi="黑体" w:eastAsia="黑体" w:cs="黑体"/>
          <w:sz w:val="32"/>
          <w:szCs w:val="32"/>
        </w:rPr>
        <w:t>二、参选机构条件</w:t>
      </w:r>
    </w:p>
    <w:p w14:paraId="1E9D5E73">
      <w:pPr>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rPr>
        <w:t>1、参选机构应为合法有效存续的专业机构，具备</w:t>
      </w:r>
      <w:r>
        <w:rPr>
          <w:rFonts w:hint="eastAsia" w:ascii="Times New Roman" w:hAnsi="Times New Roman" w:eastAsia="仿宋_GB2312" w:cs="仿宋_GB2312"/>
          <w:sz w:val="32"/>
          <w:szCs w:val="32"/>
          <w:lang w:val="en-US" w:eastAsia="zh-CN"/>
        </w:rPr>
        <w:t>财务</w:t>
      </w:r>
      <w:r>
        <w:rPr>
          <w:rFonts w:hint="eastAsia" w:ascii="Times New Roman" w:hAnsi="Times New Roman" w:eastAsia="仿宋_GB2312" w:cs="仿宋_GB2312"/>
          <w:sz w:val="32"/>
          <w:szCs w:val="32"/>
        </w:rPr>
        <w:t>税务服务的相应资质和专业能力，在行业内信誉良好。</w:t>
      </w:r>
    </w:p>
    <w:p w14:paraId="163D2298">
      <w:pPr>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rPr>
        <w:t>2、参选机构应具备完成相关工作的人员及专业能力保障。</w:t>
      </w:r>
    </w:p>
    <w:p w14:paraId="4264D944">
      <w:pPr>
        <w:ind w:firstLine="640" w:firstLineChars="200"/>
        <w:rPr>
          <w:rFonts w:hint="eastAsia" w:ascii="黑体" w:hAnsi="黑体" w:eastAsia="黑体" w:cs="黑体"/>
          <w:sz w:val="32"/>
          <w:szCs w:val="32"/>
        </w:rPr>
      </w:pPr>
      <w:r>
        <w:rPr>
          <w:rFonts w:hint="eastAsia" w:ascii="黑体" w:hAnsi="黑体" w:eastAsia="黑体" w:cs="黑体"/>
          <w:sz w:val="32"/>
          <w:szCs w:val="32"/>
        </w:rPr>
        <w:t>三、工作要求及说明</w:t>
      </w:r>
    </w:p>
    <w:p w14:paraId="31EFDA73">
      <w:pPr>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rPr>
        <w:t>1、服务内容：公司日常会计账务处理；税务文件申报与发票开具管理；税务风险点排除、恢复税务正常、税款计算；税务日常对接处理，与税务机关的协调沟通；税务筹划建议与沟通；根据管理人的实际工作要求提供其他税务相关的专业服务（具体以合同约定为准）。</w:t>
      </w:r>
    </w:p>
    <w:p w14:paraId="599C31F6">
      <w:pPr>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rPr>
        <w:t>2、服务期限：自合同签署之日起一年（如因破产重整程序需要提前终止的，则按照实际服务期限结算费用）。</w:t>
      </w:r>
    </w:p>
    <w:p w14:paraId="58358F72">
      <w:pPr>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rPr>
        <w:t>3、服务目标：依法及时解决溥源公司重整计划执行过程中的日常财务会计做账、报税、发票开具等财务和税务事务。</w:t>
      </w:r>
    </w:p>
    <w:p w14:paraId="19CCE388">
      <w:pPr>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rPr>
        <w:t>4、保密要求：依法妥善保管管理人移交的财务资料和相关资料，并保守工作中的秘密。</w:t>
      </w:r>
    </w:p>
    <w:p w14:paraId="64418716">
      <w:pPr>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rPr>
        <w:t>5、服务费用支付：管理人将根据重整计划执行中的资金情况和服务内容按照合同约定申请，报经人民法院批准后支付。</w:t>
      </w:r>
    </w:p>
    <w:p w14:paraId="40E8370D">
      <w:pPr>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rPr>
        <w:t>6、将依照服务机构的资信情况、专业能力、服务内容、服务报价等因素综合评定，由选定的服务机构与溥源公司（由管理人代表）签署服务合同，具体服务事项以合同约定为准。</w:t>
      </w:r>
    </w:p>
    <w:p w14:paraId="2794C252">
      <w:pPr>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rPr>
        <w:t>7、若意向机构需要了解项目详细情况的，可与管理人联系。</w:t>
      </w:r>
    </w:p>
    <w:p w14:paraId="10EF7A0A">
      <w:pPr>
        <w:ind w:firstLine="640" w:firstLineChars="200"/>
        <w:rPr>
          <w:rFonts w:hint="eastAsia" w:ascii="黑体" w:hAnsi="黑体" w:eastAsia="黑体" w:cs="黑体"/>
          <w:sz w:val="32"/>
          <w:szCs w:val="32"/>
        </w:rPr>
      </w:pPr>
      <w:r>
        <w:rPr>
          <w:rFonts w:hint="eastAsia" w:ascii="黑体" w:hAnsi="黑体" w:eastAsia="黑体" w:cs="黑体"/>
          <w:sz w:val="32"/>
          <w:szCs w:val="32"/>
        </w:rPr>
        <w:t>四、参选机构提交如下文件资料</w:t>
      </w:r>
    </w:p>
    <w:p w14:paraId="60AF37D9">
      <w:pPr>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rPr>
        <w:t>1、营业执照和法定代表人/负责人身份证明、授权资料、专业人员资格证书（原件/复印件盖章）；</w:t>
      </w:r>
    </w:p>
    <w:p w14:paraId="2CCFB338">
      <w:pPr>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rPr>
        <w:t>2、机构和人员从业经验、服务业绩等相关说明材料（格式自拟）；</w:t>
      </w:r>
    </w:p>
    <w:p w14:paraId="08C281B3">
      <w:pPr>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rPr>
        <w:t>3、接受本公告内容的承诺书（格式自拟）；</w:t>
      </w:r>
    </w:p>
    <w:p w14:paraId="371B476E">
      <w:pPr>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rPr>
        <w:t>4、报价书，应按月或按年以固定总价报价（含税价）。若服务机构服务不积极、不尽责，管理人有权调减服务报酬。</w:t>
      </w:r>
    </w:p>
    <w:p w14:paraId="5470B39A">
      <w:pPr>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rPr>
        <w:t>5、参选竞聘资料一式三份，密封提交。无论是否选中，报名资料不予退还。</w:t>
      </w:r>
    </w:p>
    <w:p w14:paraId="02A6F025">
      <w:pPr>
        <w:ind w:firstLine="640" w:firstLineChars="200"/>
        <w:rPr>
          <w:rFonts w:hint="eastAsia" w:ascii="黑体" w:hAnsi="黑体" w:eastAsia="黑体" w:cs="黑体"/>
          <w:sz w:val="32"/>
          <w:szCs w:val="32"/>
        </w:rPr>
      </w:pPr>
      <w:r>
        <w:rPr>
          <w:rFonts w:hint="eastAsia" w:ascii="黑体" w:hAnsi="黑体" w:eastAsia="黑体" w:cs="黑体"/>
          <w:sz w:val="32"/>
          <w:szCs w:val="32"/>
        </w:rPr>
        <w:t>五、申报文件的提交</w:t>
      </w:r>
    </w:p>
    <w:p w14:paraId="59575CB5">
      <w:pPr>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rPr>
        <w:t>1、参选人应最迟于2025年</w:t>
      </w:r>
      <w:r>
        <w:rPr>
          <w:rFonts w:hint="eastAsia" w:ascii="Times New Roman" w:hAnsi="Times New Roman" w:eastAsia="仿宋_GB2312" w:cs="仿宋_GB2312"/>
          <w:sz w:val="32"/>
          <w:szCs w:val="32"/>
          <w:lang w:val="en-US" w:eastAsia="zh-CN"/>
        </w:rPr>
        <w:t>3</w:t>
      </w:r>
      <w:r>
        <w:rPr>
          <w:rFonts w:hint="eastAsia" w:ascii="Times New Roman" w:hAnsi="Times New Roman" w:eastAsia="仿宋_GB2312" w:cs="仿宋_GB2312"/>
          <w:sz w:val="32"/>
          <w:szCs w:val="32"/>
          <w:highlight w:val="none"/>
        </w:rPr>
        <w:t>月</w:t>
      </w:r>
      <w:r>
        <w:rPr>
          <w:rFonts w:hint="eastAsia" w:ascii="Times New Roman" w:hAnsi="Times New Roman" w:eastAsia="仿宋_GB2312" w:cs="仿宋_GB2312"/>
          <w:sz w:val="32"/>
          <w:szCs w:val="32"/>
          <w:highlight w:val="none"/>
          <w:lang w:val="en-US" w:eastAsia="zh-CN"/>
        </w:rPr>
        <w:t>31</w:t>
      </w:r>
      <w:bookmarkStart w:id="1" w:name="_GoBack"/>
      <w:bookmarkEnd w:id="1"/>
      <w:r>
        <w:rPr>
          <w:rFonts w:hint="eastAsia" w:ascii="Times New Roman" w:hAnsi="Times New Roman" w:eastAsia="仿宋_GB2312" w:cs="仿宋_GB2312"/>
          <w:sz w:val="32"/>
          <w:szCs w:val="32"/>
          <w:highlight w:val="none"/>
        </w:rPr>
        <w:t>日</w:t>
      </w:r>
      <w:r>
        <w:rPr>
          <w:rFonts w:hint="eastAsia" w:ascii="Times New Roman" w:hAnsi="Times New Roman" w:eastAsia="仿宋_GB2312" w:cs="仿宋_GB2312"/>
          <w:sz w:val="32"/>
          <w:szCs w:val="32"/>
        </w:rPr>
        <w:t>下午17:00前提交书面的竞聘文件。</w:t>
      </w:r>
    </w:p>
    <w:p w14:paraId="078C7E7A">
      <w:pPr>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rPr>
        <w:t>2、竞聘文件接收地址：甘肃省嘉峪关市雄关街道新华南路111号天诚广场写字楼1101室。</w:t>
      </w:r>
    </w:p>
    <w:p w14:paraId="33DCB5F5">
      <w:pPr>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rPr>
        <w:t>3、联系人：高律师，联系电话：17793787114、15339871140。</w:t>
      </w:r>
    </w:p>
    <w:p w14:paraId="353D5537">
      <w:pPr>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rPr>
        <w:t>4、咨询时间：工作日上午9:00-12:00，下午14:00-18:00。</w:t>
      </w:r>
    </w:p>
    <w:p w14:paraId="0CFAF753">
      <w:pPr>
        <w:ind w:firstLine="640" w:firstLineChars="200"/>
        <w:rPr>
          <w:rFonts w:hint="eastAsia" w:ascii="黑体" w:hAnsi="黑体" w:eastAsia="黑体" w:cs="黑体"/>
          <w:sz w:val="32"/>
          <w:szCs w:val="32"/>
        </w:rPr>
      </w:pPr>
      <w:r>
        <w:rPr>
          <w:rFonts w:hint="eastAsia" w:ascii="黑体" w:hAnsi="黑体" w:eastAsia="黑体" w:cs="黑体"/>
          <w:sz w:val="32"/>
          <w:szCs w:val="32"/>
        </w:rPr>
        <w:t>六、其他说明</w:t>
      </w:r>
    </w:p>
    <w:p w14:paraId="12EEE48D">
      <w:pPr>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rPr>
        <w:t>本次选聘为公开比选，最终结果以管理人确定为准。本次选聘不适用《中华人民共和国招标投标法》。</w:t>
      </w:r>
    </w:p>
    <w:p w14:paraId="71C2ADF1">
      <w:pPr>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rPr>
        <w:t>特此公告</w:t>
      </w:r>
    </w:p>
    <w:p w14:paraId="62051CC3">
      <w:pPr>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rPr>
        <w:t>（本公告同时在全国企业破产重整案件信息网和管理人公众号发布）</w:t>
      </w:r>
    </w:p>
    <w:p w14:paraId="792D4D49">
      <w:pPr>
        <w:ind w:firstLine="640" w:firstLineChars="200"/>
        <w:jc w:val="right"/>
        <w:rPr>
          <w:rFonts w:ascii="Times New Roman" w:hAnsi="Times New Roman" w:eastAsia="仿宋_GB2312" w:cs="仿宋_GB2312"/>
          <w:sz w:val="32"/>
          <w:szCs w:val="32"/>
        </w:rPr>
      </w:pPr>
      <w:r>
        <w:rPr>
          <w:rFonts w:hint="eastAsia" w:ascii="Times New Roman" w:hAnsi="Times New Roman" w:eastAsia="仿宋_GB2312" w:cs="仿宋_GB2312"/>
          <w:sz w:val="32"/>
          <w:szCs w:val="32"/>
        </w:rPr>
        <w:t>嘉峪关溥源置业有限责任公司管理人</w:t>
      </w:r>
    </w:p>
    <w:p w14:paraId="59FAF1AA">
      <w:pPr>
        <w:ind w:firstLine="640" w:firstLineChars="200"/>
        <w:jc w:val="right"/>
        <w:rPr>
          <w:rFonts w:ascii="Times New Roman" w:hAnsi="Times New Roman" w:eastAsia="仿宋_GB2312" w:cs="仿宋_GB2312"/>
          <w:sz w:val="32"/>
          <w:szCs w:val="32"/>
          <w:highlight w:val="none"/>
        </w:rPr>
      </w:pPr>
      <w:r>
        <w:rPr>
          <w:rFonts w:hint="eastAsia" w:ascii="Times New Roman" w:hAnsi="Times New Roman" w:eastAsia="仿宋_GB2312" w:cs="仿宋_GB2312"/>
          <w:sz w:val="32"/>
          <w:szCs w:val="32"/>
        </w:rPr>
        <w:t xml:space="preserve">                       </w:t>
      </w:r>
      <w:r>
        <w:rPr>
          <w:rFonts w:hint="eastAsia" w:ascii="Times New Roman" w:hAnsi="Times New Roman" w:eastAsia="仿宋_GB2312" w:cs="仿宋_GB2312"/>
          <w:sz w:val="32"/>
          <w:szCs w:val="32"/>
          <w:highlight w:val="none"/>
        </w:rPr>
        <w:t>二〇二五年三月</w:t>
      </w:r>
      <w:r>
        <w:rPr>
          <w:rFonts w:hint="eastAsia" w:ascii="Times New Roman" w:hAnsi="Times New Roman" w:eastAsia="仿宋_GB2312" w:cs="仿宋_GB2312"/>
          <w:sz w:val="32"/>
          <w:szCs w:val="32"/>
          <w:highlight w:val="none"/>
          <w:lang w:val="en-US" w:eastAsia="zh-CN"/>
        </w:rPr>
        <w:t>二十四</w:t>
      </w:r>
      <w:r>
        <w:rPr>
          <w:rFonts w:hint="eastAsia" w:ascii="Times New Roman" w:hAnsi="Times New Roman" w:eastAsia="仿宋_GB2312" w:cs="仿宋_GB2312"/>
          <w:sz w:val="32"/>
          <w:szCs w:val="32"/>
          <w:highlight w:val="none"/>
        </w:rPr>
        <w:t>日</w:t>
      </w:r>
    </w:p>
    <w:sectPr>
      <w:footerReference r:id="rId3" w:type="default"/>
      <w:pgSz w:w="11906" w:h="16838"/>
      <w:pgMar w:top="2098" w:right="1474" w:bottom="192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Arial Unicode MS"/>
    <w:panose1 w:val="02010601030101010101"/>
    <w:charset w:val="86"/>
    <w:family w:val="auto"/>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A4D3BC">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90F0E59">
                          <w:pPr>
                            <w:pStyle w:val="2"/>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490F0E59">
                    <w:pPr>
                      <w:pStyle w:val="2"/>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299B"/>
    <w:rsid w:val="00103663"/>
    <w:rsid w:val="001A670E"/>
    <w:rsid w:val="00266400"/>
    <w:rsid w:val="002B003C"/>
    <w:rsid w:val="00493E9B"/>
    <w:rsid w:val="004D02D5"/>
    <w:rsid w:val="004F7BD1"/>
    <w:rsid w:val="0067299B"/>
    <w:rsid w:val="0068786F"/>
    <w:rsid w:val="006A67BD"/>
    <w:rsid w:val="0070703C"/>
    <w:rsid w:val="00713199"/>
    <w:rsid w:val="00794242"/>
    <w:rsid w:val="007B1B4A"/>
    <w:rsid w:val="007D4D6F"/>
    <w:rsid w:val="007E7C8C"/>
    <w:rsid w:val="00864345"/>
    <w:rsid w:val="008951B2"/>
    <w:rsid w:val="008F41D1"/>
    <w:rsid w:val="00B86871"/>
    <w:rsid w:val="00BD2A12"/>
    <w:rsid w:val="00BF4FD0"/>
    <w:rsid w:val="00CF60D5"/>
    <w:rsid w:val="00D77853"/>
    <w:rsid w:val="00DD3333"/>
    <w:rsid w:val="00DF736F"/>
    <w:rsid w:val="00E816F3"/>
    <w:rsid w:val="00EA4346"/>
    <w:rsid w:val="00EB1544"/>
    <w:rsid w:val="00EC0514"/>
    <w:rsid w:val="035166A0"/>
    <w:rsid w:val="055A7363"/>
    <w:rsid w:val="068C5C42"/>
    <w:rsid w:val="086208BC"/>
    <w:rsid w:val="0AF57BF7"/>
    <w:rsid w:val="0BA53A2D"/>
    <w:rsid w:val="0C177D5B"/>
    <w:rsid w:val="0E0407B3"/>
    <w:rsid w:val="0E6378FF"/>
    <w:rsid w:val="110A00A3"/>
    <w:rsid w:val="14E81D06"/>
    <w:rsid w:val="17767219"/>
    <w:rsid w:val="19353F17"/>
    <w:rsid w:val="1BB73F32"/>
    <w:rsid w:val="1C3D380D"/>
    <w:rsid w:val="1F3E61EA"/>
    <w:rsid w:val="25565941"/>
    <w:rsid w:val="274E7C63"/>
    <w:rsid w:val="29704E4B"/>
    <w:rsid w:val="2A182A1F"/>
    <w:rsid w:val="2A377AEF"/>
    <w:rsid w:val="2A606EDC"/>
    <w:rsid w:val="2AC7753A"/>
    <w:rsid w:val="2B45448D"/>
    <w:rsid w:val="2C997789"/>
    <w:rsid w:val="2CBC4900"/>
    <w:rsid w:val="2DCA19E4"/>
    <w:rsid w:val="348340B0"/>
    <w:rsid w:val="3AB522CB"/>
    <w:rsid w:val="3B5D2583"/>
    <w:rsid w:val="45D21176"/>
    <w:rsid w:val="462036D5"/>
    <w:rsid w:val="4A286FFC"/>
    <w:rsid w:val="4B9D68C3"/>
    <w:rsid w:val="52AD5BD2"/>
    <w:rsid w:val="54FC1AEC"/>
    <w:rsid w:val="58C85C32"/>
    <w:rsid w:val="60673F83"/>
    <w:rsid w:val="60874625"/>
    <w:rsid w:val="6A794CDF"/>
    <w:rsid w:val="6C222277"/>
    <w:rsid w:val="6D5C2995"/>
    <w:rsid w:val="6F0137F4"/>
    <w:rsid w:val="70C23B06"/>
    <w:rsid w:val="72BF7C4E"/>
    <w:rsid w:val="73023074"/>
    <w:rsid w:val="765468FF"/>
    <w:rsid w:val="77161E07"/>
    <w:rsid w:val="77613082"/>
    <w:rsid w:val="7B503B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1658</Words>
  <Characters>1837</Characters>
  <Lines>13</Lines>
  <Paragraphs>3</Paragraphs>
  <TotalTime>137</TotalTime>
  <ScaleCrop>false</ScaleCrop>
  <LinksUpToDate>false</LinksUpToDate>
  <CharactersWithSpaces>1864</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2025-03-21T06:45:00Z</dcterms:created>
  <dc:creator>86188</dc:creator>
  <cp:lastModifiedBy>资金财务部</cp:lastModifiedBy>
  <dcterms:modified xsi:type="dcterms:W3CDTF">2025-03-24T08:38:09Z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eyJoZGlkIjoiODE2YjIwY2Y1ZmQ0NDQ1MTc0NjY5YmEyMDYwYjUzODgiLCJ1c2VySWQiOiI0NDk3NDM2NzgifQ==</vt:lpwstr>
  </property>
  <property fmtid="{D5CDD505-2E9C-101B-9397-08002B2CF9AE}" pid="4" name="ICV">
    <vt:lpwstr>726F7EF8ACD14CE69F3050501639D8A3_13</vt:lpwstr>
  </property>
</Properties>
</file>