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0728A">
      <w:pPr>
        <w:widowControl/>
        <w:shd w:val="clear" w:color="auto" w:fill="FFFFFF"/>
        <w:spacing w:line="560" w:lineRule="exact"/>
        <w:jc w:val="center"/>
        <w:textAlignment w:val="top"/>
        <w:rPr>
          <w:rFonts w:hint="eastAsia" w:ascii="宋体" w:hAnsi="宋体" w:eastAsia="宋体" w:cs="宋体"/>
          <w:b/>
          <w:bCs/>
          <w:color w:val="000000"/>
          <w:sz w:val="36"/>
          <w:szCs w:val="36"/>
          <w:shd w:val="clear" w:color="auto" w:fill="FFFFFF"/>
        </w:rPr>
      </w:pPr>
      <w:r>
        <w:rPr>
          <w:rFonts w:hint="eastAsia" w:ascii="宋体" w:hAnsi="宋体" w:eastAsia="宋体" w:cs="宋体"/>
          <w:b/>
          <w:bCs/>
          <w:color w:val="000000"/>
          <w:sz w:val="36"/>
          <w:szCs w:val="36"/>
          <w:shd w:val="clear" w:color="auto" w:fill="FFFFFF"/>
        </w:rPr>
        <w:t>北京世纪金光半导体有限公司破产清算案</w:t>
      </w:r>
    </w:p>
    <w:p w14:paraId="1B9711D2">
      <w:pPr>
        <w:widowControl/>
        <w:shd w:val="clear" w:color="auto" w:fill="FFFFFF"/>
        <w:spacing w:line="560" w:lineRule="exact"/>
        <w:jc w:val="center"/>
        <w:textAlignment w:val="top"/>
        <w:rPr>
          <w:rFonts w:hint="eastAsia" w:ascii="宋体" w:hAnsi="宋体" w:eastAsia="宋体" w:cs="宋体"/>
          <w:b/>
          <w:bCs/>
          <w:color w:val="000000"/>
          <w:sz w:val="36"/>
          <w:szCs w:val="36"/>
          <w:shd w:val="clear" w:color="auto" w:fill="FFFFFF"/>
        </w:rPr>
      </w:pPr>
      <w:r>
        <w:rPr>
          <w:rFonts w:hint="eastAsia" w:ascii="宋体" w:hAnsi="宋体" w:eastAsia="宋体" w:cs="宋体"/>
          <w:b/>
          <w:bCs/>
          <w:color w:val="000000"/>
          <w:sz w:val="36"/>
          <w:szCs w:val="36"/>
          <w:shd w:val="clear" w:color="auto" w:fill="FFFFFF"/>
        </w:rPr>
        <w:t>意向投资人预招募公告</w:t>
      </w:r>
    </w:p>
    <w:p w14:paraId="0D93582B">
      <w:pPr>
        <w:widowControl/>
        <w:shd w:val="clear" w:color="auto" w:fill="FFFFFF"/>
        <w:spacing w:line="240" w:lineRule="exact"/>
        <w:jc w:val="center"/>
        <w:textAlignment w:val="top"/>
        <w:rPr>
          <w:rFonts w:hint="eastAsia" w:ascii="宋体" w:hAnsi="宋体" w:eastAsia="宋体" w:cs="宋体"/>
          <w:b/>
          <w:bCs/>
          <w:color w:val="000000"/>
          <w:sz w:val="36"/>
          <w:szCs w:val="36"/>
          <w:shd w:val="clear" w:color="auto" w:fill="FFFFFF"/>
        </w:rPr>
      </w:pPr>
    </w:p>
    <w:p w14:paraId="68AA29E8">
      <w:pPr>
        <w:shd w:val="clear" w:color="auto" w:fill="FFFFFF"/>
        <w:spacing w:line="54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2024年11月19日，北京市第一中级人民法院作出</w:t>
      </w:r>
      <w:r>
        <w:rPr>
          <w:rFonts w:hint="eastAsia" w:ascii="仿宋" w:hAnsi="仿宋"/>
          <w:sz w:val="28"/>
          <w:szCs w:val="28"/>
        </w:rPr>
        <w:t>（2024）京01破申1253号</w:t>
      </w:r>
      <w:r>
        <w:rPr>
          <w:rFonts w:hint="eastAsia" w:ascii="仿宋" w:hAnsi="仿宋"/>
          <w:color w:val="000000"/>
          <w:sz w:val="28"/>
          <w:szCs w:val="28"/>
          <w:shd w:val="clear" w:color="auto" w:fill="FFFFFF"/>
          <w:lang w:bidi="ar"/>
        </w:rPr>
        <w:t>民事裁定书，裁定受理北京世纪金光半导体有限公司（以下简称“世纪金光”或“债务人”）破产清算一案。</w:t>
      </w:r>
      <w:r>
        <w:rPr>
          <w:rFonts w:hint="eastAsia" w:ascii="仿宋" w:hAnsi="仿宋"/>
          <w:sz w:val="28"/>
          <w:szCs w:val="28"/>
          <w:shd w:val="clear" w:color="auto" w:fill="FFFFFF"/>
          <w:lang w:bidi="ar"/>
        </w:rPr>
        <w:t>并</w:t>
      </w:r>
      <w:r>
        <w:rPr>
          <w:rFonts w:hint="eastAsia" w:ascii="仿宋" w:hAnsi="仿宋"/>
          <w:color w:val="000000"/>
          <w:sz w:val="28"/>
          <w:szCs w:val="28"/>
          <w:shd w:val="clear" w:color="auto" w:fill="FFFFFF"/>
          <w:lang w:bidi="ar"/>
        </w:rPr>
        <w:t>于2024年11月28日出具（2024）京01破579号决定书，指定北京华信清算服务有限公司担任管理人（以下简称“管理人”）。</w:t>
      </w:r>
    </w:p>
    <w:p w14:paraId="6316A3A3">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为充分识别世纪金光的重整价值，最大限度地维护全体债权人、债务人以及其他各方主体的合法权益，在北京市第一中级人民法院的监督和指导下，现管理人拟为世纪金光向社会公开预招募意向投资人。现就意向投资人预招募和预遴选等相关事项公告说明如下。</w:t>
      </w:r>
    </w:p>
    <w:p w14:paraId="769095CE">
      <w:pPr>
        <w:pStyle w:val="5"/>
        <w:shd w:val="clear" w:color="auto" w:fill="FFFFFF"/>
        <w:spacing w:line="540" w:lineRule="exact"/>
        <w:ind w:firstLine="562" w:firstLineChars="200"/>
        <w:textAlignment w:val="top"/>
        <w:rPr>
          <w:rFonts w:hint="eastAsia" w:ascii="楷体" w:hAnsi="楷体" w:eastAsia="楷体" w:cs="楷体"/>
          <w:color w:val="000000"/>
          <w:sz w:val="28"/>
          <w:szCs w:val="28"/>
        </w:rPr>
      </w:pPr>
      <w:r>
        <w:rPr>
          <w:rFonts w:hint="eastAsia" w:ascii="楷体" w:hAnsi="楷体" w:eastAsia="楷体" w:cs="楷体"/>
          <w:b/>
          <w:bCs/>
          <w:color w:val="000000"/>
          <w:sz w:val="28"/>
          <w:szCs w:val="28"/>
          <w:shd w:val="clear" w:color="auto" w:fill="FFFFFF"/>
        </w:rPr>
        <w:t>一、预招募须知</w:t>
      </w:r>
    </w:p>
    <w:p w14:paraId="23CFE7C3">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一）本公告所披露的相关信息仅供意向投资人作参考使用，并不替代意向投资人的尽职调查，管理人不对本公告披露的相关信息承担保证责任。意向投资人须自行决定是否聘请专业投资顾问、法律顾问进行尽职调查、出具投资意见等。</w:t>
      </w:r>
    </w:p>
    <w:p w14:paraId="79FAFB47">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二）意向投资人决定参与预招募前应仔细阅读本公告，理解投资过程中可能存在的风险，一旦提交报名材料即视为同意按债务人现状进行投资，不接受所有标的物上已知和未知的瑕疵，也视为对本次投资人预招募程序确认并同意承担风险。</w:t>
      </w:r>
    </w:p>
    <w:p w14:paraId="2C86D206">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三）本预招募公告不适用《中华人民共和国招标投标法》，管理人有权视本案的进展情况、实际需求随时决定调整、继续、中止或终止本次意向投资人预招募和遴选，管理人对此不承担违约或赔偿责任，公告内容的解释权由管理人行使。</w:t>
      </w:r>
    </w:p>
    <w:p w14:paraId="4B33F424">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四）本公告所称意向投资人，可以是产业投资人，可以是财务投资人，也可以是运营意向人，意向投资人既可以单独报名，也可以组成联合体报名。同等条件下，本次预招募优先考虑对世纪金光具有产业协同效应的产业投资人。</w:t>
      </w:r>
    </w:p>
    <w:p w14:paraId="2329D941">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五）意向投资人须在报名参与本次预招募时缴纳尽调保证金，待尽调后确定参与的，再行补足报名保证金。管理人有权在预招募及遴选过程中根据进展情况，要求进入下一轮遴选程序的报名投资人追加缴纳保证金，意向投资人缴纳对应保证金后方可进入下一轮遴选程序，具体缴纳时间及金额由管理人另行通知。</w:t>
      </w:r>
    </w:p>
    <w:p w14:paraId="178053BB">
      <w:pPr>
        <w:pStyle w:val="5"/>
        <w:shd w:val="clear" w:color="auto" w:fill="FFFFFF"/>
        <w:spacing w:line="52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（六）本公告不构成要约，不具有重整投资协议的约束效力。</w:t>
      </w:r>
    </w:p>
    <w:p w14:paraId="3118DA7E">
      <w:pPr>
        <w:pStyle w:val="5"/>
        <w:widowControl/>
        <w:shd w:val="clear" w:color="auto" w:fill="FFFFFF"/>
        <w:spacing w:line="520" w:lineRule="exact"/>
        <w:ind w:firstLine="562" w:firstLineChars="200"/>
        <w:textAlignment w:val="top"/>
        <w:rPr>
          <w:rFonts w:hint="eastAsia" w:ascii="楷体" w:hAnsi="楷体" w:eastAsia="楷体" w:cs="楷体"/>
          <w:color w:val="000000"/>
          <w:sz w:val="28"/>
          <w:szCs w:val="28"/>
        </w:rPr>
      </w:pPr>
      <w:r>
        <w:rPr>
          <w:rFonts w:hint="eastAsia" w:ascii="楷体" w:hAnsi="楷体" w:eastAsia="楷体" w:cs="楷体"/>
          <w:b/>
          <w:bCs/>
          <w:color w:val="000000"/>
          <w:sz w:val="28"/>
          <w:szCs w:val="28"/>
          <w:shd w:val="clear" w:color="auto" w:fill="FFFFFF"/>
        </w:rPr>
        <w:t>二、 基本情况</w:t>
      </w:r>
    </w:p>
    <w:p w14:paraId="2182D809">
      <w:pPr>
        <w:pStyle w:val="5"/>
        <w:widowControl/>
        <w:shd w:val="clear" w:color="auto" w:fill="FFFFFF"/>
        <w:spacing w:line="520" w:lineRule="exact"/>
        <w:ind w:firstLine="562" w:firstLineChars="200"/>
        <w:textAlignment w:val="top"/>
        <w:rPr>
          <w:rFonts w:hint="eastAsia" w:ascii="仿宋" w:hAnsi="仿宋"/>
          <w:b/>
          <w:bCs/>
          <w:color w:val="000000"/>
          <w:sz w:val="28"/>
          <w:szCs w:val="28"/>
          <w:shd w:val="clear" w:color="auto" w:fill="FFFFFF"/>
        </w:rPr>
      </w:pPr>
      <w:r>
        <w:rPr>
          <w:rFonts w:hint="eastAsia" w:ascii="仿宋" w:hAnsi="仿宋"/>
          <w:b/>
          <w:bCs/>
          <w:color w:val="000000"/>
          <w:sz w:val="28"/>
          <w:szCs w:val="28"/>
          <w:shd w:val="clear" w:color="auto" w:fill="FFFFFF"/>
        </w:rPr>
        <w:t>（一）工商登记信息</w:t>
      </w:r>
    </w:p>
    <w:tbl>
      <w:tblPr>
        <w:tblStyle w:val="7"/>
        <w:tblW w:w="8406" w:type="dxa"/>
        <w:tblInd w:w="0" w:type="dxa"/>
        <w:shd w:val="clear" w:color="auto" w:fill="FFFFFF"/>
        <w:tblLayout w:type="autofit"/>
        <w:tblCellMar>
          <w:top w:w="0" w:type="dxa"/>
          <w:left w:w="0" w:type="dxa"/>
          <w:bottom w:w="0" w:type="dxa"/>
          <w:right w:w="0" w:type="dxa"/>
        </w:tblCellMar>
      </w:tblPr>
      <w:tblGrid>
        <w:gridCol w:w="3119"/>
        <w:gridCol w:w="5287"/>
      </w:tblGrid>
      <w:tr w14:paraId="45EB4D45">
        <w:tblPrEx>
          <w:shd w:val="clear" w:color="auto" w:fill="FFFFFF"/>
          <w:tblCellMar>
            <w:top w:w="0" w:type="dxa"/>
            <w:left w:w="0" w:type="dxa"/>
            <w:bottom w:w="0" w:type="dxa"/>
            <w:right w:w="0" w:type="dxa"/>
          </w:tblCellMar>
        </w:tblPrEx>
        <w:trPr>
          <w:trHeight w:val="283" w:hRule="atLeast"/>
        </w:trPr>
        <w:tc>
          <w:tcPr>
            <w:tcW w:w="311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3A696F4">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企业名称</w:t>
            </w:r>
          </w:p>
        </w:tc>
        <w:tc>
          <w:tcPr>
            <w:tcW w:w="5287"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18F9E5A3">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北京世纪金光半导体有限公司</w:t>
            </w:r>
          </w:p>
        </w:tc>
      </w:tr>
      <w:tr w14:paraId="69E4A03E">
        <w:tblPrEx>
          <w:shd w:val="clear" w:color="auto" w:fill="FFFFFF"/>
          <w:tblCellMar>
            <w:top w:w="0" w:type="dxa"/>
            <w:left w:w="0" w:type="dxa"/>
            <w:bottom w:w="0" w:type="dxa"/>
            <w:right w:w="0" w:type="dxa"/>
          </w:tblCellMar>
        </w:tblPrEx>
        <w:trPr>
          <w:trHeight w:val="283" w:hRule="atLeast"/>
        </w:trPr>
        <w:tc>
          <w:tcPr>
            <w:tcW w:w="311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F002C9A">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统一社会信用代码</w:t>
            </w:r>
          </w:p>
        </w:tc>
        <w:tc>
          <w:tcPr>
            <w:tcW w:w="5287"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74BBF64B">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911103025674741869</w:t>
            </w:r>
          </w:p>
        </w:tc>
      </w:tr>
      <w:tr w14:paraId="463993B7">
        <w:tblPrEx>
          <w:shd w:val="clear" w:color="auto" w:fill="FFFFFF"/>
          <w:tblCellMar>
            <w:top w:w="0" w:type="dxa"/>
            <w:left w:w="0" w:type="dxa"/>
            <w:bottom w:w="0" w:type="dxa"/>
            <w:right w:w="0" w:type="dxa"/>
          </w:tblCellMar>
        </w:tblPrEx>
        <w:trPr>
          <w:trHeight w:val="283" w:hRule="atLeast"/>
        </w:trPr>
        <w:tc>
          <w:tcPr>
            <w:tcW w:w="311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2E45440">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登记机关</w:t>
            </w:r>
          </w:p>
        </w:tc>
        <w:tc>
          <w:tcPr>
            <w:tcW w:w="5287"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0C80DA0B">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北京经济技术开发区市场监督管理局</w:t>
            </w:r>
          </w:p>
        </w:tc>
      </w:tr>
      <w:tr w14:paraId="66700E83">
        <w:tblPrEx>
          <w:shd w:val="clear" w:color="auto" w:fill="FFFFFF"/>
          <w:tblCellMar>
            <w:top w:w="0" w:type="dxa"/>
            <w:left w:w="0" w:type="dxa"/>
            <w:bottom w:w="0" w:type="dxa"/>
            <w:right w:w="0" w:type="dxa"/>
          </w:tblCellMar>
        </w:tblPrEx>
        <w:trPr>
          <w:trHeight w:val="283" w:hRule="atLeast"/>
        </w:trPr>
        <w:tc>
          <w:tcPr>
            <w:tcW w:w="311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9E4BB66">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类型</w:t>
            </w:r>
          </w:p>
        </w:tc>
        <w:tc>
          <w:tcPr>
            <w:tcW w:w="5287"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46F60023">
            <w:pPr>
              <w:widowControl/>
              <w:spacing w:line="500" w:lineRule="exact"/>
              <w:textAlignment w:val="top"/>
              <w:rPr>
                <w:rFonts w:hint="eastAsia" w:ascii="仿宋" w:hAnsi="仿宋"/>
                <w:sz w:val="24"/>
                <w:szCs w:val="24"/>
              </w:rPr>
            </w:pPr>
            <w:r>
              <w:rPr>
                <w:rFonts w:hint="eastAsia" w:ascii="仿宋" w:hAnsi="仿宋"/>
                <w:sz w:val="24"/>
                <w:szCs w:val="24"/>
              </w:rPr>
              <w:t>有限责任公司（自然人投资或控股）</w:t>
            </w:r>
          </w:p>
        </w:tc>
      </w:tr>
      <w:tr w14:paraId="14A4AB48">
        <w:tblPrEx>
          <w:shd w:val="clear" w:color="auto" w:fill="FFFFFF"/>
          <w:tblCellMar>
            <w:top w:w="0" w:type="dxa"/>
            <w:left w:w="0" w:type="dxa"/>
            <w:bottom w:w="0" w:type="dxa"/>
            <w:right w:w="0" w:type="dxa"/>
          </w:tblCellMar>
        </w:tblPrEx>
        <w:trPr>
          <w:trHeight w:val="283" w:hRule="atLeast"/>
        </w:trPr>
        <w:tc>
          <w:tcPr>
            <w:tcW w:w="311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3E9A296">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注册资本</w:t>
            </w:r>
          </w:p>
        </w:tc>
        <w:tc>
          <w:tcPr>
            <w:tcW w:w="5287"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650F3D04">
            <w:pPr>
              <w:widowControl/>
              <w:spacing w:line="500" w:lineRule="exact"/>
              <w:textAlignment w:val="top"/>
              <w:rPr>
                <w:rFonts w:hint="eastAsia" w:ascii="仿宋" w:hAnsi="仿宋"/>
                <w:sz w:val="24"/>
                <w:szCs w:val="24"/>
              </w:rPr>
            </w:pPr>
            <w:r>
              <w:rPr>
                <w:rFonts w:hint="eastAsia" w:ascii="仿宋" w:hAnsi="仿宋"/>
                <w:sz w:val="24"/>
                <w:szCs w:val="24"/>
              </w:rPr>
              <w:t>37106.31万元人民币</w:t>
            </w:r>
          </w:p>
        </w:tc>
      </w:tr>
      <w:tr w14:paraId="40EE899E">
        <w:tblPrEx>
          <w:shd w:val="clear" w:color="auto" w:fill="FFFFFF"/>
          <w:tblCellMar>
            <w:top w:w="0" w:type="dxa"/>
            <w:left w:w="0" w:type="dxa"/>
            <w:bottom w:w="0" w:type="dxa"/>
            <w:right w:w="0" w:type="dxa"/>
          </w:tblCellMar>
        </w:tblPrEx>
        <w:trPr>
          <w:trHeight w:val="283" w:hRule="atLeast"/>
        </w:trPr>
        <w:tc>
          <w:tcPr>
            <w:tcW w:w="311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C4BA10E">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注册地址</w:t>
            </w:r>
          </w:p>
        </w:tc>
        <w:tc>
          <w:tcPr>
            <w:tcW w:w="5287"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4C6E5CE5">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北京市北京经济技术开发区通惠干渠路17号院2号楼3层、4层、5层</w:t>
            </w:r>
          </w:p>
        </w:tc>
      </w:tr>
      <w:tr w14:paraId="0E105A77">
        <w:tblPrEx>
          <w:shd w:val="clear" w:color="auto" w:fill="FFFFFF"/>
          <w:tblCellMar>
            <w:top w:w="0" w:type="dxa"/>
            <w:left w:w="0" w:type="dxa"/>
            <w:bottom w:w="0" w:type="dxa"/>
            <w:right w:w="0" w:type="dxa"/>
          </w:tblCellMar>
        </w:tblPrEx>
        <w:trPr>
          <w:trHeight w:val="283" w:hRule="atLeast"/>
        </w:trPr>
        <w:tc>
          <w:tcPr>
            <w:tcW w:w="311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A2256BB">
            <w:pPr>
              <w:widowControl/>
              <w:spacing w:line="500" w:lineRule="exact"/>
              <w:jc w:val="left"/>
              <w:textAlignment w:val="top"/>
              <w:rPr>
                <w:rFonts w:hint="eastAsia" w:ascii="仿宋" w:hAnsi="仿宋"/>
                <w:sz w:val="24"/>
                <w:szCs w:val="24"/>
              </w:rPr>
            </w:pPr>
            <w:r>
              <w:rPr>
                <w:rFonts w:hint="eastAsia" w:ascii="仿宋" w:hAnsi="仿宋"/>
                <w:color w:val="000000"/>
                <w:sz w:val="24"/>
                <w:szCs w:val="24"/>
                <w:lang w:bidi="ar"/>
              </w:rPr>
              <w:t>法定代表人</w:t>
            </w:r>
          </w:p>
        </w:tc>
        <w:tc>
          <w:tcPr>
            <w:tcW w:w="5287"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3265FFBA">
            <w:pPr>
              <w:widowControl/>
              <w:spacing w:line="500" w:lineRule="exact"/>
              <w:jc w:val="left"/>
              <w:textAlignment w:val="top"/>
              <w:rPr>
                <w:rFonts w:hint="eastAsia" w:ascii="仿宋" w:hAnsi="仿宋"/>
                <w:sz w:val="24"/>
                <w:szCs w:val="24"/>
              </w:rPr>
            </w:pPr>
            <w:r>
              <w:rPr>
                <w:rFonts w:hint="eastAsia" w:ascii="仿宋" w:hAnsi="仿宋"/>
                <w:sz w:val="24"/>
                <w:szCs w:val="24"/>
              </w:rPr>
              <w:t>李百泉</w:t>
            </w:r>
          </w:p>
        </w:tc>
      </w:tr>
      <w:tr w14:paraId="257BEC62">
        <w:tblPrEx>
          <w:shd w:val="clear" w:color="auto" w:fill="FFFFFF"/>
          <w:tblCellMar>
            <w:top w:w="0" w:type="dxa"/>
            <w:left w:w="0" w:type="dxa"/>
            <w:bottom w:w="0" w:type="dxa"/>
            <w:right w:w="0" w:type="dxa"/>
          </w:tblCellMar>
        </w:tblPrEx>
        <w:trPr>
          <w:trHeight w:val="283" w:hRule="atLeast"/>
        </w:trPr>
        <w:tc>
          <w:tcPr>
            <w:tcW w:w="311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46B3D2E">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成立日期</w:t>
            </w:r>
          </w:p>
        </w:tc>
        <w:tc>
          <w:tcPr>
            <w:tcW w:w="5287"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4116DF29">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2010-12-24</w:t>
            </w:r>
          </w:p>
        </w:tc>
      </w:tr>
      <w:tr w14:paraId="04F2DA7D">
        <w:tblPrEx>
          <w:shd w:val="clear" w:color="auto" w:fill="FFFFFF"/>
          <w:tblCellMar>
            <w:top w:w="0" w:type="dxa"/>
            <w:left w:w="0" w:type="dxa"/>
            <w:bottom w:w="0" w:type="dxa"/>
            <w:right w:w="0" w:type="dxa"/>
          </w:tblCellMar>
        </w:tblPrEx>
        <w:trPr>
          <w:trHeight w:val="283" w:hRule="atLeast"/>
        </w:trPr>
        <w:tc>
          <w:tcPr>
            <w:tcW w:w="311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E281FD4">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营业期限</w:t>
            </w:r>
          </w:p>
        </w:tc>
        <w:tc>
          <w:tcPr>
            <w:tcW w:w="5287"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0459D2A6">
            <w:pPr>
              <w:widowControl/>
              <w:spacing w:line="500" w:lineRule="exact"/>
              <w:textAlignment w:val="top"/>
              <w:rPr>
                <w:rFonts w:hint="eastAsia" w:ascii="仿宋" w:hAnsi="仿宋"/>
                <w:sz w:val="24"/>
                <w:szCs w:val="24"/>
              </w:rPr>
            </w:pPr>
            <w:r>
              <w:rPr>
                <w:rFonts w:hint="eastAsia" w:ascii="仿宋" w:hAnsi="仿宋"/>
                <w:sz w:val="24"/>
                <w:szCs w:val="24"/>
              </w:rPr>
              <w:t>2010-12-24至2030-12-23</w:t>
            </w:r>
          </w:p>
        </w:tc>
      </w:tr>
      <w:tr w14:paraId="46EA07A9">
        <w:tblPrEx>
          <w:shd w:val="clear" w:color="auto" w:fill="FFFFFF"/>
          <w:tblCellMar>
            <w:top w:w="0" w:type="dxa"/>
            <w:left w:w="0" w:type="dxa"/>
            <w:bottom w:w="0" w:type="dxa"/>
            <w:right w:w="0" w:type="dxa"/>
          </w:tblCellMar>
        </w:tblPrEx>
        <w:trPr>
          <w:trHeight w:val="283" w:hRule="atLeast"/>
        </w:trPr>
        <w:tc>
          <w:tcPr>
            <w:tcW w:w="311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3B49904">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经营范围</w:t>
            </w:r>
          </w:p>
        </w:tc>
        <w:tc>
          <w:tcPr>
            <w:tcW w:w="5287"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14:paraId="725F23B7">
            <w:pPr>
              <w:widowControl/>
              <w:spacing w:line="500" w:lineRule="exact"/>
              <w:textAlignment w:val="top"/>
              <w:rPr>
                <w:rFonts w:hint="eastAsia" w:ascii="仿宋" w:hAnsi="仿宋"/>
                <w:sz w:val="24"/>
                <w:szCs w:val="24"/>
              </w:rPr>
            </w:pPr>
            <w:r>
              <w:rPr>
                <w:rFonts w:hint="eastAsia" w:ascii="仿宋" w:hAnsi="仿宋"/>
                <w:color w:val="000000"/>
                <w:sz w:val="24"/>
                <w:szCs w:val="24"/>
                <w:lang w:bidi="ar"/>
              </w:rPr>
              <w:t>销售电子产品、电子元器件；技术转让、技术咨询、技术服务；货物进出口、代理进出口；生产碳化硅单晶片、4英寸碳化硅单晶片、6英寸碳化硅单晶片、碳化硅和氮化镓外延片、碳化硅功率器肖特基二极管、金属氧化物半导体场效应晶体管、碳化硅功率模块、氮化镓功率器件。</w:t>
            </w:r>
          </w:p>
        </w:tc>
      </w:tr>
    </w:tbl>
    <w:p w14:paraId="1B34B2B1">
      <w:pPr>
        <w:pStyle w:val="5"/>
        <w:shd w:val="clear" w:color="auto" w:fill="FFFFFF"/>
        <w:spacing w:line="560" w:lineRule="exact"/>
        <w:ind w:firstLine="562" w:firstLineChars="200"/>
        <w:textAlignment w:val="top"/>
        <w:rPr>
          <w:rFonts w:hint="eastAsia" w:ascii="仿宋" w:hAnsi="仿宋"/>
          <w:b/>
          <w:bCs/>
          <w:sz w:val="28"/>
          <w:szCs w:val="28"/>
        </w:rPr>
      </w:pPr>
      <w:r>
        <w:rPr>
          <w:rFonts w:hint="eastAsia" w:ascii="仿宋" w:hAnsi="仿宋"/>
          <w:b/>
          <w:bCs/>
          <w:sz w:val="28"/>
          <w:szCs w:val="28"/>
        </w:rPr>
        <w:t>（二）股权结构情况</w:t>
      </w:r>
    </w:p>
    <w:p w14:paraId="4FB7F10A">
      <w:pPr>
        <w:spacing w:line="560" w:lineRule="exact"/>
        <w:ind w:firstLine="560" w:firstLineChars="200"/>
        <w:rPr>
          <w:rFonts w:hint="eastAsia" w:ascii="仿宋" w:hAnsi="仿宋"/>
          <w:sz w:val="28"/>
          <w:szCs w:val="28"/>
        </w:rPr>
      </w:pPr>
      <w:r>
        <w:rPr>
          <w:rFonts w:hint="eastAsia" w:ascii="仿宋" w:hAnsi="仿宋"/>
          <w:sz w:val="28"/>
          <w:szCs w:val="28"/>
        </w:rPr>
        <w:t>世纪金光股东共有22人，具体股东及股权结构如下：</w:t>
      </w:r>
    </w:p>
    <w:p w14:paraId="5EA6E413">
      <w:pPr>
        <w:spacing w:line="560" w:lineRule="exact"/>
        <w:ind w:firstLine="560" w:firstLineChars="200"/>
        <w:rPr>
          <w:rFonts w:hint="eastAsia" w:ascii="仿宋" w:hAnsi="仿宋"/>
          <w:sz w:val="28"/>
          <w:szCs w:val="28"/>
        </w:rPr>
      </w:pPr>
      <w:r>
        <w:rPr>
          <w:rFonts w:hint="eastAsia" w:ascii="仿宋" w:hAnsi="仿宋"/>
          <w:sz w:val="28"/>
          <w:szCs w:val="28"/>
        </w:rPr>
        <w:t>1.李百泉，认缴出资额19391.18万元，持股比例52.2584%；</w:t>
      </w:r>
    </w:p>
    <w:p w14:paraId="438885C4">
      <w:pPr>
        <w:spacing w:line="560" w:lineRule="exact"/>
        <w:ind w:firstLine="560" w:firstLineChars="200"/>
        <w:rPr>
          <w:rFonts w:hint="eastAsia" w:ascii="仿宋" w:hAnsi="仿宋"/>
          <w:sz w:val="28"/>
          <w:szCs w:val="28"/>
        </w:rPr>
      </w:pPr>
      <w:r>
        <w:rPr>
          <w:rFonts w:hint="eastAsia" w:ascii="仿宋" w:hAnsi="仿宋"/>
          <w:sz w:val="28"/>
          <w:szCs w:val="28"/>
        </w:rPr>
        <w:t>2.北京易万亿投资管理中心（有限合伙），认缴出资额4691.2万元，持股比例12.6426%；</w:t>
      </w:r>
    </w:p>
    <w:p w14:paraId="67809A60">
      <w:pPr>
        <w:spacing w:line="560" w:lineRule="exact"/>
        <w:ind w:firstLine="560" w:firstLineChars="200"/>
        <w:rPr>
          <w:rFonts w:hint="eastAsia" w:ascii="仿宋" w:hAnsi="仿宋"/>
          <w:sz w:val="28"/>
          <w:szCs w:val="28"/>
        </w:rPr>
      </w:pPr>
      <w:r>
        <w:rPr>
          <w:rFonts w:hint="eastAsia" w:ascii="仿宋" w:hAnsi="仿宋"/>
          <w:sz w:val="28"/>
          <w:szCs w:val="28"/>
        </w:rPr>
        <w:t>3.国家集成电路产业投资基金股份有限公司，认缴出资额2957万元，持股比例7.9690%；</w:t>
      </w:r>
    </w:p>
    <w:p w14:paraId="4BAF3D79">
      <w:pPr>
        <w:spacing w:line="560" w:lineRule="exact"/>
        <w:ind w:firstLine="560" w:firstLineChars="200"/>
        <w:rPr>
          <w:rFonts w:hint="eastAsia" w:ascii="仿宋" w:hAnsi="仿宋"/>
          <w:sz w:val="28"/>
          <w:szCs w:val="28"/>
        </w:rPr>
      </w:pPr>
      <w:r>
        <w:rPr>
          <w:rFonts w:hint="eastAsia" w:ascii="仿宋" w:hAnsi="仿宋"/>
          <w:sz w:val="28"/>
          <w:szCs w:val="28"/>
        </w:rPr>
        <w:t>4.金华金义天鹰新兴产业投资合伙企业（有限合伙），认缴出资额为2537.57万元，持股比例6.8386%；</w:t>
      </w:r>
    </w:p>
    <w:p w14:paraId="1CD63AAD">
      <w:pPr>
        <w:spacing w:line="560" w:lineRule="exact"/>
        <w:ind w:firstLine="560" w:firstLineChars="200"/>
        <w:rPr>
          <w:rFonts w:hint="eastAsia" w:ascii="仿宋" w:hAnsi="仿宋"/>
          <w:sz w:val="28"/>
          <w:szCs w:val="28"/>
        </w:rPr>
      </w:pPr>
      <w:r>
        <w:rPr>
          <w:rFonts w:hint="eastAsia" w:ascii="仿宋" w:hAnsi="仿宋"/>
          <w:sz w:val="28"/>
          <w:szCs w:val="28"/>
        </w:rPr>
        <w:t>5.安徽省智能语音及人工智能创业投资合伙企业（有限合伙），认缴出资额为2156.11万元，持股比例5.8106%；</w:t>
      </w:r>
    </w:p>
    <w:p w14:paraId="6195D204">
      <w:pPr>
        <w:spacing w:line="560" w:lineRule="exact"/>
        <w:ind w:firstLine="560" w:firstLineChars="200"/>
        <w:rPr>
          <w:rFonts w:hint="eastAsia" w:ascii="仿宋" w:hAnsi="仿宋"/>
          <w:sz w:val="28"/>
          <w:szCs w:val="28"/>
        </w:rPr>
      </w:pPr>
      <w:r>
        <w:rPr>
          <w:rFonts w:hint="eastAsia" w:ascii="仿宋" w:hAnsi="仿宋"/>
          <w:sz w:val="28"/>
          <w:szCs w:val="28"/>
        </w:rPr>
        <w:t>6.上海聚源聚芯集成电路产业股权投资基金中心（有限合伙），认缴出资额为1416.43万元，持股比例3.8172%；</w:t>
      </w:r>
    </w:p>
    <w:p w14:paraId="4BA6D51E">
      <w:pPr>
        <w:spacing w:line="560" w:lineRule="exact"/>
        <w:ind w:firstLine="560" w:firstLineChars="200"/>
        <w:rPr>
          <w:rFonts w:hint="eastAsia" w:ascii="仿宋" w:hAnsi="仿宋"/>
          <w:sz w:val="28"/>
          <w:szCs w:val="28"/>
        </w:rPr>
      </w:pPr>
      <w:r>
        <w:rPr>
          <w:rFonts w:hint="eastAsia" w:ascii="仿宋" w:hAnsi="仿宋"/>
          <w:sz w:val="28"/>
          <w:szCs w:val="28"/>
        </w:rPr>
        <w:t>7.赣州睿溪科技咨询合伙企业（有限合伙），认缴出资额为461.38万元，持股比例1.2434%；</w:t>
      </w:r>
    </w:p>
    <w:p w14:paraId="5A4ACECB">
      <w:pPr>
        <w:spacing w:line="560" w:lineRule="exact"/>
        <w:ind w:firstLine="560" w:firstLineChars="200"/>
        <w:rPr>
          <w:rFonts w:hint="eastAsia" w:ascii="仿宋" w:hAnsi="仿宋"/>
          <w:sz w:val="28"/>
          <w:szCs w:val="28"/>
        </w:rPr>
      </w:pPr>
      <w:r>
        <w:rPr>
          <w:rFonts w:hint="eastAsia" w:ascii="仿宋" w:hAnsi="仿宋"/>
          <w:sz w:val="28"/>
          <w:szCs w:val="28"/>
        </w:rPr>
        <w:t>8.天津兴旺达企业管理咨询合伙企业（有限合伙），认缴出资额为449.84万元，持股比例1.2123%；</w:t>
      </w:r>
    </w:p>
    <w:p w14:paraId="02EC14FF">
      <w:pPr>
        <w:spacing w:line="560" w:lineRule="exact"/>
        <w:ind w:firstLine="560" w:firstLineChars="200"/>
        <w:rPr>
          <w:rFonts w:hint="eastAsia" w:ascii="仿宋" w:hAnsi="仿宋"/>
          <w:sz w:val="28"/>
          <w:szCs w:val="28"/>
        </w:rPr>
      </w:pPr>
      <w:r>
        <w:rPr>
          <w:rFonts w:hint="eastAsia" w:ascii="仿宋" w:hAnsi="仿宋"/>
          <w:sz w:val="28"/>
          <w:szCs w:val="28"/>
        </w:rPr>
        <w:t>9.北京博奥华泰投资有限公司，认缴出资额为431.22万元，持股比例1.1621%；</w:t>
      </w:r>
    </w:p>
    <w:p w14:paraId="35EE268C">
      <w:pPr>
        <w:spacing w:line="560" w:lineRule="exact"/>
        <w:ind w:firstLine="560" w:firstLineChars="200"/>
        <w:rPr>
          <w:rFonts w:hint="eastAsia" w:ascii="仿宋" w:hAnsi="仿宋"/>
          <w:sz w:val="28"/>
          <w:szCs w:val="28"/>
        </w:rPr>
      </w:pPr>
      <w:r>
        <w:rPr>
          <w:rFonts w:hint="eastAsia" w:ascii="仿宋" w:hAnsi="仿宋"/>
          <w:sz w:val="28"/>
          <w:szCs w:val="28"/>
        </w:rPr>
        <w:t>10.日照市水之仁股权投资基金中心（有限合伙），认缴出资额为384.48万元，持股比例1.0362%；</w:t>
      </w:r>
    </w:p>
    <w:p w14:paraId="0C498D46">
      <w:pPr>
        <w:spacing w:line="560" w:lineRule="exact"/>
        <w:ind w:firstLine="560" w:firstLineChars="200"/>
        <w:rPr>
          <w:rFonts w:hint="eastAsia" w:ascii="仿宋" w:hAnsi="仿宋"/>
          <w:sz w:val="28"/>
          <w:szCs w:val="28"/>
        </w:rPr>
      </w:pPr>
      <w:r>
        <w:rPr>
          <w:rFonts w:hint="eastAsia" w:ascii="仿宋" w:hAnsi="仿宋"/>
          <w:sz w:val="28"/>
          <w:szCs w:val="28"/>
        </w:rPr>
        <w:t>11.徐州裕之泽科技咨询合伙企业（有限合伙），认缴出资额为307.58万元，持股比例0.8289%；</w:t>
      </w:r>
    </w:p>
    <w:p w14:paraId="7CBD7AB0">
      <w:pPr>
        <w:spacing w:line="560" w:lineRule="exact"/>
        <w:ind w:firstLine="560" w:firstLineChars="200"/>
        <w:rPr>
          <w:rFonts w:hint="eastAsia" w:ascii="仿宋" w:hAnsi="仿宋"/>
          <w:sz w:val="28"/>
          <w:szCs w:val="28"/>
        </w:rPr>
      </w:pPr>
      <w:r>
        <w:rPr>
          <w:rFonts w:hint="eastAsia" w:ascii="仿宋" w:hAnsi="仿宋"/>
          <w:sz w:val="28"/>
          <w:szCs w:val="28"/>
        </w:rPr>
        <w:t>12.深圳大河德化投资中心（有限合伙），认缴出资额为292.2万元，持股比例0.7875%；</w:t>
      </w:r>
    </w:p>
    <w:p w14:paraId="0C189DFD">
      <w:pPr>
        <w:spacing w:line="560" w:lineRule="exact"/>
        <w:ind w:firstLine="560" w:firstLineChars="200"/>
        <w:rPr>
          <w:rFonts w:hint="eastAsia" w:ascii="仿宋" w:hAnsi="仿宋"/>
          <w:sz w:val="28"/>
          <w:szCs w:val="28"/>
        </w:rPr>
      </w:pPr>
      <w:r>
        <w:rPr>
          <w:rFonts w:hint="eastAsia" w:ascii="仿宋" w:hAnsi="仿宋"/>
          <w:sz w:val="28"/>
          <w:szCs w:val="28"/>
        </w:rPr>
        <w:t>13.上海豫鸿资产管理中心（有限合伙），认缴出资额为276.82万元，持股比例0.7460%；</w:t>
      </w:r>
    </w:p>
    <w:p w14:paraId="2771A3B1">
      <w:pPr>
        <w:spacing w:line="560" w:lineRule="exact"/>
        <w:ind w:firstLine="560" w:firstLineChars="200"/>
        <w:rPr>
          <w:rFonts w:hint="eastAsia" w:ascii="仿宋" w:hAnsi="仿宋"/>
          <w:sz w:val="28"/>
          <w:szCs w:val="28"/>
        </w:rPr>
      </w:pPr>
      <w:r>
        <w:rPr>
          <w:rFonts w:hint="eastAsia" w:ascii="仿宋" w:hAnsi="仿宋"/>
          <w:sz w:val="28"/>
          <w:szCs w:val="28"/>
        </w:rPr>
        <w:t>14.合肥市产业投促创业投资基金一期合伙企业（有限合伙），认缴出资额为230.96万元，持股比例0.6224%；</w:t>
      </w:r>
    </w:p>
    <w:p w14:paraId="4DA17A4B">
      <w:pPr>
        <w:spacing w:line="560" w:lineRule="exact"/>
        <w:ind w:firstLine="560" w:firstLineChars="200"/>
        <w:rPr>
          <w:rFonts w:hint="eastAsia" w:ascii="仿宋" w:hAnsi="仿宋"/>
          <w:sz w:val="28"/>
          <w:szCs w:val="28"/>
        </w:rPr>
      </w:pPr>
      <w:r>
        <w:rPr>
          <w:rFonts w:hint="eastAsia" w:ascii="仿宋" w:hAnsi="仿宋"/>
          <w:sz w:val="28"/>
          <w:szCs w:val="28"/>
        </w:rPr>
        <w:t>15.杭州富阳鑫盛瓴泓股权投资合伙企业（有限合伙），认缴出资额为200万元，持股比例0.5390%；</w:t>
      </w:r>
    </w:p>
    <w:p w14:paraId="46DD638A">
      <w:pPr>
        <w:spacing w:line="560" w:lineRule="exact"/>
        <w:ind w:firstLine="560" w:firstLineChars="200"/>
        <w:rPr>
          <w:rFonts w:hint="eastAsia" w:ascii="仿宋" w:hAnsi="仿宋"/>
          <w:sz w:val="28"/>
          <w:szCs w:val="28"/>
        </w:rPr>
      </w:pPr>
      <w:r>
        <w:rPr>
          <w:rFonts w:hint="eastAsia" w:ascii="仿宋" w:hAnsi="仿宋"/>
          <w:sz w:val="28"/>
          <w:szCs w:val="28"/>
        </w:rPr>
        <w:t>16.徐州市辉霖管理咨询合伙企业（有限合伙），认缴出资额为200万元，持股比例0.5390%；</w:t>
      </w:r>
    </w:p>
    <w:p w14:paraId="36408C3C">
      <w:pPr>
        <w:spacing w:line="560" w:lineRule="exact"/>
        <w:ind w:firstLine="560" w:firstLineChars="200"/>
        <w:rPr>
          <w:rFonts w:hint="eastAsia" w:ascii="仿宋" w:hAnsi="仿宋"/>
          <w:sz w:val="28"/>
          <w:szCs w:val="28"/>
        </w:rPr>
      </w:pPr>
      <w:r>
        <w:rPr>
          <w:rFonts w:hint="eastAsia" w:ascii="仿宋" w:hAnsi="仿宋"/>
          <w:sz w:val="28"/>
          <w:szCs w:val="28"/>
        </w:rPr>
        <w:t>17.平顶山林纶企业管理咨询合伙企业（有限合伙），认缴出资额为200万元，持股比例0.5390%；</w:t>
      </w:r>
    </w:p>
    <w:p w14:paraId="6550B13C">
      <w:pPr>
        <w:spacing w:line="560" w:lineRule="exact"/>
        <w:ind w:firstLine="560" w:firstLineChars="200"/>
        <w:rPr>
          <w:rFonts w:hint="eastAsia" w:ascii="仿宋" w:hAnsi="仿宋"/>
          <w:sz w:val="28"/>
          <w:szCs w:val="28"/>
        </w:rPr>
      </w:pPr>
      <w:r>
        <w:rPr>
          <w:rFonts w:hint="eastAsia" w:ascii="仿宋" w:hAnsi="仿宋"/>
          <w:sz w:val="28"/>
          <w:szCs w:val="28"/>
        </w:rPr>
        <w:t>18.青岛沐之瑞股权投资合伙企业（有限合伙），认缴出资额为153.8万元，持股比例0.4145%；</w:t>
      </w:r>
    </w:p>
    <w:p w14:paraId="63AC4A06">
      <w:pPr>
        <w:spacing w:line="560" w:lineRule="exact"/>
        <w:ind w:firstLine="560" w:firstLineChars="200"/>
        <w:rPr>
          <w:rFonts w:hint="eastAsia" w:ascii="仿宋" w:hAnsi="仿宋"/>
          <w:sz w:val="28"/>
          <w:szCs w:val="28"/>
        </w:rPr>
      </w:pPr>
      <w:r>
        <w:rPr>
          <w:rFonts w:hint="eastAsia" w:ascii="仿宋" w:hAnsi="仿宋"/>
          <w:sz w:val="28"/>
          <w:szCs w:val="28"/>
        </w:rPr>
        <w:t>19.北京轻舟互联投资中心（有限合伙），认缴出资额为141.64万元，持股比例0.3817%；</w:t>
      </w:r>
    </w:p>
    <w:p w14:paraId="63A0B25A">
      <w:pPr>
        <w:spacing w:line="560" w:lineRule="exact"/>
        <w:ind w:firstLine="560" w:firstLineChars="200"/>
        <w:rPr>
          <w:rFonts w:hint="eastAsia" w:ascii="仿宋" w:hAnsi="仿宋"/>
          <w:sz w:val="28"/>
          <w:szCs w:val="28"/>
        </w:rPr>
      </w:pPr>
      <w:r>
        <w:rPr>
          <w:rFonts w:hint="eastAsia" w:ascii="仿宋" w:hAnsi="仿宋"/>
          <w:sz w:val="28"/>
          <w:szCs w:val="28"/>
        </w:rPr>
        <w:t>20.邱永新，认缴出资额为100万元，持股比例0.2695%；</w:t>
      </w:r>
    </w:p>
    <w:p w14:paraId="26E70F4C">
      <w:pPr>
        <w:spacing w:line="560" w:lineRule="exact"/>
        <w:ind w:firstLine="560" w:firstLineChars="200"/>
        <w:rPr>
          <w:rFonts w:hint="eastAsia" w:ascii="仿宋" w:hAnsi="仿宋"/>
          <w:sz w:val="28"/>
          <w:szCs w:val="28"/>
        </w:rPr>
      </w:pPr>
      <w:r>
        <w:rPr>
          <w:rFonts w:hint="eastAsia" w:ascii="仿宋" w:hAnsi="仿宋"/>
          <w:sz w:val="28"/>
          <w:szCs w:val="28"/>
        </w:rPr>
        <w:t>21.河南大河景泰资产管理中心（有限合伙），认缴出资额为76.9万元，持股比例0.2072%；</w:t>
      </w:r>
    </w:p>
    <w:p w14:paraId="09429FF8">
      <w:pPr>
        <w:spacing w:line="560" w:lineRule="exact"/>
        <w:ind w:firstLine="560" w:firstLineChars="200"/>
        <w:rPr>
          <w:rFonts w:hint="eastAsia" w:ascii="仿宋" w:hAnsi="仿宋"/>
          <w:sz w:val="28"/>
          <w:szCs w:val="28"/>
        </w:rPr>
      </w:pPr>
      <w:r>
        <w:rPr>
          <w:rFonts w:hint="eastAsia" w:ascii="仿宋" w:hAnsi="仿宋"/>
          <w:sz w:val="28"/>
          <w:szCs w:val="28"/>
        </w:rPr>
        <w:t>22.田瑞君，认缴出资额为50万元，持股比例0.1347%。</w:t>
      </w:r>
    </w:p>
    <w:p w14:paraId="5BFF99E6">
      <w:pPr>
        <w:pStyle w:val="5"/>
        <w:shd w:val="clear" w:color="auto" w:fill="FFFFFF"/>
        <w:spacing w:line="560" w:lineRule="exact"/>
        <w:ind w:firstLine="562" w:firstLineChars="200"/>
        <w:textAlignment w:val="top"/>
        <w:rPr>
          <w:rFonts w:hint="eastAsia" w:ascii="仿宋" w:hAnsi="仿宋"/>
          <w:b/>
          <w:bCs/>
          <w:color w:val="000000"/>
          <w:sz w:val="28"/>
          <w:szCs w:val="28"/>
          <w:shd w:val="clear" w:color="auto" w:fill="FFFFFF"/>
        </w:rPr>
      </w:pPr>
      <w:r>
        <w:rPr>
          <w:rFonts w:hint="eastAsia" w:ascii="仿宋" w:hAnsi="仿宋"/>
          <w:b/>
          <w:bCs/>
          <w:color w:val="000000"/>
          <w:sz w:val="28"/>
          <w:szCs w:val="28"/>
          <w:shd w:val="clear" w:color="auto" w:fill="FFFFFF"/>
        </w:rPr>
        <w:t>（三）资产负债情况</w:t>
      </w:r>
    </w:p>
    <w:p w14:paraId="77BFFE38">
      <w:pPr>
        <w:shd w:val="clear" w:color="auto" w:fill="FFFFFF"/>
        <w:spacing w:line="56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根据世纪金光提交的《情况说明》显示，截至2024年9月，世纪金光账面资产总额为</w:t>
      </w:r>
      <w:r>
        <w:rPr>
          <w:rFonts w:hint="eastAsia" w:ascii="仿宋" w:hAnsi="仿宋"/>
          <w:spacing w:val="-11"/>
          <w:sz w:val="28"/>
          <w:szCs w:val="28"/>
        </w:rPr>
        <w:t>512,202,251.84</w:t>
      </w:r>
      <w:r>
        <w:rPr>
          <w:rFonts w:hint="eastAsia" w:ascii="仿宋" w:hAnsi="仿宋"/>
          <w:color w:val="000000"/>
          <w:sz w:val="28"/>
          <w:szCs w:val="28"/>
          <w:shd w:val="clear" w:color="auto" w:fill="FFFFFF"/>
          <w:lang w:bidi="ar"/>
        </w:rPr>
        <w:t>元，账面负债</w:t>
      </w:r>
      <w:r>
        <w:rPr>
          <w:rFonts w:hint="eastAsia" w:ascii="仿宋" w:hAnsi="仿宋"/>
          <w:spacing w:val="-11"/>
          <w:sz w:val="28"/>
          <w:szCs w:val="28"/>
        </w:rPr>
        <w:t>总额为527,970,227.74</w:t>
      </w:r>
      <w:r>
        <w:rPr>
          <w:rFonts w:hint="eastAsia" w:ascii="仿宋" w:hAnsi="仿宋"/>
          <w:color w:val="000000"/>
          <w:sz w:val="28"/>
          <w:szCs w:val="28"/>
          <w:shd w:val="clear" w:color="auto" w:fill="FFFFFF"/>
          <w:lang w:bidi="ar"/>
        </w:rPr>
        <w:t>元。具体资产负债数据最终以管理人聘请的审计和评估机构出具的报告数据以及管理人审查确认的债权数据为准。</w:t>
      </w:r>
    </w:p>
    <w:p w14:paraId="1B88993D">
      <w:pPr>
        <w:pStyle w:val="5"/>
        <w:shd w:val="clear" w:color="auto" w:fill="FFFFFF"/>
        <w:spacing w:line="560" w:lineRule="exact"/>
        <w:ind w:firstLine="562" w:firstLineChars="200"/>
        <w:textAlignment w:val="top"/>
        <w:rPr>
          <w:rFonts w:hint="eastAsia" w:ascii="仿宋" w:hAnsi="仿宋"/>
          <w:color w:val="000000"/>
          <w:sz w:val="28"/>
          <w:szCs w:val="28"/>
          <w:shd w:val="clear" w:color="auto" w:fill="FFFFFF"/>
        </w:rPr>
      </w:pPr>
      <w:r>
        <w:rPr>
          <w:rFonts w:hint="eastAsia" w:ascii="仿宋" w:hAnsi="仿宋"/>
          <w:b/>
          <w:bCs/>
          <w:color w:val="000000"/>
          <w:sz w:val="28"/>
          <w:szCs w:val="28"/>
          <w:shd w:val="clear" w:color="auto" w:fill="FFFFFF"/>
        </w:rPr>
        <w:t>（四）主营业务与优势</w:t>
      </w:r>
    </w:p>
    <w:p w14:paraId="626B8C67">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世纪金光位于北京经济技术开发区，</w:t>
      </w:r>
      <w:r>
        <w:rPr>
          <w:rFonts w:hint="eastAsia" w:ascii="仿宋" w:hAnsi="仿宋"/>
          <w:color w:val="000000"/>
          <w:sz w:val="28"/>
          <w:szCs w:val="28"/>
          <w:shd w:val="clear" w:color="auto" w:fill="FFFFFF"/>
          <w:lang w:val="en-US" w:eastAsia="zh-CN"/>
        </w:rPr>
        <w:t>据世纪金光有关人员介绍，世纪金光</w:t>
      </w:r>
      <w:r>
        <w:rPr>
          <w:rFonts w:hint="eastAsia" w:ascii="仿宋" w:hAnsi="仿宋"/>
          <w:color w:val="000000"/>
          <w:sz w:val="28"/>
          <w:szCs w:val="28"/>
          <w:shd w:val="clear" w:color="auto" w:fill="FFFFFF"/>
        </w:rPr>
        <w:t>是一家贯通碳化硅全产业链的综合型半导体企业，国家“核高基”01科技重大专项组长牵头单位(碳化硅材料与芯片)、获得国家科技重大专项和产业化项目达84项，是国家高新技术企业、中关村高新技术企业、国家军民融合楷模企业、半导体领域国防重点研制企业、北京市集成电路重点企业、北京市专精特新“小巨人”企业，北京市专利试点单位，获得形成专利214件，其中国际发明专利7件。公司战略新兴半导体研究院入选“中国制造2025”重大项目库；连续三年入选北京市高精尖重点项目；建有首个国家级“半导体材料与器件和模块”检测中心；2020年在国内率先获得汽车行业IATF16949车规级芯片与模块认证；参与发起设立“国家新能源汽车”创新中心；建有第三代半导体“院士工作站”、北京市“第三代半导体功率器件”工程研究中心；荣获2018年中国高科技高成长50强企业、中国优秀民营科技企业。公司各类资质证件和质量体系证书齐全，综合实力较强。</w:t>
      </w:r>
    </w:p>
    <w:p w14:paraId="52F6440D">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世纪金光已初步形成碳化硅全产业链IDM模式，拥有年产3万片碳化硅芯片生产线与年产15万套功率模板生产线。持有合肥世纪金芯半导体有限公司26.6429%的股权，其拥有年产3万片6英寸和年产6000片8英寸碳化硅单晶衬底生产线各一条。已开展布局8英寸碳化硅单晶衬底项目，并于2024年签约部分意向订单。</w:t>
      </w:r>
    </w:p>
    <w:p w14:paraId="4C9D917F">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 xml:space="preserve">世纪金光的产品具有较高市场声誉及较强的竞争优势，成本低、良率高、产品迭代速度快。6-8英寸导电型碳化硅单晶衬底片、1700V以下SBD和MOSFET芯片、800A以下功率模块已实现自主研发及产业化验证，3300V以下MOSFET芯片及模块已实现工程化，客户主要集中在外延厂、终端设备厂、代理商等，产品主要应用领域为新能源汽车、光伏发电、轨道交通、智能电网、航空航天、5G通信、卫星、雷达、工业控制、白色家电等尖端领域。 </w:t>
      </w:r>
    </w:p>
    <w:p w14:paraId="53E388C1">
      <w:pPr>
        <w:pStyle w:val="5"/>
        <w:shd w:val="clear" w:color="auto" w:fill="FFFFFF"/>
        <w:spacing w:line="560" w:lineRule="exact"/>
        <w:ind w:firstLine="562" w:firstLineChars="200"/>
        <w:textAlignment w:val="top"/>
        <w:rPr>
          <w:rFonts w:hint="eastAsia" w:ascii="楷体" w:hAnsi="楷体" w:eastAsia="楷体" w:cs="楷体"/>
          <w:color w:val="000000"/>
          <w:sz w:val="28"/>
          <w:szCs w:val="28"/>
        </w:rPr>
      </w:pPr>
      <w:r>
        <w:rPr>
          <w:rFonts w:hint="eastAsia" w:ascii="楷体" w:hAnsi="楷体" w:eastAsia="楷体" w:cs="楷体"/>
          <w:b/>
          <w:bCs/>
          <w:color w:val="000000"/>
          <w:sz w:val="28"/>
          <w:szCs w:val="28"/>
          <w:shd w:val="clear" w:color="auto" w:fill="FFFFFF"/>
        </w:rPr>
        <w:t>三、 预招募目的及条件</w:t>
      </w:r>
    </w:p>
    <w:p w14:paraId="5B02493A">
      <w:pPr>
        <w:pStyle w:val="5"/>
        <w:shd w:val="clear" w:color="auto" w:fill="FFFFFF"/>
        <w:spacing w:line="56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（一）预招募目的</w:t>
      </w:r>
    </w:p>
    <w:p w14:paraId="01C00C3E">
      <w:pPr>
        <w:shd w:val="clear" w:color="auto" w:fill="FFFFFF"/>
        <w:spacing w:line="56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通过预招募意向投资方，对债务人名下的资产进行重整，以恢复其经营活力，实现资产的保值增值，保障债权人的合法权益。</w:t>
      </w:r>
    </w:p>
    <w:p w14:paraId="3FA255A7">
      <w:pPr>
        <w:pStyle w:val="5"/>
        <w:shd w:val="clear" w:color="auto" w:fill="FFFFFF"/>
        <w:spacing w:line="56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（二）预招募条件</w:t>
      </w:r>
    </w:p>
    <w:p w14:paraId="51BCCB2D">
      <w:pPr>
        <w:shd w:val="clear" w:color="auto" w:fill="FFFFFF"/>
        <w:spacing w:line="56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管理人秉持公平、公开、公正的基本原则预招募意向投资人，意向投资人至少须具备以下条件：</w:t>
      </w:r>
    </w:p>
    <w:p w14:paraId="52CB5038">
      <w:pPr>
        <w:pStyle w:val="5"/>
        <w:shd w:val="clear" w:color="auto" w:fill="FFFFFF"/>
        <w:spacing w:line="56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1. 意向投资人应当是依法成立且有效存续的企业法人或非法人组织等主体。</w:t>
      </w:r>
    </w:p>
    <w:p w14:paraId="5CD14A23">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2. 意向投资人应具有良好的信用记录，未被人民法院列入失信被执行人名单，最近三年（自2022年1月1日起算）无重大违法行为</w:t>
      </w:r>
      <w:r>
        <w:rPr>
          <w:rFonts w:hint="eastAsia" w:ascii="仿宋" w:hAnsi="仿宋"/>
          <w:color w:val="000000"/>
          <w:sz w:val="28"/>
          <w:szCs w:val="28"/>
          <w:shd w:val="clear" w:color="auto" w:fill="FFFFFF"/>
          <w:lang w:val="en-US" w:eastAsia="zh-CN"/>
        </w:rPr>
        <w:t>亦</w:t>
      </w:r>
      <w:r>
        <w:rPr>
          <w:rFonts w:hint="eastAsia" w:ascii="仿宋" w:hAnsi="仿宋"/>
          <w:color w:val="000000"/>
          <w:sz w:val="28"/>
          <w:szCs w:val="28"/>
          <w:shd w:val="clear" w:color="auto" w:fill="FFFFFF"/>
        </w:rPr>
        <w:t>未涉嫌重大违法行为，不属于失信联合惩戒对象，未被市场监督管理部门列入企业经营异常名单。若报名机构为存续三年以下（含）企业法人，应按实际成立年限出具承诺。</w:t>
      </w:r>
    </w:p>
    <w:p w14:paraId="6415F9BA">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3. 意向投资人应在报名截止日前向本公告中列明的管理人账户足额缴纳尽调保证金人民币壹佰万元。</w:t>
      </w:r>
    </w:p>
    <w:p w14:paraId="3A1A4CAE">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4. 意向投资人应在提交书面《重整投资方案》前向本公告中列明的管理人账户足额缴纳报名保证金人民币壹仟万元，同时尽调保证金转化为报名保证金，其余报名保证金由意向投资人在期限内补足。</w:t>
      </w:r>
    </w:p>
    <w:p w14:paraId="1DFC8F92">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5. 意向投资人以联合体形式参与遴选的，其中任一投资人均需符合上述第1、2项条件且须明确联合体中各方角色。</w:t>
      </w:r>
    </w:p>
    <w:p w14:paraId="7D1C9E24">
      <w:pPr>
        <w:pStyle w:val="5"/>
        <w:shd w:val="clear" w:color="auto" w:fill="FFFFFF"/>
        <w:spacing w:line="540" w:lineRule="exact"/>
        <w:ind w:firstLine="562" w:firstLineChars="200"/>
        <w:textAlignment w:val="top"/>
        <w:rPr>
          <w:rFonts w:hint="eastAsia" w:ascii="楷体" w:hAnsi="楷体" w:eastAsia="楷体" w:cs="楷体"/>
          <w:color w:val="000000"/>
          <w:sz w:val="28"/>
          <w:szCs w:val="28"/>
        </w:rPr>
      </w:pPr>
      <w:r>
        <w:rPr>
          <w:rFonts w:hint="eastAsia" w:ascii="楷体" w:hAnsi="楷体" w:eastAsia="楷体" w:cs="楷体"/>
          <w:b/>
          <w:bCs/>
          <w:color w:val="000000"/>
          <w:sz w:val="28"/>
          <w:szCs w:val="28"/>
          <w:shd w:val="clear" w:color="auto" w:fill="FFFFFF"/>
        </w:rPr>
        <w:t>四、 预招募流程</w:t>
      </w:r>
    </w:p>
    <w:p w14:paraId="4DEBBD91">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（一） 报名</w:t>
      </w:r>
    </w:p>
    <w:p w14:paraId="67D4527E">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1. 报名时间</w:t>
      </w:r>
    </w:p>
    <w:p w14:paraId="576D9E6A">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意向投资人应当于本公告发布之日起至</w:t>
      </w:r>
      <w:r>
        <w:rPr>
          <w:rFonts w:hint="eastAsia" w:ascii="仿宋" w:hAnsi="仿宋"/>
          <w:color w:val="000000"/>
          <w:sz w:val="28"/>
          <w:szCs w:val="28"/>
          <w:u w:val="single"/>
          <w:shd w:val="clear" w:color="auto" w:fill="FFFFFF"/>
          <w:lang w:bidi="ar"/>
        </w:rPr>
        <w:t>2025年</w:t>
      </w:r>
      <w:r>
        <w:rPr>
          <w:rFonts w:hint="eastAsia" w:ascii="仿宋" w:hAnsi="仿宋"/>
          <w:color w:val="000000"/>
          <w:sz w:val="28"/>
          <w:szCs w:val="28"/>
          <w:u w:val="single"/>
          <w:shd w:val="clear" w:color="auto" w:fill="FFFFFF"/>
          <w:lang w:val="en-US" w:eastAsia="zh-CN" w:bidi="ar"/>
        </w:rPr>
        <w:t>4</w:t>
      </w:r>
      <w:r>
        <w:rPr>
          <w:rFonts w:hint="eastAsia" w:ascii="仿宋" w:hAnsi="仿宋"/>
          <w:color w:val="000000"/>
          <w:sz w:val="28"/>
          <w:szCs w:val="28"/>
          <w:u w:val="single"/>
          <w:shd w:val="clear" w:color="auto" w:fill="FFFFFF"/>
          <w:lang w:bidi="ar"/>
        </w:rPr>
        <w:t>月15日17时</w:t>
      </w:r>
      <w:r>
        <w:rPr>
          <w:rFonts w:hint="eastAsia" w:ascii="仿宋" w:hAnsi="仿宋"/>
          <w:color w:val="000000"/>
          <w:sz w:val="28"/>
          <w:szCs w:val="28"/>
          <w:shd w:val="clear" w:color="auto" w:fill="FFFFFF"/>
          <w:lang w:bidi="ar"/>
        </w:rPr>
        <w:t>前，将报名材料纸质版提交至管理人指定报名地点，同时发送报名材料扫描版至管理人指定电子邮箱：bjhx@yunqingsuan.com（文件超过15M的请以网盘链接等形式发送），管理人接收到纸质报名材料或电子版扫描件报名材料，均视为意向投资人成功提交报名材料。期限届满后，管理人有权视情况决定是否延长报名期限。</w:t>
      </w:r>
    </w:p>
    <w:p w14:paraId="23631EE7">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2. 报名材料</w:t>
      </w:r>
    </w:p>
    <w:p w14:paraId="2CA547F4">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意向投资人需提交纸质版报名材料一式两份，装订成册，加盖意向投资人公章和骑缝章，并由其法定代表人、负责人或授权代表签名；如意向投资人为联合体的，联合体成员均需加盖公章，由联合体牵头投资人加盖骑缝章并提交。意向投资人未按本公告要求提交完整报名材料的，管理人有权不予接收或要求补正。材料具体包括：</w:t>
      </w:r>
    </w:p>
    <w:p w14:paraId="5BC632C8">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（1） 报名意向书（见附件1）；</w:t>
      </w:r>
    </w:p>
    <w:p w14:paraId="5D970602">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（2） 关于意向投资人未被人民法院列入失信被执行人名单、不属于惩戒对象、预招募遴选期间遵守管理人安排等事项的承诺函（见附件2）；</w:t>
      </w:r>
    </w:p>
    <w:p w14:paraId="05CE7563">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（3） 意向投资人简介（含主体资格、股权结构、主营业务、历史沿革、组织结构等信息，如为联合体参与遴选的，需要介绍各投资人所担当的角色分工、权利义务等）；</w:t>
      </w:r>
    </w:p>
    <w:p w14:paraId="5C7A17B4">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（4） 意向投资人的营业执照复印件（须加盖公章）、法定代表人或负责人的身份证明文件（见附件3）、授权委托书原件（见附件4）及受托人身份证明文件、最近三年的财务报表等。若报名机构为存续三年以下（含）企业法人，应按实际成立年限提供财务报表；</w:t>
      </w:r>
    </w:p>
    <w:p w14:paraId="52EC2BD5">
      <w:pPr>
        <w:pStyle w:val="5"/>
        <w:shd w:val="clear" w:color="auto" w:fill="FFFFFF"/>
        <w:spacing w:line="54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（5） 意向投资人承诺对知悉的债务人情况予以保密并签署的保密承诺函（见附件5）；</w:t>
      </w:r>
    </w:p>
    <w:p w14:paraId="495A633E">
      <w:pPr>
        <w:pStyle w:val="5"/>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rPr>
        <w:t>（6） 意向投资人保证金缴纳凭证。请意向投资人注明单位全称及款项性质“世纪金光重整尽调保证金”或“世纪金光/重整报名保证金”。</w:t>
      </w:r>
    </w:p>
    <w:p w14:paraId="2B9E2BB3">
      <w:pPr>
        <w:pStyle w:val="5"/>
        <w:shd w:val="clear" w:color="auto" w:fill="FFFFFF"/>
        <w:spacing w:line="540" w:lineRule="exact"/>
        <w:ind w:firstLine="560" w:firstLineChars="200"/>
        <w:textAlignment w:val="top"/>
        <w:rPr>
          <w:rFonts w:hint="eastAsia" w:ascii="仿宋" w:hAnsi="仿宋"/>
          <w:sz w:val="28"/>
          <w:szCs w:val="28"/>
        </w:rPr>
      </w:pPr>
      <w:r>
        <w:rPr>
          <w:rFonts w:hint="eastAsia" w:ascii="仿宋" w:hAnsi="仿宋"/>
          <w:sz w:val="28"/>
          <w:szCs w:val="28"/>
          <w:shd w:val="clear" w:color="auto" w:fill="FFFFFF"/>
        </w:rPr>
        <w:t>世纪金光管理人账户具体信息如下：</w:t>
      </w:r>
    </w:p>
    <w:p w14:paraId="6DFF3443">
      <w:pPr>
        <w:pStyle w:val="5"/>
        <w:shd w:val="clear" w:color="auto" w:fill="FFFFFF"/>
        <w:spacing w:line="540" w:lineRule="exact"/>
        <w:ind w:firstLine="560" w:firstLineChars="200"/>
        <w:textAlignment w:val="top"/>
        <w:rPr>
          <w:rFonts w:hint="eastAsia" w:ascii="仿宋" w:hAnsi="仿宋"/>
          <w:sz w:val="28"/>
          <w:szCs w:val="28"/>
          <w:shd w:val="clear" w:color="auto" w:fill="FFFFFF"/>
        </w:rPr>
      </w:pPr>
      <w:r>
        <w:rPr>
          <w:rFonts w:hint="eastAsia" w:ascii="仿宋" w:hAnsi="仿宋"/>
          <w:sz w:val="28"/>
          <w:szCs w:val="28"/>
          <w:shd w:val="clear" w:color="auto" w:fill="FFFFFF"/>
        </w:rPr>
        <w:t>户名：北京世纪金光半导体有限公司管理人</w:t>
      </w:r>
    </w:p>
    <w:p w14:paraId="7284DE0E">
      <w:pPr>
        <w:pStyle w:val="5"/>
        <w:shd w:val="clear" w:color="auto" w:fill="FFFFFF"/>
        <w:spacing w:line="540" w:lineRule="exact"/>
        <w:ind w:firstLine="560" w:firstLineChars="200"/>
        <w:textAlignment w:val="top"/>
        <w:rPr>
          <w:rFonts w:hint="eastAsia" w:ascii="仿宋" w:hAnsi="仿宋"/>
          <w:sz w:val="28"/>
          <w:szCs w:val="28"/>
          <w:shd w:val="clear" w:color="auto" w:fill="FFFFFF"/>
        </w:rPr>
      </w:pPr>
      <w:r>
        <w:rPr>
          <w:rFonts w:hint="eastAsia" w:ascii="仿宋" w:hAnsi="仿宋"/>
          <w:sz w:val="28"/>
          <w:szCs w:val="28"/>
          <w:shd w:val="clear" w:color="auto" w:fill="FFFFFF"/>
        </w:rPr>
        <w:t>账号：0200048439200358251</w:t>
      </w:r>
    </w:p>
    <w:p w14:paraId="6E47B8B1">
      <w:pPr>
        <w:pStyle w:val="5"/>
        <w:shd w:val="clear" w:color="auto" w:fill="FFFFFF"/>
        <w:spacing w:line="540" w:lineRule="exact"/>
        <w:ind w:firstLine="560" w:firstLineChars="200"/>
        <w:textAlignment w:val="top"/>
        <w:rPr>
          <w:rFonts w:hint="eastAsia" w:ascii="仿宋" w:hAnsi="仿宋"/>
          <w:sz w:val="28"/>
          <w:szCs w:val="28"/>
          <w:shd w:val="clear" w:color="auto" w:fill="FFFFFF"/>
        </w:rPr>
      </w:pPr>
      <w:r>
        <w:rPr>
          <w:rFonts w:hint="eastAsia" w:ascii="仿宋" w:hAnsi="仿宋"/>
          <w:sz w:val="28"/>
          <w:szCs w:val="28"/>
          <w:shd w:val="clear" w:color="auto" w:fill="FFFFFF"/>
        </w:rPr>
        <w:t>开户行：中国工商银行股份有限公司北京大郊亭支行</w:t>
      </w:r>
    </w:p>
    <w:p w14:paraId="50855702">
      <w:pPr>
        <w:pStyle w:val="5"/>
        <w:shd w:val="clear" w:color="auto" w:fill="FFFFFF"/>
        <w:spacing w:line="540" w:lineRule="exact"/>
        <w:ind w:firstLine="560" w:firstLineChars="200"/>
        <w:textAlignment w:val="top"/>
        <w:rPr>
          <w:rFonts w:hint="eastAsia" w:ascii="仿宋" w:hAnsi="仿宋"/>
          <w:sz w:val="28"/>
          <w:szCs w:val="28"/>
          <w:shd w:val="clear" w:color="auto" w:fill="FFFFFF"/>
        </w:rPr>
      </w:pPr>
      <w:r>
        <w:rPr>
          <w:rFonts w:hint="eastAsia" w:ascii="仿宋" w:hAnsi="仿宋"/>
          <w:sz w:val="28"/>
          <w:szCs w:val="28"/>
          <w:shd w:val="clear" w:color="auto" w:fill="FFFFFF"/>
        </w:rPr>
        <w:t xml:space="preserve">行号:102100004847‌ </w:t>
      </w:r>
    </w:p>
    <w:p w14:paraId="2667D98B">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（二） 初步筛选</w:t>
      </w:r>
    </w:p>
    <w:p w14:paraId="79117FF6">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管理人将对意向投资人提交的报名材料进行形式审查，审查通过的，即为通过初步筛选；提交的报名材料存在缺失、遗漏，或未缴纳尽调保证金的，管理人将通知补正，意向投资人应于</w:t>
      </w:r>
      <w:r>
        <w:rPr>
          <w:rFonts w:hint="eastAsia" w:ascii="仿宋" w:hAnsi="仿宋"/>
          <w:color w:val="000000"/>
          <w:sz w:val="28"/>
          <w:szCs w:val="28"/>
          <w:shd w:val="clear" w:color="auto" w:fill="FFFFFF"/>
          <w:lang w:val="en-US" w:eastAsia="zh-CN" w:bidi="ar"/>
        </w:rPr>
        <w:t>收到</w:t>
      </w:r>
      <w:r>
        <w:rPr>
          <w:rFonts w:hint="eastAsia" w:ascii="仿宋" w:hAnsi="仿宋"/>
          <w:color w:val="000000"/>
          <w:sz w:val="28"/>
          <w:szCs w:val="28"/>
          <w:shd w:val="clear" w:color="auto" w:fill="FFFFFF"/>
          <w:lang w:bidi="ar"/>
        </w:rPr>
        <w:t>管理人通知之日起5日内完成补正，逾期未能补正报名材料或缴纳尽调保证金的，视为无效报名。管理人将在初步筛选后，向通过形式审查的意向投资人发出报名成功确认函。</w:t>
      </w:r>
    </w:p>
    <w:p w14:paraId="2F66F1BC">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（三）尽职调查</w:t>
      </w:r>
    </w:p>
    <w:p w14:paraId="1B548C65">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通过管理人初步筛选且收到管理人发出的报名成功确认函的意向投资人即可以自行或委托中介机构对债务人开展适当的尽职调查工作，管理人根据预招募工作进展情况向通过初步筛选的意向投资人开放尽调资料库，并有权按报名顺序安排意向投资人逐家进行现场访谈。</w:t>
      </w:r>
    </w:p>
    <w:p w14:paraId="159AC307">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意向投资人开展尽职调查所需的各类费用均自行承担。</w:t>
      </w:r>
    </w:p>
    <w:p w14:paraId="6D38B031">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自意向投资人报名至签署重整投资协议前，管理人有权对意向投资人反向尽调，反向尽调内容包括但不限于主体资质、财务数据、履约能力等，意向投资人应予以配合。</w:t>
      </w:r>
    </w:p>
    <w:p w14:paraId="32CC4109">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（四）提交方案</w:t>
      </w:r>
    </w:p>
    <w:p w14:paraId="60E7CC36">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意向投资人应当于</w:t>
      </w:r>
      <w:r>
        <w:rPr>
          <w:rFonts w:hint="eastAsia" w:ascii="仿宋" w:hAnsi="仿宋"/>
          <w:color w:val="000000"/>
          <w:sz w:val="28"/>
          <w:szCs w:val="28"/>
          <w:u w:val="single"/>
          <w:shd w:val="clear" w:color="auto" w:fill="FFFFFF"/>
          <w:lang w:bidi="ar"/>
        </w:rPr>
        <w:t>2025年</w:t>
      </w:r>
      <w:r>
        <w:rPr>
          <w:rFonts w:hint="eastAsia" w:ascii="仿宋" w:hAnsi="仿宋"/>
          <w:color w:val="000000"/>
          <w:sz w:val="28"/>
          <w:szCs w:val="28"/>
          <w:u w:val="single"/>
          <w:shd w:val="clear" w:color="auto" w:fill="FFFFFF"/>
          <w:lang w:val="en-US" w:eastAsia="zh-CN" w:bidi="ar"/>
        </w:rPr>
        <w:t>5</w:t>
      </w:r>
      <w:r>
        <w:rPr>
          <w:rFonts w:hint="eastAsia" w:ascii="仿宋" w:hAnsi="仿宋"/>
          <w:color w:val="000000"/>
          <w:sz w:val="28"/>
          <w:szCs w:val="28"/>
          <w:u w:val="single"/>
          <w:shd w:val="clear" w:color="auto" w:fill="FFFFFF"/>
          <w:lang w:bidi="ar"/>
        </w:rPr>
        <w:t>月25日</w:t>
      </w:r>
      <w:r>
        <w:rPr>
          <w:rFonts w:hint="eastAsia" w:ascii="仿宋" w:hAnsi="仿宋"/>
          <w:color w:val="000000"/>
          <w:sz w:val="28"/>
          <w:szCs w:val="28"/>
          <w:shd w:val="clear" w:color="auto" w:fill="FFFFFF"/>
          <w:lang w:bidi="ar"/>
        </w:rPr>
        <w:t>前向管理人提交书面《重整投资方案》，同时尽调保证金转化为报名保证金，其余报名保证金由意向投资人在2025年4月25日前补足报名保证金。《重整投资方案》应符合《中华人民共和国企业破产法》的规定，且应包括但不限于意向投资人简介、投资金额及构成情况、经营方案、债权清偿方案、出资人权益调整方案等内容。管理人后续将根据预招募工作进展情况向意向投资人另行发送投资方案编制指引供意向投资人制作《重整投资方案》。</w:t>
      </w:r>
    </w:p>
    <w:p w14:paraId="37921A92">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意向投资人在提交《重整投资方案》过程中，管理人有权视意向投资人的报名情况和尽调情况，要求意向投资人追加缴纳保证金。</w:t>
      </w:r>
    </w:p>
    <w:p w14:paraId="7B121C8A">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（五）预遴选</w:t>
      </w:r>
    </w:p>
    <w:p w14:paraId="00DDE19B">
      <w:pPr>
        <w:shd w:val="clear" w:color="auto" w:fill="FFFFFF"/>
        <w:spacing w:line="54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在意向投资人提交《重整投资方案》后，管理人最终将在法院的指导和监督下，组织开展意向投资人预遴选程序，综合对比各意向投资人的履约能力、资信状态、投资方案（包括资金投入期限、方式）、偿债方案、出资人权益调整方案（如涉及）、经营方案等内容，从最大限度保护债权人合法权益及方案可行性的角度出发，评选出“出价最高且最优”的方案为最优方案，具体评选事宜将根据预招募及遴选情况另行通知。</w:t>
      </w:r>
    </w:p>
    <w:p w14:paraId="5B24BA5E">
      <w:pPr>
        <w:shd w:val="clear" w:color="auto" w:fill="FFFFFF"/>
        <w:spacing w:line="54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经选定为正式投资人的，应在管理人发出中选通知书之日起三日内与管理人签订以世纪金光被人民法院裁定进入重整程序为生效条件的投资协议。</w:t>
      </w:r>
    </w:p>
    <w:p w14:paraId="2B0E97CB">
      <w:pPr>
        <w:shd w:val="clear" w:color="auto" w:fill="FFFFFF"/>
        <w:spacing w:line="540" w:lineRule="exact"/>
        <w:ind w:firstLine="562" w:firstLineChars="200"/>
        <w:textAlignment w:val="top"/>
        <w:rPr>
          <w:rFonts w:hint="eastAsia" w:ascii="仿宋" w:hAnsi="仿宋"/>
          <w:b/>
          <w:bCs/>
          <w:color w:val="000000"/>
          <w:sz w:val="28"/>
          <w:szCs w:val="28"/>
          <w:shd w:val="clear" w:color="auto" w:fill="FFFFFF"/>
          <w:lang w:bidi="ar"/>
        </w:rPr>
      </w:pPr>
      <w:r>
        <w:rPr>
          <w:rFonts w:hint="eastAsia" w:ascii="仿宋" w:hAnsi="仿宋"/>
          <w:b/>
          <w:bCs/>
          <w:color w:val="000000"/>
          <w:sz w:val="28"/>
          <w:szCs w:val="28"/>
          <w:shd w:val="clear" w:color="auto" w:fill="FFFFFF"/>
          <w:lang w:bidi="ar"/>
        </w:rPr>
        <w:t>（六）程序转换（如涉及）</w:t>
      </w:r>
    </w:p>
    <w:p w14:paraId="69E21E69">
      <w:pPr>
        <w:shd w:val="clear" w:color="auto" w:fill="FFFFFF"/>
        <w:spacing w:line="54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如人民法院裁定世纪金光由破产清算程序转为重整程序，则经过上述预遴选程序确定的投资人将直接确定为假马重整投资人，同等条件下优先确定为重整投资人。管理人将依据已签署的投资协议编制《重整计划草案》提请债权人会议表决。</w:t>
      </w:r>
    </w:p>
    <w:p w14:paraId="22B58FEB">
      <w:pPr>
        <w:shd w:val="clear" w:color="auto" w:fill="FFFFFF"/>
        <w:spacing w:line="540" w:lineRule="exact"/>
        <w:ind w:firstLine="562" w:firstLineChars="200"/>
        <w:textAlignment w:val="top"/>
        <w:rPr>
          <w:rFonts w:hint="eastAsia" w:ascii="仿宋" w:hAnsi="仿宋"/>
          <w:b/>
          <w:bCs/>
          <w:color w:val="000000"/>
          <w:sz w:val="28"/>
          <w:szCs w:val="28"/>
          <w:shd w:val="clear" w:color="auto" w:fill="FFFFFF"/>
          <w:lang w:bidi="ar"/>
        </w:rPr>
      </w:pPr>
      <w:r>
        <w:rPr>
          <w:rFonts w:hint="eastAsia" w:ascii="仿宋" w:hAnsi="仿宋"/>
          <w:b/>
          <w:bCs/>
          <w:color w:val="000000"/>
          <w:sz w:val="28"/>
          <w:szCs w:val="28"/>
          <w:shd w:val="clear" w:color="auto" w:fill="FFFFFF"/>
          <w:lang w:bidi="ar"/>
        </w:rPr>
        <w:t>（七） 保证金的处理</w:t>
      </w:r>
    </w:p>
    <w:p w14:paraId="2A5EE1D2">
      <w:pPr>
        <w:shd w:val="clear" w:color="auto" w:fill="FFFFFF"/>
        <w:spacing w:line="540" w:lineRule="exact"/>
        <w:ind w:firstLine="560" w:firstLineChars="200"/>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根据本预招募流程，原则上，对于不参与下一轮遴选程序的意向投资人，管理人将在上一轮程序结果确定后退还其已缴纳的保证金（不计息），具体退款事宜由管理人另行通知。对于中选的重整投资人，已缴纳的保证金将全部转化为投资履约保证金（不计息），待重整计划获得法院裁定批准后自动转为投资款项。</w:t>
      </w:r>
    </w:p>
    <w:p w14:paraId="1509F8A7">
      <w:pPr>
        <w:pStyle w:val="5"/>
        <w:shd w:val="clear" w:color="auto" w:fill="FFFFFF"/>
        <w:spacing w:line="540" w:lineRule="exact"/>
        <w:ind w:firstLine="562" w:firstLineChars="200"/>
        <w:textAlignment w:val="top"/>
        <w:rPr>
          <w:rFonts w:hint="eastAsia" w:ascii="仿宋" w:hAnsi="仿宋"/>
          <w:b/>
          <w:bCs/>
          <w:color w:val="000000"/>
          <w:sz w:val="28"/>
          <w:szCs w:val="28"/>
          <w:shd w:val="clear" w:color="auto" w:fill="FFFFFF"/>
        </w:rPr>
      </w:pPr>
      <w:r>
        <w:rPr>
          <w:rFonts w:hint="eastAsia" w:ascii="仿宋" w:hAnsi="仿宋"/>
          <w:b/>
          <w:bCs/>
          <w:color w:val="000000"/>
          <w:sz w:val="28"/>
          <w:szCs w:val="28"/>
          <w:shd w:val="clear" w:color="auto" w:fill="FFFFFF"/>
        </w:rPr>
        <w:t>五、特殊事项说明</w:t>
      </w:r>
    </w:p>
    <w:p w14:paraId="3A94DD75">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管理人对世纪金光接管后，经初步调查发现世纪金光与北京华进创威电子有限公司（以下简称“华进创威”）存在关联关系，现华进创威已于2025年1月20日被北京市第一中级人民法院裁定受理其破产清算申请，并指定我方担任管理人，管理人</w:t>
      </w:r>
      <w:r>
        <w:rPr>
          <w:rFonts w:hint="eastAsia" w:ascii="仿宋" w:hAnsi="仿宋"/>
          <w:color w:val="000000"/>
          <w:sz w:val="28"/>
          <w:szCs w:val="28"/>
          <w:shd w:val="clear" w:color="auto" w:fill="FFFFFF"/>
          <w:lang w:val="en-US" w:eastAsia="zh-CN"/>
        </w:rPr>
        <w:t>已向</w:t>
      </w:r>
      <w:r>
        <w:rPr>
          <w:rFonts w:hint="eastAsia" w:ascii="仿宋" w:hAnsi="仿宋"/>
          <w:color w:val="000000"/>
          <w:sz w:val="28"/>
          <w:szCs w:val="28"/>
          <w:shd w:val="clear" w:color="auto" w:fill="FFFFFF"/>
        </w:rPr>
        <w:t>北京市第一中级人民法院提出对上述两公司是否进行实质合并破产审查的申请，具体审查结果，以人民法院出具的裁定书为准。</w:t>
      </w:r>
    </w:p>
    <w:p w14:paraId="7C00B395">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另经管理人初步调查发现，华进创威名下主要财产有一宗国有土地使用权，面积为37380.384㎡（约56亩），土地用途为工业用地，地上建筑面积约35000㎡（占地面积约28亩），主要包括办公楼和生产车间等建筑物，尚有28亩地上无建筑物（闲置）。现世纪金光办公场地及生产车间均处于华进创威所有的不动产内。</w:t>
      </w:r>
    </w:p>
    <w:p w14:paraId="41F6526A">
      <w:pPr>
        <w:pStyle w:val="5"/>
        <w:shd w:val="clear" w:color="auto" w:fill="FFFFFF"/>
        <w:spacing w:line="560" w:lineRule="exact"/>
        <w:ind w:firstLine="560" w:firstLineChars="200"/>
        <w:textAlignment w:val="top"/>
        <w:rPr>
          <w:rFonts w:hint="eastAsia" w:ascii="仿宋" w:hAnsi="仿宋"/>
          <w:color w:val="000000"/>
          <w:sz w:val="28"/>
          <w:szCs w:val="28"/>
          <w:shd w:val="clear" w:color="auto" w:fill="FFFFFF"/>
        </w:rPr>
      </w:pPr>
      <w:r>
        <w:rPr>
          <w:rFonts w:hint="eastAsia" w:ascii="仿宋" w:hAnsi="仿宋"/>
          <w:color w:val="000000"/>
          <w:sz w:val="28"/>
          <w:szCs w:val="28"/>
          <w:shd w:val="clear" w:color="auto" w:fill="FFFFFF"/>
        </w:rPr>
        <w:t>因本案具有实质合并破产可能性，因此特向各意向投资人披露以上事项，后续根据案件实际进展情况，再行确定对世纪金光进行单体重整、联合重整或实质合并重整。</w:t>
      </w:r>
    </w:p>
    <w:p w14:paraId="21C48CF1">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六、 其他事项</w:t>
      </w:r>
    </w:p>
    <w:p w14:paraId="0C5FCAA0">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本公告由管理人编制，解释权归属于管理人。由于各种因素导致的不可预期变化，管理人有权根据需要变更预招募事项的有关内容及时间安排，参与预招募的意向投资人需根据管理人的安排配合相关预招募进程。如有变化，届时请以管理人的通知为准。</w:t>
      </w:r>
    </w:p>
    <w:p w14:paraId="51ED2421">
      <w:pPr>
        <w:pStyle w:val="5"/>
        <w:shd w:val="clear" w:color="auto" w:fill="FFFFFF"/>
        <w:spacing w:line="540" w:lineRule="exact"/>
        <w:ind w:firstLine="562" w:firstLineChars="200"/>
        <w:textAlignment w:val="top"/>
        <w:rPr>
          <w:rFonts w:hint="eastAsia" w:ascii="仿宋" w:hAnsi="仿宋"/>
          <w:color w:val="000000"/>
          <w:sz w:val="28"/>
          <w:szCs w:val="28"/>
        </w:rPr>
      </w:pPr>
      <w:r>
        <w:rPr>
          <w:rFonts w:hint="eastAsia" w:ascii="仿宋" w:hAnsi="仿宋"/>
          <w:b/>
          <w:bCs/>
          <w:color w:val="000000"/>
          <w:sz w:val="28"/>
          <w:szCs w:val="28"/>
          <w:shd w:val="clear" w:color="auto" w:fill="FFFFFF"/>
        </w:rPr>
        <w:t>七、 报名地点及联系方式</w:t>
      </w:r>
    </w:p>
    <w:p w14:paraId="118FF52F">
      <w:pPr>
        <w:pStyle w:val="5"/>
        <w:shd w:val="clear" w:color="auto" w:fill="FFFFFF"/>
        <w:spacing w:line="540" w:lineRule="exact"/>
        <w:ind w:firstLine="560" w:firstLineChars="200"/>
        <w:textAlignment w:val="top"/>
        <w:rPr>
          <w:rFonts w:hint="eastAsia" w:ascii="仿宋" w:hAnsi="仿宋"/>
          <w:color w:val="000000"/>
          <w:sz w:val="28"/>
          <w:szCs w:val="28"/>
          <w:u w:val="single"/>
        </w:rPr>
      </w:pPr>
      <w:r>
        <w:rPr>
          <w:rFonts w:hint="eastAsia" w:ascii="仿宋" w:hAnsi="仿宋"/>
          <w:color w:val="000000"/>
          <w:sz w:val="28"/>
          <w:szCs w:val="28"/>
          <w:shd w:val="clear" w:color="auto" w:fill="FFFFFF"/>
        </w:rPr>
        <w:t>（一） 报名地点：</w:t>
      </w:r>
      <w:r>
        <w:rPr>
          <w:rFonts w:hint="eastAsia" w:ascii="仿宋" w:hAnsi="仿宋"/>
          <w:color w:val="000000"/>
          <w:sz w:val="28"/>
          <w:szCs w:val="28"/>
          <w:u w:val="single"/>
          <w:shd w:val="clear" w:color="auto" w:fill="FFFFFF"/>
        </w:rPr>
        <w:t xml:space="preserve">北京市东城区南竹杆胡同1号2层209 </w:t>
      </w:r>
    </w:p>
    <w:p w14:paraId="5ABDD4D4">
      <w:pPr>
        <w:pStyle w:val="5"/>
        <w:shd w:val="clear" w:color="auto" w:fill="FFFFFF"/>
        <w:spacing w:line="540" w:lineRule="exact"/>
        <w:ind w:firstLine="560" w:firstLineChars="200"/>
        <w:textAlignment w:val="top"/>
        <w:rPr>
          <w:rFonts w:hint="eastAsia" w:ascii="仿宋" w:hAnsi="仿宋"/>
          <w:color w:val="000000"/>
          <w:sz w:val="28"/>
          <w:szCs w:val="28"/>
          <w:u w:val="single"/>
          <w:shd w:val="clear" w:color="auto" w:fill="FFFFFF"/>
        </w:rPr>
      </w:pPr>
      <w:r>
        <w:rPr>
          <w:rFonts w:hint="eastAsia" w:ascii="仿宋" w:hAnsi="仿宋"/>
          <w:color w:val="000000"/>
          <w:sz w:val="28"/>
          <w:szCs w:val="28"/>
          <w:shd w:val="clear" w:color="auto" w:fill="FFFFFF"/>
        </w:rPr>
        <w:t xml:space="preserve">（二） 联系人、联系电话： </w:t>
      </w:r>
      <w:r>
        <w:rPr>
          <w:rFonts w:hint="eastAsia" w:ascii="仿宋" w:hAnsi="仿宋"/>
          <w:color w:val="000000"/>
          <w:sz w:val="28"/>
          <w:szCs w:val="28"/>
          <w:u w:val="single"/>
          <w:shd w:val="clear" w:color="auto" w:fill="FFFFFF"/>
        </w:rPr>
        <w:t xml:space="preserve">贾律师 18678779226 </w:t>
      </w:r>
    </w:p>
    <w:p w14:paraId="3F9AB12B">
      <w:pPr>
        <w:pStyle w:val="5"/>
        <w:shd w:val="clear" w:color="auto" w:fill="FFFFFF"/>
        <w:spacing w:line="540" w:lineRule="exact"/>
        <w:ind w:firstLine="4200" w:firstLineChars="1500"/>
        <w:textAlignment w:val="top"/>
        <w:rPr>
          <w:rFonts w:hint="eastAsia" w:ascii="仿宋" w:hAnsi="仿宋"/>
          <w:color w:val="000000"/>
          <w:sz w:val="28"/>
          <w:szCs w:val="28"/>
          <w:u w:val="single"/>
        </w:rPr>
      </w:pPr>
      <w:r>
        <w:rPr>
          <w:rFonts w:hint="eastAsia" w:ascii="仿宋" w:hAnsi="仿宋"/>
          <w:color w:val="000000"/>
          <w:sz w:val="28"/>
          <w:szCs w:val="28"/>
          <w:u w:val="single"/>
          <w:shd w:val="clear" w:color="auto" w:fill="FFFFFF"/>
        </w:rPr>
        <w:t xml:space="preserve">李律师 15611865827 </w:t>
      </w:r>
    </w:p>
    <w:p w14:paraId="2C8B8488">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热烈欢迎社会各界报名参与本项目。</w:t>
      </w:r>
    </w:p>
    <w:p w14:paraId="7F681AF0">
      <w:pPr>
        <w:shd w:val="clear" w:color="auto" w:fill="FFFFFF"/>
        <w:spacing w:line="540" w:lineRule="exact"/>
        <w:ind w:firstLine="560" w:firstLineChars="200"/>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特此公告。 </w:t>
      </w:r>
    </w:p>
    <w:p w14:paraId="57DE589B">
      <w:pPr>
        <w:shd w:val="clear" w:color="auto" w:fill="FFFFFF"/>
        <w:spacing w:line="540" w:lineRule="exact"/>
        <w:jc w:val="right"/>
        <w:textAlignment w:val="top"/>
        <w:rPr>
          <w:rFonts w:hint="eastAsia" w:ascii="仿宋" w:hAnsi="仿宋"/>
          <w:color w:val="000000"/>
          <w:sz w:val="28"/>
          <w:szCs w:val="28"/>
          <w:shd w:val="clear" w:color="auto" w:fill="FFFFFF"/>
          <w:lang w:bidi="ar"/>
        </w:rPr>
      </w:pPr>
    </w:p>
    <w:p w14:paraId="07FA100C">
      <w:pPr>
        <w:shd w:val="clear" w:color="auto" w:fill="FFFFFF"/>
        <w:spacing w:line="540" w:lineRule="exact"/>
        <w:jc w:val="right"/>
        <w:textAlignment w:val="top"/>
        <w:rPr>
          <w:rFonts w:hint="eastAsia" w:ascii="仿宋" w:hAnsi="仿宋"/>
          <w:color w:val="000000"/>
          <w:sz w:val="28"/>
          <w:szCs w:val="28"/>
          <w:shd w:val="clear" w:color="auto" w:fill="FFFFFF"/>
          <w:lang w:bidi="ar"/>
        </w:rPr>
      </w:pPr>
    </w:p>
    <w:p w14:paraId="1F4658C1">
      <w:pPr>
        <w:shd w:val="clear" w:color="auto" w:fill="FFFFFF"/>
        <w:spacing w:line="540" w:lineRule="exact"/>
        <w:jc w:val="right"/>
        <w:textAlignment w:val="top"/>
        <w:rPr>
          <w:rFonts w:hint="eastAsia" w:ascii="仿宋" w:hAnsi="仿宋"/>
          <w:color w:val="000000"/>
          <w:sz w:val="28"/>
          <w:szCs w:val="28"/>
          <w:shd w:val="clear" w:color="auto" w:fill="FFFFFF"/>
          <w:lang w:bidi="ar"/>
        </w:rPr>
      </w:pPr>
    </w:p>
    <w:p w14:paraId="68C7A706">
      <w:pPr>
        <w:shd w:val="clear" w:color="auto" w:fill="FFFFFF"/>
        <w:spacing w:line="540" w:lineRule="exact"/>
        <w:jc w:val="right"/>
        <w:textAlignment w:val="top"/>
        <w:rPr>
          <w:rFonts w:hint="eastAsia" w:ascii="仿宋" w:hAnsi="仿宋"/>
          <w:color w:val="000000"/>
          <w:sz w:val="28"/>
          <w:szCs w:val="28"/>
        </w:rPr>
      </w:pPr>
      <w:r>
        <w:rPr>
          <w:rFonts w:hint="eastAsia" w:ascii="仿宋" w:hAnsi="仿宋"/>
          <w:color w:val="000000"/>
          <w:sz w:val="28"/>
          <w:szCs w:val="28"/>
          <w:shd w:val="clear" w:color="auto" w:fill="FFFFFF"/>
          <w:lang w:bidi="ar"/>
        </w:rPr>
        <w:t>北京世纪金光半导体有限公司管理人</w:t>
      </w:r>
    </w:p>
    <w:p w14:paraId="1FBB4370">
      <w:pPr>
        <w:shd w:val="clear" w:color="auto" w:fill="FFFFFF"/>
        <w:wordWrap w:val="0"/>
        <w:spacing w:line="540" w:lineRule="exact"/>
        <w:jc w:val="right"/>
        <w:textAlignment w:val="top"/>
        <w:rPr>
          <w:rFonts w:hint="eastAsia" w:ascii="仿宋" w:hAnsi="仿宋"/>
          <w:color w:val="000000"/>
          <w:sz w:val="28"/>
          <w:szCs w:val="28"/>
          <w:shd w:val="clear" w:color="auto" w:fill="FFFFFF"/>
          <w:lang w:bidi="ar"/>
        </w:rPr>
      </w:pPr>
      <w:r>
        <w:rPr>
          <w:rFonts w:hint="eastAsia" w:ascii="仿宋" w:hAnsi="仿宋"/>
          <w:color w:val="000000"/>
          <w:sz w:val="28"/>
          <w:szCs w:val="28"/>
          <w:shd w:val="clear" w:color="auto" w:fill="FFFFFF"/>
          <w:lang w:bidi="ar"/>
        </w:rPr>
        <w:t xml:space="preserve">   二〇二五年</w:t>
      </w:r>
      <w:r>
        <w:rPr>
          <w:rFonts w:hint="eastAsia" w:ascii="仿宋" w:hAnsi="仿宋"/>
          <w:color w:val="000000"/>
          <w:sz w:val="28"/>
          <w:szCs w:val="28"/>
          <w:shd w:val="clear" w:color="auto" w:fill="FFFFFF"/>
          <w:lang w:val="en-US" w:eastAsia="zh-CN" w:bidi="ar"/>
        </w:rPr>
        <w:t>三</w:t>
      </w:r>
      <w:r>
        <w:rPr>
          <w:rFonts w:hint="eastAsia" w:ascii="仿宋" w:hAnsi="仿宋"/>
          <w:color w:val="000000"/>
          <w:sz w:val="28"/>
          <w:szCs w:val="28"/>
          <w:shd w:val="clear" w:color="auto" w:fill="FFFFFF"/>
          <w:lang w:bidi="ar"/>
        </w:rPr>
        <w:t>月</w:t>
      </w:r>
      <w:r>
        <w:rPr>
          <w:rFonts w:hint="eastAsia" w:ascii="仿宋" w:hAnsi="仿宋"/>
          <w:color w:val="000000"/>
          <w:sz w:val="28"/>
          <w:szCs w:val="28"/>
          <w:shd w:val="clear" w:color="auto" w:fill="FFFFFF"/>
          <w:lang w:val="en-US" w:eastAsia="zh-CN" w:bidi="ar"/>
        </w:rPr>
        <w:t>二十四</w:t>
      </w:r>
      <w:r>
        <w:rPr>
          <w:rFonts w:hint="eastAsia" w:ascii="仿宋" w:hAnsi="仿宋"/>
          <w:color w:val="000000"/>
          <w:sz w:val="28"/>
          <w:szCs w:val="28"/>
          <w:shd w:val="clear" w:color="auto" w:fill="FFFFFF"/>
          <w:lang w:bidi="ar"/>
        </w:rPr>
        <w:t>日</w:t>
      </w:r>
    </w:p>
    <w:p w14:paraId="07ECFEB0">
      <w:pPr>
        <w:shd w:val="clear" w:color="auto" w:fill="FFFFFF"/>
        <w:wordWrap w:val="0"/>
        <w:spacing w:line="540" w:lineRule="exact"/>
        <w:jc w:val="right"/>
        <w:textAlignment w:val="top"/>
        <w:rPr>
          <w:rFonts w:hint="eastAsia" w:ascii="仿宋" w:hAnsi="仿宋"/>
          <w:color w:val="000000"/>
          <w:sz w:val="28"/>
          <w:szCs w:val="28"/>
          <w:shd w:val="clear" w:color="auto" w:fill="FFFFFF"/>
          <w:lang w:bidi="ar"/>
        </w:rPr>
      </w:pPr>
    </w:p>
    <w:p w14:paraId="4E5F72E3">
      <w:pPr>
        <w:shd w:val="clear" w:color="auto" w:fill="FFFFFF"/>
        <w:wordWrap w:val="0"/>
        <w:spacing w:line="540" w:lineRule="exact"/>
        <w:jc w:val="both"/>
        <w:textAlignment w:val="top"/>
        <w:rPr>
          <w:rFonts w:hint="eastAsia" w:ascii="仿宋" w:hAnsi="仿宋"/>
          <w:b/>
          <w:bCs/>
          <w:sz w:val="28"/>
          <w:szCs w:val="28"/>
        </w:rPr>
      </w:pPr>
      <w:r>
        <w:rPr>
          <w:rFonts w:hint="eastAsia" w:ascii="仿宋" w:hAnsi="仿宋"/>
          <w:color w:val="000000"/>
          <w:sz w:val="28"/>
          <w:szCs w:val="28"/>
          <w:shd w:val="clear" w:color="auto" w:fill="FFFFFF"/>
          <w:lang w:val="en-US" w:eastAsia="zh-CN" w:bidi="ar"/>
        </w:rPr>
        <w:t>报名材料详见附件</w:t>
      </w:r>
      <w:r>
        <w:rPr>
          <w:rFonts w:hint="eastAsia" w:ascii="仿宋" w:hAnsi="仿宋"/>
          <w:color w:val="000000"/>
          <w:sz w:val="28"/>
          <w:szCs w:val="28"/>
          <w:shd w:val="clear" w:color="auto" w:fill="FFFFFF"/>
          <w:lang w:bidi="ar"/>
        </w:rPr>
        <w:t xml:space="preserve">  </w:t>
      </w:r>
    </w:p>
    <w:p w14:paraId="3EC742E9">
      <w:pPr>
        <w:snapToGrid w:val="0"/>
        <w:spacing w:line="560" w:lineRule="exact"/>
        <w:rPr>
          <w:rFonts w:hint="eastAsia" w:ascii="仿宋" w:hAnsi="仿宋"/>
          <w:b/>
          <w:bCs/>
          <w:sz w:val="28"/>
          <w:szCs w:val="28"/>
        </w:rPr>
      </w:pPr>
    </w:p>
    <w:p w14:paraId="7D5EB351">
      <w:pPr>
        <w:snapToGrid w:val="0"/>
        <w:spacing w:line="560" w:lineRule="exact"/>
        <w:rPr>
          <w:rFonts w:hint="eastAsia" w:ascii="仿宋" w:hAnsi="仿宋"/>
          <w:b/>
          <w:bCs/>
          <w:sz w:val="28"/>
          <w:szCs w:val="28"/>
        </w:rPr>
      </w:pPr>
    </w:p>
    <w:p w14:paraId="35121FFD">
      <w:pPr>
        <w:snapToGrid w:val="0"/>
        <w:spacing w:line="560" w:lineRule="exact"/>
        <w:rPr>
          <w:rFonts w:hint="eastAsia" w:ascii="仿宋" w:hAnsi="仿宋"/>
          <w:b/>
          <w:bCs/>
          <w:sz w:val="28"/>
          <w:szCs w:val="28"/>
        </w:rPr>
      </w:pPr>
    </w:p>
    <w:p w14:paraId="1362069A">
      <w:pPr>
        <w:snapToGrid w:val="0"/>
        <w:spacing w:line="560" w:lineRule="exact"/>
        <w:rPr>
          <w:rFonts w:hint="eastAsia" w:ascii="仿宋" w:hAnsi="仿宋"/>
          <w:b/>
          <w:bCs/>
          <w:sz w:val="28"/>
          <w:szCs w:val="28"/>
        </w:rPr>
      </w:pPr>
    </w:p>
    <w:p w14:paraId="32A405AE">
      <w:pPr>
        <w:snapToGrid w:val="0"/>
        <w:spacing w:line="560" w:lineRule="exact"/>
        <w:rPr>
          <w:rFonts w:hint="eastAsia" w:ascii="仿宋" w:hAnsi="仿宋"/>
          <w:b/>
          <w:bCs/>
          <w:sz w:val="28"/>
          <w:szCs w:val="28"/>
        </w:rPr>
      </w:pPr>
    </w:p>
    <w:p w14:paraId="11C4AEF2">
      <w:pPr>
        <w:snapToGrid w:val="0"/>
        <w:spacing w:line="560" w:lineRule="exact"/>
        <w:rPr>
          <w:rFonts w:hint="eastAsia" w:ascii="仿宋" w:hAnsi="仿宋"/>
          <w:b/>
          <w:bCs/>
          <w:sz w:val="28"/>
          <w:szCs w:val="28"/>
        </w:rPr>
      </w:pPr>
      <w:bookmarkStart w:id="1" w:name="_GoBack"/>
      <w:bookmarkEnd w:id="1"/>
      <w:r>
        <w:rPr>
          <w:rFonts w:hint="eastAsia" w:ascii="仿宋" w:hAnsi="仿宋"/>
          <w:b/>
          <w:bCs/>
          <w:sz w:val="28"/>
          <w:szCs w:val="28"/>
        </w:rPr>
        <w:t>附件1：</w:t>
      </w:r>
      <w:bookmarkStart w:id="0" w:name="_Hlk176901151"/>
    </w:p>
    <w:bookmarkEnd w:id="0"/>
    <w:p w14:paraId="417830B0">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北京世纪金光半导体有限公司预招募重整投资人</w:t>
      </w:r>
    </w:p>
    <w:p w14:paraId="3AF0A14F">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报名意向书</w:t>
      </w:r>
    </w:p>
    <w:p w14:paraId="3C693794">
      <w:pPr>
        <w:snapToGrid w:val="0"/>
        <w:spacing w:line="560" w:lineRule="exact"/>
        <w:rPr>
          <w:rFonts w:hint="eastAsia" w:ascii="仿宋" w:hAnsi="仿宋"/>
          <w:sz w:val="28"/>
          <w:szCs w:val="28"/>
        </w:rPr>
      </w:pPr>
      <w:r>
        <w:rPr>
          <w:rFonts w:hint="eastAsia" w:ascii="仿宋" w:hAnsi="仿宋"/>
          <w:sz w:val="28"/>
          <w:szCs w:val="28"/>
        </w:rPr>
        <w:t>北京世纪金光半导体有限公司管理人：</w:t>
      </w:r>
    </w:p>
    <w:p w14:paraId="2B86077A">
      <w:pPr>
        <w:snapToGrid w:val="0"/>
        <w:spacing w:line="560" w:lineRule="exact"/>
        <w:ind w:firstLine="560" w:firstLineChars="200"/>
        <w:rPr>
          <w:rFonts w:hint="eastAsia" w:ascii="仿宋" w:hAnsi="仿宋"/>
          <w:sz w:val="28"/>
          <w:szCs w:val="28"/>
        </w:rPr>
      </w:pPr>
      <w:r>
        <w:rPr>
          <w:rFonts w:hint="eastAsia" w:ascii="仿宋" w:hAnsi="仿宋"/>
          <w:sz w:val="28"/>
          <w:szCs w:val="28"/>
        </w:rPr>
        <w:t>本参选机构已充分知悉并了解《北京世纪金光半导体有限公司破产清算案意向投资人预招募公告》的内容，承诺符合该公告所要求的意向投资人报名条件。本参选机构所提交的报名材料均真实、合法、有效，且不存在重大隐瞒或遗漏，本参选机构自愿参与北京世纪金光半导体有限公司投资人的预招募程序，遵照管理人要求开展投资人预招募程序，并自行承担一切责任与风险。本参选机构的名称及联系方式如下：</w:t>
      </w:r>
    </w:p>
    <w:tbl>
      <w:tblPr>
        <w:tblStyle w:val="8"/>
        <w:tblpPr w:leftFromText="180" w:rightFromText="180" w:vertAnchor="text" w:horzAnchor="page" w:tblpXSpec="center" w:tblpY="423"/>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0"/>
        <w:gridCol w:w="5466"/>
      </w:tblGrid>
      <w:tr w14:paraId="21F5B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4FD99D93">
            <w:pPr>
              <w:snapToGrid w:val="0"/>
              <w:spacing w:line="560" w:lineRule="exact"/>
              <w:jc w:val="center"/>
              <w:rPr>
                <w:rFonts w:hint="eastAsia" w:ascii="仿宋" w:hAnsi="仿宋"/>
                <w:sz w:val="28"/>
                <w:szCs w:val="28"/>
              </w:rPr>
            </w:pPr>
            <w:r>
              <w:rPr>
                <w:rFonts w:hint="eastAsia" w:ascii="仿宋" w:hAnsi="仿宋"/>
                <w:sz w:val="28"/>
                <w:szCs w:val="28"/>
              </w:rPr>
              <w:t>名    称</w:t>
            </w:r>
          </w:p>
        </w:tc>
        <w:tc>
          <w:tcPr>
            <w:tcW w:w="5466" w:type="dxa"/>
          </w:tcPr>
          <w:p w14:paraId="6A7EEA77">
            <w:pPr>
              <w:snapToGrid w:val="0"/>
              <w:spacing w:line="560" w:lineRule="exact"/>
              <w:rPr>
                <w:rFonts w:hint="eastAsia" w:ascii="仿宋" w:hAnsi="仿宋"/>
                <w:sz w:val="28"/>
                <w:szCs w:val="28"/>
              </w:rPr>
            </w:pPr>
          </w:p>
        </w:tc>
      </w:tr>
      <w:tr w14:paraId="6CD30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6B7F7B39">
            <w:pPr>
              <w:snapToGrid w:val="0"/>
              <w:spacing w:line="560" w:lineRule="exact"/>
              <w:jc w:val="center"/>
              <w:rPr>
                <w:rFonts w:hint="eastAsia" w:ascii="仿宋" w:hAnsi="仿宋"/>
                <w:sz w:val="28"/>
                <w:szCs w:val="28"/>
              </w:rPr>
            </w:pPr>
            <w:r>
              <w:rPr>
                <w:rFonts w:hint="eastAsia" w:ascii="仿宋" w:hAnsi="仿宋"/>
                <w:sz w:val="28"/>
                <w:szCs w:val="28"/>
              </w:rPr>
              <w:t>联 系 人</w:t>
            </w:r>
          </w:p>
        </w:tc>
        <w:tc>
          <w:tcPr>
            <w:tcW w:w="5466" w:type="dxa"/>
          </w:tcPr>
          <w:p w14:paraId="14A72F6C">
            <w:pPr>
              <w:snapToGrid w:val="0"/>
              <w:spacing w:line="560" w:lineRule="exact"/>
              <w:rPr>
                <w:rFonts w:hint="eastAsia" w:ascii="仿宋" w:hAnsi="仿宋"/>
                <w:sz w:val="28"/>
                <w:szCs w:val="28"/>
              </w:rPr>
            </w:pPr>
          </w:p>
        </w:tc>
      </w:tr>
      <w:tr w14:paraId="32239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763A00FD">
            <w:pPr>
              <w:snapToGrid w:val="0"/>
              <w:spacing w:line="560" w:lineRule="exact"/>
              <w:jc w:val="center"/>
              <w:rPr>
                <w:rFonts w:hint="eastAsia" w:ascii="仿宋" w:hAnsi="仿宋"/>
                <w:sz w:val="28"/>
                <w:szCs w:val="28"/>
              </w:rPr>
            </w:pPr>
            <w:r>
              <w:rPr>
                <w:rFonts w:hint="eastAsia" w:ascii="仿宋" w:hAnsi="仿宋"/>
                <w:sz w:val="28"/>
                <w:szCs w:val="28"/>
              </w:rPr>
              <w:t>联系电话</w:t>
            </w:r>
          </w:p>
        </w:tc>
        <w:tc>
          <w:tcPr>
            <w:tcW w:w="5466" w:type="dxa"/>
          </w:tcPr>
          <w:p w14:paraId="2A44F2CE">
            <w:pPr>
              <w:snapToGrid w:val="0"/>
              <w:spacing w:line="560" w:lineRule="exact"/>
              <w:rPr>
                <w:rFonts w:hint="eastAsia" w:ascii="仿宋" w:hAnsi="仿宋"/>
                <w:sz w:val="28"/>
                <w:szCs w:val="28"/>
              </w:rPr>
            </w:pPr>
          </w:p>
        </w:tc>
      </w:tr>
      <w:tr w14:paraId="6B170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1B55A1D5">
            <w:pPr>
              <w:snapToGrid w:val="0"/>
              <w:spacing w:line="560" w:lineRule="exact"/>
              <w:jc w:val="center"/>
              <w:rPr>
                <w:rFonts w:hint="eastAsia" w:ascii="仿宋" w:hAnsi="仿宋"/>
                <w:sz w:val="28"/>
                <w:szCs w:val="28"/>
              </w:rPr>
            </w:pPr>
            <w:r>
              <w:rPr>
                <w:rFonts w:hint="eastAsia" w:ascii="仿宋" w:hAnsi="仿宋"/>
                <w:sz w:val="28"/>
                <w:szCs w:val="28"/>
              </w:rPr>
              <w:t>电子邮箱</w:t>
            </w:r>
          </w:p>
        </w:tc>
        <w:tc>
          <w:tcPr>
            <w:tcW w:w="5466" w:type="dxa"/>
          </w:tcPr>
          <w:p w14:paraId="3F2E3794">
            <w:pPr>
              <w:snapToGrid w:val="0"/>
              <w:spacing w:line="560" w:lineRule="exact"/>
              <w:rPr>
                <w:rFonts w:hint="eastAsia" w:ascii="仿宋" w:hAnsi="仿宋"/>
                <w:sz w:val="28"/>
                <w:szCs w:val="28"/>
              </w:rPr>
            </w:pPr>
          </w:p>
        </w:tc>
      </w:tr>
      <w:tr w14:paraId="47884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6CC3265E">
            <w:pPr>
              <w:snapToGrid w:val="0"/>
              <w:spacing w:line="560" w:lineRule="exact"/>
              <w:jc w:val="center"/>
              <w:rPr>
                <w:rFonts w:hint="eastAsia" w:ascii="仿宋" w:hAnsi="仿宋"/>
                <w:sz w:val="28"/>
                <w:szCs w:val="28"/>
              </w:rPr>
            </w:pPr>
            <w:r>
              <w:rPr>
                <w:rFonts w:hint="eastAsia" w:ascii="仿宋" w:hAnsi="仿宋"/>
                <w:sz w:val="28"/>
                <w:szCs w:val="28"/>
              </w:rPr>
              <w:t>联系地址</w:t>
            </w:r>
          </w:p>
        </w:tc>
        <w:tc>
          <w:tcPr>
            <w:tcW w:w="5466" w:type="dxa"/>
          </w:tcPr>
          <w:p w14:paraId="15A3C9FB">
            <w:pPr>
              <w:snapToGrid w:val="0"/>
              <w:spacing w:line="560" w:lineRule="exact"/>
              <w:rPr>
                <w:rFonts w:hint="eastAsia" w:ascii="仿宋" w:hAnsi="仿宋"/>
                <w:sz w:val="28"/>
                <w:szCs w:val="28"/>
              </w:rPr>
            </w:pPr>
          </w:p>
        </w:tc>
      </w:tr>
      <w:tr w14:paraId="4AF94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Merge w:val="restart"/>
            <w:vAlign w:val="center"/>
          </w:tcPr>
          <w:p w14:paraId="53708FE5">
            <w:pPr>
              <w:snapToGrid w:val="0"/>
              <w:spacing w:line="560" w:lineRule="exact"/>
              <w:jc w:val="center"/>
              <w:rPr>
                <w:rFonts w:hint="eastAsia" w:ascii="仿宋" w:hAnsi="仿宋"/>
                <w:sz w:val="28"/>
                <w:szCs w:val="28"/>
              </w:rPr>
            </w:pPr>
            <w:r>
              <w:rPr>
                <w:rFonts w:hint="eastAsia" w:ascii="仿宋" w:hAnsi="仿宋"/>
                <w:sz w:val="28"/>
                <w:szCs w:val="28"/>
              </w:rPr>
              <w:t>银行账户信息</w:t>
            </w:r>
          </w:p>
          <w:p w14:paraId="204D23E1">
            <w:pPr>
              <w:snapToGrid w:val="0"/>
              <w:spacing w:line="560" w:lineRule="exact"/>
              <w:jc w:val="center"/>
              <w:rPr>
                <w:rFonts w:hint="eastAsia" w:ascii="仿宋" w:hAnsi="仿宋"/>
                <w:sz w:val="28"/>
                <w:szCs w:val="28"/>
              </w:rPr>
            </w:pPr>
            <w:r>
              <w:rPr>
                <w:rFonts w:hint="eastAsia" w:ascii="仿宋" w:hAnsi="仿宋"/>
                <w:sz w:val="28"/>
                <w:szCs w:val="28"/>
              </w:rPr>
              <w:t>（用于退还保证金使用）</w:t>
            </w:r>
          </w:p>
        </w:tc>
        <w:tc>
          <w:tcPr>
            <w:tcW w:w="5466" w:type="dxa"/>
          </w:tcPr>
          <w:p w14:paraId="4A66207E">
            <w:pPr>
              <w:snapToGrid w:val="0"/>
              <w:spacing w:line="560" w:lineRule="exact"/>
              <w:rPr>
                <w:rFonts w:hint="eastAsia" w:ascii="仿宋" w:hAnsi="仿宋"/>
                <w:sz w:val="28"/>
                <w:szCs w:val="28"/>
              </w:rPr>
            </w:pPr>
            <w:r>
              <w:rPr>
                <w:rFonts w:hint="eastAsia" w:ascii="仿宋" w:hAnsi="仿宋"/>
                <w:sz w:val="28"/>
                <w:szCs w:val="28"/>
              </w:rPr>
              <w:t>开户名称：</w:t>
            </w:r>
          </w:p>
        </w:tc>
      </w:tr>
      <w:tr w14:paraId="67670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Merge w:val="continue"/>
          </w:tcPr>
          <w:p w14:paraId="58FD8192">
            <w:pPr>
              <w:snapToGrid w:val="0"/>
              <w:spacing w:line="560" w:lineRule="exact"/>
              <w:jc w:val="center"/>
              <w:rPr>
                <w:rFonts w:hint="eastAsia" w:ascii="仿宋" w:hAnsi="仿宋"/>
                <w:sz w:val="28"/>
                <w:szCs w:val="28"/>
              </w:rPr>
            </w:pPr>
          </w:p>
        </w:tc>
        <w:tc>
          <w:tcPr>
            <w:tcW w:w="5466" w:type="dxa"/>
          </w:tcPr>
          <w:p w14:paraId="1060AA04">
            <w:pPr>
              <w:snapToGrid w:val="0"/>
              <w:spacing w:line="560" w:lineRule="exact"/>
              <w:rPr>
                <w:rFonts w:hint="eastAsia" w:ascii="仿宋" w:hAnsi="仿宋"/>
                <w:sz w:val="28"/>
                <w:szCs w:val="28"/>
              </w:rPr>
            </w:pPr>
            <w:r>
              <w:rPr>
                <w:rFonts w:hint="eastAsia" w:ascii="仿宋" w:hAnsi="仿宋"/>
                <w:sz w:val="28"/>
                <w:szCs w:val="28"/>
              </w:rPr>
              <w:t>账    号：</w:t>
            </w:r>
          </w:p>
        </w:tc>
      </w:tr>
      <w:tr w14:paraId="24F76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Merge w:val="continue"/>
          </w:tcPr>
          <w:p w14:paraId="763C0312">
            <w:pPr>
              <w:snapToGrid w:val="0"/>
              <w:spacing w:line="560" w:lineRule="exact"/>
              <w:jc w:val="center"/>
              <w:rPr>
                <w:rFonts w:hint="eastAsia" w:ascii="仿宋" w:hAnsi="仿宋"/>
                <w:sz w:val="28"/>
                <w:szCs w:val="28"/>
              </w:rPr>
            </w:pPr>
          </w:p>
        </w:tc>
        <w:tc>
          <w:tcPr>
            <w:tcW w:w="5466" w:type="dxa"/>
          </w:tcPr>
          <w:p w14:paraId="774ECC10">
            <w:pPr>
              <w:snapToGrid w:val="0"/>
              <w:spacing w:line="560" w:lineRule="exact"/>
              <w:rPr>
                <w:rFonts w:hint="eastAsia" w:ascii="仿宋" w:hAnsi="仿宋"/>
                <w:sz w:val="28"/>
                <w:szCs w:val="28"/>
              </w:rPr>
            </w:pPr>
            <w:r>
              <w:rPr>
                <w:rFonts w:hint="eastAsia" w:ascii="仿宋" w:hAnsi="仿宋"/>
                <w:sz w:val="28"/>
                <w:szCs w:val="28"/>
              </w:rPr>
              <w:t>开 户 行：</w:t>
            </w:r>
          </w:p>
        </w:tc>
      </w:tr>
    </w:tbl>
    <w:p w14:paraId="42F0CB7B">
      <w:pPr>
        <w:spacing w:line="560" w:lineRule="exact"/>
        <w:jc w:val="center"/>
        <w:rPr>
          <w:rFonts w:hint="eastAsia" w:ascii="仿宋" w:hAnsi="仿宋"/>
          <w:sz w:val="28"/>
          <w:szCs w:val="28"/>
        </w:rPr>
      </w:pPr>
      <w:r>
        <w:rPr>
          <w:rFonts w:hint="eastAsia" w:ascii="仿宋" w:hAnsi="仿宋"/>
          <w:sz w:val="28"/>
          <w:szCs w:val="28"/>
        </w:rPr>
        <w:t xml:space="preserve">           </w:t>
      </w:r>
    </w:p>
    <w:p w14:paraId="2ABB0640">
      <w:pPr>
        <w:spacing w:line="560" w:lineRule="exact"/>
        <w:jc w:val="center"/>
        <w:rPr>
          <w:rFonts w:hint="eastAsia" w:ascii="仿宋" w:hAnsi="仿宋"/>
          <w:sz w:val="28"/>
          <w:szCs w:val="28"/>
        </w:rPr>
      </w:pPr>
      <w:r>
        <w:rPr>
          <w:rFonts w:hint="eastAsia" w:ascii="仿宋" w:hAnsi="仿宋"/>
          <w:sz w:val="28"/>
          <w:szCs w:val="28"/>
        </w:rPr>
        <w:t xml:space="preserve">   意向投资人（盖章）：</w:t>
      </w:r>
    </w:p>
    <w:p w14:paraId="63EB938C">
      <w:pPr>
        <w:wordWrap w:val="0"/>
        <w:spacing w:line="560" w:lineRule="exact"/>
        <w:jc w:val="right"/>
        <w:rPr>
          <w:rFonts w:hint="eastAsia" w:ascii="仿宋" w:hAnsi="仿宋"/>
          <w:sz w:val="28"/>
          <w:szCs w:val="28"/>
          <w:u w:val="single"/>
        </w:rPr>
      </w:pPr>
      <w:r>
        <w:rPr>
          <w:rFonts w:hint="eastAsia" w:ascii="仿宋" w:hAnsi="仿宋"/>
          <w:sz w:val="28"/>
          <w:szCs w:val="28"/>
        </w:rPr>
        <w:t xml:space="preserve"> 法定代表人（负责人）/授权代表签字：</w:t>
      </w:r>
      <w:r>
        <w:rPr>
          <w:rFonts w:hint="eastAsia" w:ascii="仿宋" w:hAnsi="仿宋"/>
          <w:sz w:val="28"/>
          <w:szCs w:val="28"/>
          <w:u w:val="single"/>
        </w:rPr>
        <w:t xml:space="preserve">          </w:t>
      </w:r>
    </w:p>
    <w:p w14:paraId="5F885AF1">
      <w:pPr>
        <w:wordWrap w:val="0"/>
        <w:spacing w:line="560" w:lineRule="exact"/>
        <w:jc w:val="right"/>
        <w:rPr>
          <w:rFonts w:hint="eastAsia" w:ascii="仿宋" w:hAnsi="仿宋"/>
          <w:sz w:val="28"/>
          <w:szCs w:val="28"/>
          <w:u w:val="single"/>
        </w:rPr>
      </w:pPr>
      <w:r>
        <w:rPr>
          <w:rFonts w:hint="eastAsia" w:ascii="仿宋" w:hAnsi="仿宋"/>
          <w:sz w:val="28"/>
          <w:szCs w:val="28"/>
        </w:rPr>
        <w:t xml:space="preserve"> 日期：</w:t>
      </w:r>
      <w:r>
        <w:rPr>
          <w:rFonts w:hint="eastAsia" w:ascii="仿宋" w:hAnsi="仿宋"/>
          <w:sz w:val="28"/>
          <w:szCs w:val="28"/>
          <w:u w:val="single"/>
        </w:rPr>
        <w:t xml:space="preserve">          </w:t>
      </w:r>
    </w:p>
    <w:p w14:paraId="0D15BDC6">
      <w:pPr>
        <w:snapToGrid w:val="0"/>
        <w:spacing w:line="560" w:lineRule="exact"/>
        <w:rPr>
          <w:rFonts w:hint="eastAsia" w:ascii="仿宋" w:hAnsi="仿宋"/>
          <w:b/>
          <w:bCs/>
          <w:sz w:val="28"/>
          <w:szCs w:val="28"/>
        </w:rPr>
      </w:pPr>
    </w:p>
    <w:p w14:paraId="161E0FD4">
      <w:pPr>
        <w:snapToGrid w:val="0"/>
        <w:spacing w:line="560" w:lineRule="exact"/>
        <w:rPr>
          <w:rFonts w:hint="eastAsia" w:ascii="仿宋" w:hAnsi="仿宋"/>
          <w:b/>
          <w:bCs/>
          <w:sz w:val="28"/>
          <w:szCs w:val="28"/>
        </w:rPr>
      </w:pPr>
      <w:r>
        <w:rPr>
          <w:rFonts w:hint="eastAsia" w:ascii="仿宋" w:hAnsi="仿宋"/>
          <w:b/>
          <w:bCs/>
          <w:sz w:val="28"/>
          <w:szCs w:val="28"/>
        </w:rPr>
        <w:t>附件2：</w:t>
      </w:r>
    </w:p>
    <w:p w14:paraId="1A51E2A7">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北京世纪金光半导体有限公司预招募意向投资人</w:t>
      </w:r>
    </w:p>
    <w:p w14:paraId="5270E1B4">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承 诺 函</w:t>
      </w:r>
    </w:p>
    <w:p w14:paraId="4F8FA9B4">
      <w:pPr>
        <w:snapToGrid w:val="0"/>
        <w:spacing w:line="560" w:lineRule="exact"/>
        <w:jc w:val="center"/>
        <w:rPr>
          <w:rFonts w:hint="eastAsia" w:ascii="仿宋" w:hAnsi="仿宋"/>
          <w:b/>
          <w:bCs/>
          <w:sz w:val="28"/>
          <w:szCs w:val="28"/>
        </w:rPr>
      </w:pPr>
    </w:p>
    <w:p w14:paraId="556E4D22">
      <w:pPr>
        <w:snapToGrid w:val="0"/>
        <w:spacing w:line="560" w:lineRule="exact"/>
        <w:rPr>
          <w:rFonts w:hint="eastAsia" w:ascii="仿宋" w:hAnsi="仿宋"/>
          <w:sz w:val="28"/>
          <w:szCs w:val="28"/>
        </w:rPr>
      </w:pPr>
      <w:r>
        <w:rPr>
          <w:rFonts w:hint="eastAsia" w:ascii="仿宋" w:hAnsi="仿宋"/>
          <w:sz w:val="28"/>
          <w:szCs w:val="28"/>
        </w:rPr>
        <w:t>北京世纪金光半导体有限公司管理人：</w:t>
      </w:r>
    </w:p>
    <w:p w14:paraId="0391FD07">
      <w:pPr>
        <w:snapToGrid w:val="0"/>
        <w:spacing w:line="560" w:lineRule="exact"/>
        <w:ind w:firstLine="560" w:firstLineChars="200"/>
        <w:rPr>
          <w:rFonts w:hint="eastAsia" w:ascii="仿宋" w:hAnsi="仿宋"/>
          <w:sz w:val="28"/>
          <w:szCs w:val="28"/>
        </w:rPr>
      </w:pPr>
      <w:r>
        <w:rPr>
          <w:rFonts w:hint="eastAsia" w:ascii="仿宋" w:hAnsi="仿宋"/>
          <w:sz w:val="28"/>
          <w:szCs w:val="28"/>
        </w:rPr>
        <w:t xml:space="preserve">截至本函件出具之日，我方未被人民法院列入失信被执行人名单，不属于失信惩戒对象，最近三年无重大违法行为且不涉嫌重大违法行为。北京世纪金光半导体有限公司预招募及遴选投资人期间，我方承诺遵守企业经营规章制度，遵守管理人安排。 </w:t>
      </w:r>
    </w:p>
    <w:p w14:paraId="12A4A9B2">
      <w:pPr>
        <w:snapToGrid w:val="0"/>
        <w:spacing w:line="560" w:lineRule="exact"/>
        <w:ind w:firstLine="560" w:firstLineChars="200"/>
        <w:rPr>
          <w:rFonts w:hint="eastAsia" w:ascii="仿宋" w:hAnsi="仿宋"/>
          <w:sz w:val="28"/>
          <w:szCs w:val="28"/>
        </w:rPr>
      </w:pPr>
      <w:r>
        <w:rPr>
          <w:rFonts w:hint="eastAsia" w:ascii="仿宋" w:hAnsi="仿宋"/>
          <w:sz w:val="28"/>
          <w:szCs w:val="28"/>
        </w:rPr>
        <w:t>同时，如管理人为遴选重整投资人而需开展反向尽调的，我方同意配合管理人针对我方开展的反向尽调。</w:t>
      </w:r>
    </w:p>
    <w:p w14:paraId="520ED553">
      <w:pPr>
        <w:spacing w:line="560" w:lineRule="exact"/>
        <w:jc w:val="center"/>
        <w:rPr>
          <w:rFonts w:hint="eastAsia" w:ascii="仿宋" w:hAnsi="仿宋"/>
          <w:sz w:val="28"/>
          <w:szCs w:val="28"/>
        </w:rPr>
      </w:pPr>
      <w:r>
        <w:rPr>
          <w:rFonts w:hint="eastAsia" w:ascii="仿宋" w:hAnsi="仿宋"/>
          <w:sz w:val="28"/>
          <w:szCs w:val="28"/>
        </w:rPr>
        <w:t xml:space="preserve">     </w:t>
      </w:r>
    </w:p>
    <w:p w14:paraId="1E1AABD1">
      <w:pPr>
        <w:spacing w:line="560" w:lineRule="exact"/>
        <w:jc w:val="center"/>
        <w:rPr>
          <w:rFonts w:hint="eastAsia" w:ascii="仿宋" w:hAnsi="仿宋"/>
          <w:sz w:val="28"/>
          <w:szCs w:val="28"/>
        </w:rPr>
      </w:pPr>
      <w:r>
        <w:rPr>
          <w:rFonts w:hint="eastAsia" w:ascii="仿宋" w:hAnsi="仿宋"/>
          <w:sz w:val="28"/>
          <w:szCs w:val="28"/>
        </w:rPr>
        <w:t xml:space="preserve">           意向投资人（盖章）：</w:t>
      </w:r>
    </w:p>
    <w:p w14:paraId="003E4287">
      <w:pPr>
        <w:spacing w:line="560" w:lineRule="exact"/>
        <w:jc w:val="center"/>
        <w:rPr>
          <w:rFonts w:hint="eastAsia" w:ascii="仿宋" w:hAnsi="仿宋"/>
          <w:sz w:val="28"/>
          <w:szCs w:val="28"/>
        </w:rPr>
      </w:pPr>
    </w:p>
    <w:p w14:paraId="6F8AE119">
      <w:pPr>
        <w:wordWrap w:val="0"/>
        <w:spacing w:line="560" w:lineRule="exact"/>
        <w:jc w:val="right"/>
        <w:rPr>
          <w:rFonts w:hint="eastAsia" w:ascii="仿宋" w:hAnsi="仿宋"/>
          <w:sz w:val="28"/>
          <w:szCs w:val="28"/>
          <w:u w:val="single"/>
        </w:rPr>
      </w:pPr>
      <w:r>
        <w:rPr>
          <w:rFonts w:hint="eastAsia" w:ascii="仿宋" w:hAnsi="仿宋"/>
          <w:sz w:val="28"/>
          <w:szCs w:val="28"/>
        </w:rPr>
        <w:t xml:space="preserve"> 法定代表人（负责人）/授权代表签字：</w:t>
      </w:r>
      <w:r>
        <w:rPr>
          <w:rFonts w:hint="eastAsia" w:ascii="仿宋" w:hAnsi="仿宋"/>
          <w:sz w:val="28"/>
          <w:szCs w:val="28"/>
          <w:u w:val="single"/>
        </w:rPr>
        <w:t xml:space="preserve">          </w:t>
      </w:r>
    </w:p>
    <w:p w14:paraId="3DEA74CB">
      <w:pPr>
        <w:wordWrap w:val="0"/>
        <w:spacing w:line="560" w:lineRule="exact"/>
        <w:jc w:val="right"/>
        <w:rPr>
          <w:rFonts w:hint="eastAsia" w:ascii="仿宋" w:hAnsi="仿宋"/>
          <w:sz w:val="28"/>
          <w:szCs w:val="28"/>
          <w:u w:val="single"/>
        </w:rPr>
      </w:pPr>
      <w:r>
        <w:rPr>
          <w:rFonts w:hint="eastAsia" w:ascii="仿宋" w:hAnsi="仿宋"/>
          <w:sz w:val="28"/>
          <w:szCs w:val="28"/>
        </w:rPr>
        <w:t xml:space="preserve"> 日期：</w:t>
      </w:r>
      <w:r>
        <w:rPr>
          <w:rFonts w:hint="eastAsia" w:ascii="仿宋" w:hAnsi="仿宋"/>
          <w:sz w:val="28"/>
          <w:szCs w:val="28"/>
          <w:u w:val="single"/>
        </w:rPr>
        <w:t xml:space="preserve">          </w:t>
      </w:r>
    </w:p>
    <w:p w14:paraId="668F6995">
      <w:pPr>
        <w:spacing w:line="560" w:lineRule="exact"/>
        <w:jc w:val="right"/>
        <w:rPr>
          <w:rFonts w:hint="eastAsia" w:ascii="仿宋" w:hAnsi="仿宋"/>
          <w:sz w:val="28"/>
          <w:szCs w:val="28"/>
          <w:u w:val="single"/>
        </w:rPr>
      </w:pPr>
    </w:p>
    <w:p w14:paraId="26D2712A">
      <w:pPr>
        <w:spacing w:line="560" w:lineRule="exact"/>
        <w:jc w:val="right"/>
        <w:rPr>
          <w:rFonts w:hint="eastAsia" w:ascii="仿宋" w:hAnsi="仿宋"/>
          <w:sz w:val="28"/>
          <w:szCs w:val="28"/>
          <w:u w:val="single"/>
        </w:rPr>
      </w:pPr>
    </w:p>
    <w:p w14:paraId="724C31A5">
      <w:pPr>
        <w:spacing w:line="560" w:lineRule="exact"/>
        <w:jc w:val="right"/>
        <w:rPr>
          <w:rFonts w:hint="eastAsia" w:ascii="仿宋" w:hAnsi="仿宋"/>
          <w:sz w:val="28"/>
          <w:szCs w:val="28"/>
          <w:u w:val="single"/>
        </w:rPr>
      </w:pPr>
    </w:p>
    <w:p w14:paraId="70197B87">
      <w:pPr>
        <w:spacing w:line="560" w:lineRule="exact"/>
        <w:jc w:val="right"/>
        <w:rPr>
          <w:rFonts w:hint="eastAsia" w:ascii="仿宋" w:hAnsi="仿宋"/>
          <w:sz w:val="28"/>
          <w:szCs w:val="28"/>
          <w:u w:val="single"/>
        </w:rPr>
      </w:pPr>
    </w:p>
    <w:p w14:paraId="1CA4DC29">
      <w:pPr>
        <w:spacing w:line="560" w:lineRule="exact"/>
        <w:jc w:val="right"/>
        <w:rPr>
          <w:rFonts w:hint="eastAsia" w:ascii="仿宋" w:hAnsi="仿宋"/>
          <w:sz w:val="28"/>
          <w:szCs w:val="28"/>
          <w:u w:val="single"/>
        </w:rPr>
      </w:pPr>
    </w:p>
    <w:p w14:paraId="7B9EDCF2">
      <w:pPr>
        <w:spacing w:line="560" w:lineRule="exact"/>
        <w:jc w:val="right"/>
        <w:rPr>
          <w:rFonts w:hint="eastAsia" w:ascii="仿宋" w:hAnsi="仿宋"/>
          <w:sz w:val="28"/>
          <w:szCs w:val="28"/>
          <w:u w:val="single"/>
        </w:rPr>
      </w:pPr>
    </w:p>
    <w:p w14:paraId="188F17C4">
      <w:pPr>
        <w:snapToGrid w:val="0"/>
        <w:spacing w:line="560" w:lineRule="exact"/>
        <w:rPr>
          <w:rFonts w:hint="eastAsia" w:ascii="仿宋" w:hAnsi="仿宋"/>
          <w:b/>
          <w:bCs/>
          <w:sz w:val="28"/>
          <w:szCs w:val="28"/>
        </w:rPr>
      </w:pPr>
    </w:p>
    <w:p w14:paraId="448F8AC0">
      <w:pPr>
        <w:snapToGrid w:val="0"/>
        <w:spacing w:line="560" w:lineRule="exact"/>
        <w:rPr>
          <w:rFonts w:hint="eastAsia" w:ascii="仿宋" w:hAnsi="仿宋"/>
          <w:b/>
          <w:bCs/>
          <w:sz w:val="28"/>
          <w:szCs w:val="28"/>
        </w:rPr>
      </w:pPr>
    </w:p>
    <w:p w14:paraId="51CACBB4">
      <w:pPr>
        <w:snapToGrid w:val="0"/>
        <w:spacing w:line="560" w:lineRule="exact"/>
        <w:rPr>
          <w:rFonts w:hint="eastAsia" w:ascii="仿宋" w:hAnsi="仿宋"/>
          <w:b/>
          <w:bCs/>
          <w:sz w:val="28"/>
          <w:szCs w:val="28"/>
        </w:rPr>
      </w:pPr>
      <w:r>
        <w:rPr>
          <w:rFonts w:hint="eastAsia" w:ascii="仿宋" w:hAnsi="仿宋"/>
          <w:b/>
          <w:bCs/>
          <w:sz w:val="28"/>
          <w:szCs w:val="28"/>
        </w:rPr>
        <w:t>附件3：</w:t>
      </w:r>
    </w:p>
    <w:p w14:paraId="6BF59E11">
      <w:pPr>
        <w:snapToGrid w:val="0"/>
        <w:spacing w:line="560" w:lineRule="exact"/>
        <w:rPr>
          <w:rFonts w:hint="eastAsia" w:ascii="仿宋" w:hAnsi="仿宋"/>
          <w:b/>
          <w:bCs/>
          <w:sz w:val="28"/>
          <w:szCs w:val="28"/>
        </w:rPr>
      </w:pPr>
    </w:p>
    <w:p w14:paraId="48BDDEAC">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北京世纪金光半导体有限公司预招募意向投资人</w:t>
      </w:r>
    </w:p>
    <w:p w14:paraId="371446EC">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法定代表人/负责人身份证明书</w:t>
      </w:r>
    </w:p>
    <w:p w14:paraId="1FF1AECB">
      <w:pPr>
        <w:snapToGrid w:val="0"/>
        <w:spacing w:line="560" w:lineRule="exact"/>
        <w:jc w:val="center"/>
        <w:rPr>
          <w:rFonts w:hint="eastAsia" w:ascii="仿宋" w:hAnsi="仿宋"/>
          <w:b/>
          <w:bCs/>
          <w:sz w:val="28"/>
          <w:szCs w:val="28"/>
        </w:rPr>
      </w:pPr>
    </w:p>
    <w:p w14:paraId="15CB5A2C">
      <w:pPr>
        <w:snapToGrid w:val="0"/>
        <w:spacing w:line="560" w:lineRule="exact"/>
        <w:rPr>
          <w:rFonts w:hint="eastAsia" w:ascii="仿宋" w:hAnsi="仿宋"/>
          <w:sz w:val="28"/>
          <w:szCs w:val="28"/>
        </w:rPr>
      </w:pPr>
      <w:r>
        <w:rPr>
          <w:rFonts w:hint="eastAsia" w:ascii="仿宋" w:hAnsi="仿宋"/>
          <w:sz w:val="28"/>
          <w:szCs w:val="28"/>
        </w:rPr>
        <w:t>北京世纪金光半导体有限公司管理人：</w:t>
      </w:r>
    </w:p>
    <w:p w14:paraId="354EF4D8">
      <w:pPr>
        <w:snapToGrid w:val="0"/>
        <w:spacing w:line="560" w:lineRule="exact"/>
        <w:rPr>
          <w:rFonts w:hint="eastAsia" w:ascii="仿宋" w:hAnsi="仿宋"/>
          <w:sz w:val="28"/>
          <w:szCs w:val="28"/>
        </w:rPr>
      </w:pPr>
    </w:p>
    <w:p w14:paraId="3113D86A">
      <w:pPr>
        <w:snapToGrid w:val="0"/>
        <w:spacing w:line="560" w:lineRule="exact"/>
        <w:ind w:firstLine="560" w:firstLineChars="200"/>
        <w:rPr>
          <w:rFonts w:hint="eastAsia" w:ascii="仿宋" w:hAnsi="仿宋"/>
          <w:sz w:val="28"/>
          <w:szCs w:val="28"/>
        </w:rPr>
      </w:pPr>
      <w:r>
        <w:rPr>
          <w:rFonts w:hint="eastAsia" w:ascii="仿宋" w:hAnsi="仿宋"/>
          <w:sz w:val="28"/>
          <w:szCs w:val="28"/>
        </w:rPr>
        <w:t>兹证明</w:t>
      </w:r>
      <w:r>
        <w:rPr>
          <w:rFonts w:hint="eastAsia" w:ascii="仿宋" w:hAnsi="仿宋"/>
          <w:sz w:val="28"/>
          <w:szCs w:val="28"/>
          <w:u w:val="single"/>
        </w:rPr>
        <w:t xml:space="preserve">        </w:t>
      </w:r>
      <w:r>
        <w:rPr>
          <w:rFonts w:hint="eastAsia" w:ascii="仿宋" w:hAnsi="仿宋"/>
          <w:sz w:val="28"/>
          <w:szCs w:val="28"/>
        </w:rPr>
        <w:t>（身份证号：</w:t>
      </w:r>
      <w:r>
        <w:rPr>
          <w:rFonts w:hint="eastAsia" w:ascii="仿宋" w:hAnsi="仿宋"/>
          <w:sz w:val="28"/>
          <w:szCs w:val="28"/>
          <w:u w:val="single"/>
        </w:rPr>
        <w:t xml:space="preserve">                      </w:t>
      </w:r>
      <w:r>
        <w:rPr>
          <w:rFonts w:hint="eastAsia" w:ascii="仿宋" w:hAnsi="仿宋"/>
          <w:sz w:val="28"/>
          <w:szCs w:val="28"/>
        </w:rPr>
        <w:t>）在本单位担任</w:t>
      </w:r>
      <w:r>
        <w:rPr>
          <w:rFonts w:hint="eastAsia" w:ascii="仿宋" w:hAnsi="仿宋"/>
          <w:sz w:val="28"/>
          <w:szCs w:val="28"/>
          <w:u w:val="single"/>
        </w:rPr>
        <w:t xml:space="preserve">        </w:t>
      </w:r>
      <w:r>
        <w:rPr>
          <w:rFonts w:hint="eastAsia" w:ascii="仿宋" w:hAnsi="仿宋"/>
          <w:sz w:val="28"/>
          <w:szCs w:val="28"/>
        </w:rPr>
        <w:t xml:space="preserve">职务，为本单位的法定代表人（负责人）。 </w:t>
      </w:r>
    </w:p>
    <w:p w14:paraId="61621B18">
      <w:pPr>
        <w:snapToGrid w:val="0"/>
        <w:spacing w:line="560" w:lineRule="exact"/>
        <w:ind w:firstLine="560" w:firstLineChars="200"/>
        <w:rPr>
          <w:rFonts w:hint="eastAsia" w:ascii="仿宋" w:hAnsi="仿宋"/>
          <w:sz w:val="28"/>
          <w:szCs w:val="28"/>
        </w:rPr>
      </w:pPr>
    </w:p>
    <w:p w14:paraId="0BB65797">
      <w:pPr>
        <w:snapToGrid w:val="0"/>
        <w:spacing w:line="560" w:lineRule="exact"/>
        <w:ind w:firstLine="560" w:firstLineChars="200"/>
        <w:rPr>
          <w:rFonts w:hint="eastAsia" w:ascii="仿宋" w:hAnsi="仿宋"/>
          <w:sz w:val="28"/>
          <w:szCs w:val="28"/>
        </w:rPr>
      </w:pPr>
      <w:r>
        <w:rPr>
          <w:rFonts w:hint="eastAsia" w:ascii="仿宋" w:hAnsi="仿宋"/>
          <w:sz w:val="28"/>
          <w:szCs w:val="28"/>
        </w:rPr>
        <w:t>特此证明。</w:t>
      </w:r>
    </w:p>
    <w:p w14:paraId="6D4AF699">
      <w:pPr>
        <w:snapToGrid w:val="0"/>
        <w:spacing w:line="560" w:lineRule="exact"/>
        <w:ind w:firstLine="560" w:firstLineChars="200"/>
        <w:rPr>
          <w:rFonts w:hint="eastAsia" w:ascii="仿宋" w:hAnsi="仿宋"/>
          <w:sz w:val="28"/>
          <w:szCs w:val="28"/>
        </w:rPr>
      </w:pPr>
    </w:p>
    <w:p w14:paraId="6FE33501">
      <w:pPr>
        <w:spacing w:line="560" w:lineRule="exact"/>
        <w:jc w:val="center"/>
        <w:rPr>
          <w:rFonts w:hint="eastAsia" w:ascii="仿宋" w:hAnsi="仿宋"/>
          <w:sz w:val="28"/>
          <w:szCs w:val="28"/>
        </w:rPr>
      </w:pPr>
      <w:r>
        <w:rPr>
          <w:rFonts w:hint="eastAsia" w:ascii="仿宋" w:hAnsi="仿宋"/>
          <w:sz w:val="28"/>
          <w:szCs w:val="28"/>
        </w:rPr>
        <w:t xml:space="preserve">     </w:t>
      </w:r>
    </w:p>
    <w:p w14:paraId="7A755714">
      <w:pPr>
        <w:spacing w:line="560" w:lineRule="exact"/>
        <w:jc w:val="center"/>
        <w:rPr>
          <w:rFonts w:hint="eastAsia" w:ascii="仿宋" w:hAnsi="仿宋"/>
          <w:sz w:val="28"/>
          <w:szCs w:val="28"/>
        </w:rPr>
      </w:pPr>
      <w:r>
        <w:rPr>
          <w:rFonts w:hint="eastAsia" w:ascii="仿宋" w:hAnsi="仿宋"/>
          <w:sz w:val="28"/>
          <w:szCs w:val="28"/>
        </w:rPr>
        <w:t xml:space="preserve">               意向投资人（盖章）：</w:t>
      </w:r>
    </w:p>
    <w:p w14:paraId="029A93E1">
      <w:pPr>
        <w:wordWrap w:val="0"/>
        <w:spacing w:line="560" w:lineRule="exact"/>
        <w:jc w:val="right"/>
        <w:rPr>
          <w:rFonts w:hint="eastAsia" w:ascii="仿宋" w:hAnsi="仿宋"/>
          <w:sz w:val="28"/>
          <w:szCs w:val="28"/>
          <w:u w:val="single"/>
        </w:rPr>
      </w:pPr>
      <w:r>
        <w:rPr>
          <w:rFonts w:hint="eastAsia" w:ascii="仿宋" w:hAnsi="仿宋"/>
          <w:sz w:val="28"/>
          <w:szCs w:val="28"/>
        </w:rPr>
        <w:t>日期：</w:t>
      </w:r>
      <w:r>
        <w:rPr>
          <w:rFonts w:hint="eastAsia" w:ascii="仿宋" w:hAnsi="仿宋"/>
          <w:sz w:val="28"/>
          <w:szCs w:val="28"/>
          <w:u w:val="single"/>
        </w:rPr>
        <w:t xml:space="preserve">          </w:t>
      </w:r>
    </w:p>
    <w:p w14:paraId="7F27CAB8">
      <w:pPr>
        <w:spacing w:line="560" w:lineRule="exact"/>
        <w:jc w:val="right"/>
        <w:rPr>
          <w:rFonts w:hint="eastAsia" w:ascii="仿宋" w:hAnsi="仿宋"/>
          <w:sz w:val="28"/>
          <w:szCs w:val="28"/>
          <w:u w:val="single"/>
        </w:rPr>
      </w:pPr>
    </w:p>
    <w:p w14:paraId="3498E697">
      <w:pPr>
        <w:spacing w:line="560" w:lineRule="exact"/>
        <w:jc w:val="right"/>
        <w:rPr>
          <w:rFonts w:hint="eastAsia" w:ascii="仿宋" w:hAnsi="仿宋"/>
          <w:sz w:val="28"/>
          <w:szCs w:val="28"/>
          <w:u w:val="single"/>
        </w:rPr>
      </w:pPr>
    </w:p>
    <w:p w14:paraId="68D2EF11">
      <w:pPr>
        <w:spacing w:line="560" w:lineRule="exact"/>
        <w:jc w:val="right"/>
        <w:rPr>
          <w:rFonts w:hint="eastAsia" w:ascii="仿宋" w:hAnsi="仿宋"/>
          <w:sz w:val="28"/>
          <w:szCs w:val="28"/>
          <w:u w:val="single"/>
        </w:rPr>
      </w:pPr>
    </w:p>
    <w:p w14:paraId="7F2A5290">
      <w:pPr>
        <w:spacing w:line="560" w:lineRule="exact"/>
        <w:jc w:val="right"/>
        <w:rPr>
          <w:rFonts w:hint="eastAsia" w:ascii="仿宋" w:hAnsi="仿宋"/>
          <w:sz w:val="28"/>
          <w:szCs w:val="28"/>
          <w:u w:val="single"/>
        </w:rPr>
      </w:pPr>
    </w:p>
    <w:p w14:paraId="15AE5407">
      <w:pPr>
        <w:spacing w:line="560" w:lineRule="exact"/>
        <w:jc w:val="right"/>
        <w:rPr>
          <w:rFonts w:hint="eastAsia" w:ascii="仿宋" w:hAnsi="仿宋"/>
          <w:sz w:val="28"/>
          <w:szCs w:val="28"/>
          <w:u w:val="single"/>
        </w:rPr>
      </w:pPr>
    </w:p>
    <w:p w14:paraId="5BDA51CE">
      <w:pPr>
        <w:spacing w:line="560" w:lineRule="exact"/>
        <w:jc w:val="right"/>
        <w:rPr>
          <w:rFonts w:hint="eastAsia" w:ascii="仿宋" w:hAnsi="仿宋"/>
          <w:sz w:val="28"/>
          <w:szCs w:val="28"/>
          <w:u w:val="single"/>
        </w:rPr>
      </w:pPr>
    </w:p>
    <w:p w14:paraId="61812DB1">
      <w:pPr>
        <w:spacing w:line="560" w:lineRule="exact"/>
        <w:jc w:val="right"/>
        <w:rPr>
          <w:rFonts w:hint="eastAsia" w:ascii="仿宋" w:hAnsi="仿宋"/>
          <w:sz w:val="28"/>
          <w:szCs w:val="28"/>
          <w:u w:val="single"/>
        </w:rPr>
      </w:pPr>
    </w:p>
    <w:p w14:paraId="33C2C1AF">
      <w:pPr>
        <w:spacing w:line="560" w:lineRule="exact"/>
        <w:jc w:val="right"/>
        <w:rPr>
          <w:rFonts w:hint="eastAsia" w:ascii="仿宋" w:hAnsi="仿宋"/>
          <w:sz w:val="28"/>
          <w:szCs w:val="28"/>
          <w:u w:val="single"/>
        </w:rPr>
      </w:pPr>
    </w:p>
    <w:p w14:paraId="518D1D02">
      <w:pPr>
        <w:snapToGrid w:val="0"/>
        <w:spacing w:line="560" w:lineRule="exact"/>
        <w:rPr>
          <w:rFonts w:hint="eastAsia" w:ascii="仿宋" w:hAnsi="仿宋"/>
          <w:b/>
          <w:bCs/>
          <w:sz w:val="28"/>
          <w:szCs w:val="28"/>
        </w:rPr>
      </w:pPr>
    </w:p>
    <w:p w14:paraId="2D9EA5AD">
      <w:pPr>
        <w:snapToGrid w:val="0"/>
        <w:spacing w:line="560" w:lineRule="exact"/>
        <w:rPr>
          <w:rFonts w:hint="eastAsia" w:ascii="仿宋" w:hAnsi="仿宋"/>
          <w:b/>
          <w:bCs/>
          <w:sz w:val="28"/>
          <w:szCs w:val="28"/>
        </w:rPr>
      </w:pPr>
      <w:r>
        <w:rPr>
          <w:rFonts w:hint="eastAsia" w:ascii="仿宋" w:hAnsi="仿宋"/>
          <w:b/>
          <w:bCs/>
          <w:sz w:val="28"/>
          <w:szCs w:val="28"/>
        </w:rPr>
        <w:t>附件4：</w:t>
      </w:r>
    </w:p>
    <w:p w14:paraId="3A46B06B">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授权委托书</w:t>
      </w:r>
    </w:p>
    <w:p w14:paraId="44EAD927">
      <w:pPr>
        <w:snapToGrid w:val="0"/>
        <w:spacing w:line="500" w:lineRule="exact"/>
        <w:rPr>
          <w:rFonts w:hint="eastAsia" w:ascii="仿宋" w:hAnsi="仿宋"/>
          <w:sz w:val="28"/>
          <w:szCs w:val="28"/>
        </w:rPr>
      </w:pPr>
      <w:r>
        <w:rPr>
          <w:rFonts w:hint="eastAsia" w:ascii="仿宋" w:hAnsi="仿宋"/>
          <w:sz w:val="28"/>
          <w:szCs w:val="28"/>
        </w:rPr>
        <w:t>委托人：</w:t>
      </w:r>
    </w:p>
    <w:p w14:paraId="009996AC">
      <w:pPr>
        <w:snapToGrid w:val="0"/>
        <w:spacing w:line="500" w:lineRule="exact"/>
        <w:rPr>
          <w:rFonts w:hint="eastAsia" w:ascii="仿宋" w:hAnsi="仿宋"/>
          <w:sz w:val="28"/>
          <w:szCs w:val="28"/>
        </w:rPr>
      </w:pPr>
      <w:r>
        <w:rPr>
          <w:rFonts w:hint="eastAsia" w:ascii="仿宋" w:hAnsi="仿宋"/>
          <w:sz w:val="28"/>
          <w:szCs w:val="28"/>
        </w:rPr>
        <w:t>法定代表人（负责人）：</w:t>
      </w:r>
    </w:p>
    <w:p w14:paraId="1F35EE5F">
      <w:pPr>
        <w:snapToGrid w:val="0"/>
        <w:spacing w:line="500" w:lineRule="exact"/>
        <w:rPr>
          <w:rFonts w:hint="eastAsia" w:ascii="仿宋" w:hAnsi="仿宋"/>
          <w:sz w:val="28"/>
          <w:szCs w:val="28"/>
        </w:rPr>
      </w:pPr>
      <w:r>
        <w:rPr>
          <w:rFonts w:hint="eastAsia" w:ascii="仿宋" w:hAnsi="仿宋"/>
          <w:sz w:val="28"/>
          <w:szCs w:val="28"/>
        </w:rPr>
        <w:t>住所地：                           联系方式：</w:t>
      </w:r>
    </w:p>
    <w:p w14:paraId="73067A97">
      <w:pPr>
        <w:snapToGrid w:val="0"/>
        <w:spacing w:line="240" w:lineRule="exact"/>
        <w:rPr>
          <w:rFonts w:hint="eastAsia" w:ascii="仿宋" w:hAnsi="仿宋"/>
          <w:sz w:val="28"/>
          <w:szCs w:val="28"/>
        </w:rPr>
      </w:pPr>
    </w:p>
    <w:p w14:paraId="5A99F485">
      <w:pPr>
        <w:snapToGrid w:val="0"/>
        <w:spacing w:line="500" w:lineRule="exact"/>
        <w:rPr>
          <w:rFonts w:hint="eastAsia" w:ascii="仿宋" w:hAnsi="仿宋"/>
          <w:sz w:val="28"/>
          <w:szCs w:val="28"/>
        </w:rPr>
      </w:pPr>
      <w:r>
        <w:rPr>
          <w:rFonts w:hint="eastAsia" w:ascii="仿宋" w:hAnsi="仿宋"/>
          <w:sz w:val="28"/>
          <w:szCs w:val="28"/>
        </w:rPr>
        <w:t>受托人：</w:t>
      </w:r>
    </w:p>
    <w:p w14:paraId="5F4665B6">
      <w:pPr>
        <w:snapToGrid w:val="0"/>
        <w:spacing w:line="500" w:lineRule="exact"/>
        <w:rPr>
          <w:rFonts w:hint="eastAsia" w:ascii="仿宋" w:hAnsi="仿宋"/>
          <w:sz w:val="28"/>
          <w:szCs w:val="28"/>
        </w:rPr>
      </w:pPr>
      <w:r>
        <w:rPr>
          <w:rFonts w:hint="eastAsia" w:ascii="仿宋" w:hAnsi="仿宋"/>
          <w:sz w:val="28"/>
          <w:szCs w:val="28"/>
        </w:rPr>
        <w:t>身份证号码：</w:t>
      </w:r>
    </w:p>
    <w:p w14:paraId="2AB8D754">
      <w:pPr>
        <w:snapToGrid w:val="0"/>
        <w:spacing w:line="500" w:lineRule="exact"/>
        <w:rPr>
          <w:rFonts w:hint="eastAsia" w:ascii="仿宋" w:hAnsi="仿宋"/>
          <w:sz w:val="28"/>
          <w:szCs w:val="28"/>
        </w:rPr>
      </w:pPr>
      <w:r>
        <w:rPr>
          <w:rFonts w:hint="eastAsia" w:ascii="仿宋" w:hAnsi="仿宋"/>
          <w:sz w:val="28"/>
          <w:szCs w:val="28"/>
        </w:rPr>
        <w:t>工作单位：                         联系方式：</w:t>
      </w:r>
    </w:p>
    <w:p w14:paraId="10296DB0">
      <w:pPr>
        <w:snapToGrid w:val="0"/>
        <w:spacing w:line="240" w:lineRule="exact"/>
        <w:rPr>
          <w:rFonts w:hint="eastAsia" w:ascii="仿宋" w:hAnsi="仿宋"/>
          <w:sz w:val="28"/>
          <w:szCs w:val="28"/>
        </w:rPr>
      </w:pPr>
    </w:p>
    <w:p w14:paraId="2061A6F2">
      <w:pPr>
        <w:snapToGrid w:val="0"/>
        <w:spacing w:line="480" w:lineRule="exact"/>
        <w:ind w:firstLine="560" w:firstLineChars="200"/>
        <w:rPr>
          <w:rFonts w:hint="eastAsia" w:ascii="仿宋" w:hAnsi="仿宋"/>
          <w:sz w:val="28"/>
          <w:szCs w:val="28"/>
        </w:rPr>
      </w:pPr>
      <w:r>
        <w:rPr>
          <w:rFonts w:hint="eastAsia" w:ascii="仿宋" w:hAnsi="仿宋"/>
          <w:sz w:val="28"/>
          <w:szCs w:val="28"/>
        </w:rPr>
        <w:t>委托人就本参选机构参与北京世纪金光半导体有限公司意向投资人预招募和遴选程序（以下简称“本次预招募”），特委托上述受委托人作为委托人的代理人，代表本单位办理如下事宜：</w:t>
      </w:r>
    </w:p>
    <w:p w14:paraId="5D4E599E">
      <w:pPr>
        <w:pStyle w:val="12"/>
        <w:snapToGrid w:val="0"/>
        <w:spacing w:line="480" w:lineRule="exact"/>
        <w:ind w:firstLine="560"/>
        <w:rPr>
          <w:rFonts w:hint="eastAsia" w:ascii="仿宋" w:hAnsi="仿宋"/>
          <w:sz w:val="28"/>
          <w:szCs w:val="28"/>
        </w:rPr>
      </w:pPr>
      <w:r>
        <w:rPr>
          <w:rFonts w:hint="eastAsia" w:ascii="仿宋" w:hAnsi="仿宋"/>
          <w:sz w:val="28"/>
          <w:szCs w:val="28"/>
        </w:rPr>
        <w:t>1.向管理人报名参与本次预招募，提交重整投资人报名意向书、重整投资方案、重整投资协议等与本次预招募相关文件资料，参与本次预招募相关工作并代表委托人发表意见；</w:t>
      </w:r>
    </w:p>
    <w:p w14:paraId="21D0FC16">
      <w:pPr>
        <w:pStyle w:val="12"/>
        <w:snapToGrid w:val="0"/>
        <w:spacing w:line="480" w:lineRule="exact"/>
        <w:ind w:firstLine="560"/>
        <w:rPr>
          <w:rFonts w:hint="eastAsia" w:ascii="仿宋" w:hAnsi="仿宋"/>
          <w:sz w:val="28"/>
          <w:szCs w:val="28"/>
        </w:rPr>
      </w:pPr>
      <w:r>
        <w:rPr>
          <w:rFonts w:hint="eastAsia" w:ascii="仿宋" w:hAnsi="仿宋"/>
          <w:sz w:val="28"/>
          <w:szCs w:val="28"/>
        </w:rPr>
        <w:t>2.签署、递交、接收和转送有关本次预招募的各类法律文件及其他文件；</w:t>
      </w:r>
    </w:p>
    <w:p w14:paraId="69638ADE">
      <w:pPr>
        <w:pStyle w:val="12"/>
        <w:snapToGrid w:val="0"/>
        <w:spacing w:line="480" w:lineRule="exact"/>
        <w:ind w:firstLine="560"/>
        <w:rPr>
          <w:rFonts w:hint="eastAsia" w:ascii="仿宋" w:hAnsi="仿宋"/>
          <w:sz w:val="28"/>
          <w:szCs w:val="28"/>
        </w:rPr>
      </w:pPr>
      <w:r>
        <w:rPr>
          <w:rFonts w:hint="eastAsia" w:ascii="仿宋" w:hAnsi="仿宋"/>
          <w:sz w:val="28"/>
          <w:szCs w:val="28"/>
        </w:rPr>
        <w:t xml:space="preserve">3.处理与本次预招募相关的其他工作。 </w:t>
      </w:r>
    </w:p>
    <w:p w14:paraId="2AD34D4D">
      <w:pPr>
        <w:snapToGrid w:val="0"/>
        <w:spacing w:line="480" w:lineRule="exact"/>
        <w:ind w:firstLine="560" w:firstLineChars="200"/>
        <w:rPr>
          <w:rFonts w:hint="eastAsia" w:ascii="仿宋" w:hAnsi="仿宋"/>
          <w:sz w:val="28"/>
          <w:szCs w:val="28"/>
        </w:rPr>
      </w:pPr>
      <w:r>
        <w:rPr>
          <w:rFonts w:hint="eastAsia" w:ascii="仿宋" w:hAnsi="仿宋"/>
          <w:sz w:val="28"/>
          <w:szCs w:val="28"/>
        </w:rPr>
        <w:t>受托人的代理权限为特别授权。受托人在本次预招募过程中代表本参选机构签署的所有文件和处理的所有相关事务，本参选机构均予以承认，并承担相应法律责任。授权期限自授权委托书出具之日起至委托事项完结为止。</w:t>
      </w:r>
    </w:p>
    <w:p w14:paraId="074956F9">
      <w:pPr>
        <w:snapToGrid w:val="0"/>
        <w:spacing w:line="480" w:lineRule="exact"/>
        <w:ind w:firstLine="560" w:firstLineChars="200"/>
        <w:rPr>
          <w:rFonts w:hint="eastAsia" w:ascii="仿宋" w:hAnsi="仿宋"/>
          <w:sz w:val="28"/>
          <w:szCs w:val="28"/>
        </w:rPr>
      </w:pPr>
      <w:r>
        <w:rPr>
          <w:rFonts w:hint="eastAsia" w:ascii="仿宋" w:hAnsi="仿宋"/>
          <w:sz w:val="28"/>
          <w:szCs w:val="28"/>
        </w:rPr>
        <w:t>特此授权。</w:t>
      </w:r>
    </w:p>
    <w:p w14:paraId="239A3353">
      <w:pPr>
        <w:snapToGrid w:val="0"/>
        <w:spacing w:line="480" w:lineRule="exact"/>
        <w:ind w:firstLine="560" w:firstLineChars="200"/>
        <w:rPr>
          <w:rFonts w:hint="eastAsia" w:ascii="仿宋" w:hAnsi="仿宋"/>
          <w:sz w:val="28"/>
          <w:szCs w:val="28"/>
        </w:rPr>
      </w:pPr>
      <w:r>
        <w:rPr>
          <w:rFonts w:hint="eastAsia" w:ascii="仿宋" w:hAnsi="仿宋"/>
          <w:sz w:val="28"/>
          <w:szCs w:val="28"/>
        </w:rPr>
        <w:t>附：受托人身份证复印件（盖章）</w:t>
      </w:r>
    </w:p>
    <w:p w14:paraId="6DAFB8B6">
      <w:pPr>
        <w:spacing w:line="480" w:lineRule="exact"/>
        <w:jc w:val="center"/>
        <w:rPr>
          <w:rFonts w:hint="eastAsia" w:ascii="仿宋" w:hAnsi="仿宋"/>
          <w:sz w:val="28"/>
          <w:szCs w:val="28"/>
        </w:rPr>
      </w:pPr>
      <w:r>
        <w:rPr>
          <w:rFonts w:hint="eastAsia" w:ascii="仿宋" w:hAnsi="仿宋"/>
          <w:sz w:val="28"/>
          <w:szCs w:val="28"/>
        </w:rPr>
        <w:t xml:space="preserve">          </w:t>
      </w:r>
    </w:p>
    <w:p w14:paraId="094E1BDA">
      <w:pPr>
        <w:spacing w:line="480" w:lineRule="exact"/>
        <w:jc w:val="center"/>
        <w:rPr>
          <w:rFonts w:hint="eastAsia" w:ascii="仿宋" w:hAnsi="仿宋"/>
          <w:sz w:val="28"/>
          <w:szCs w:val="28"/>
        </w:rPr>
      </w:pPr>
      <w:r>
        <w:rPr>
          <w:rFonts w:hint="eastAsia" w:ascii="仿宋" w:hAnsi="仿宋"/>
          <w:sz w:val="28"/>
          <w:szCs w:val="28"/>
        </w:rPr>
        <w:t xml:space="preserve">  意向投资人/委托人（盖章）：</w:t>
      </w:r>
    </w:p>
    <w:p w14:paraId="148F25E2">
      <w:pPr>
        <w:wordWrap w:val="0"/>
        <w:spacing w:line="480" w:lineRule="exact"/>
        <w:jc w:val="right"/>
        <w:rPr>
          <w:rFonts w:hint="eastAsia" w:ascii="仿宋" w:hAnsi="仿宋"/>
          <w:sz w:val="28"/>
          <w:szCs w:val="28"/>
          <w:u w:val="single"/>
        </w:rPr>
      </w:pPr>
      <w:r>
        <w:rPr>
          <w:rFonts w:hint="eastAsia" w:ascii="仿宋" w:hAnsi="仿宋"/>
          <w:sz w:val="28"/>
          <w:szCs w:val="28"/>
        </w:rPr>
        <w:t xml:space="preserve"> 法定代表人（负责人）/授权代表签字：</w:t>
      </w:r>
      <w:r>
        <w:rPr>
          <w:rFonts w:hint="eastAsia" w:ascii="仿宋" w:hAnsi="仿宋"/>
          <w:sz w:val="28"/>
          <w:szCs w:val="28"/>
          <w:u w:val="single"/>
        </w:rPr>
        <w:t xml:space="preserve">          </w:t>
      </w:r>
    </w:p>
    <w:p w14:paraId="52ACFE9B">
      <w:pPr>
        <w:wordWrap w:val="0"/>
        <w:spacing w:line="480" w:lineRule="exact"/>
        <w:jc w:val="right"/>
        <w:rPr>
          <w:rFonts w:hint="eastAsia" w:ascii="仿宋" w:hAnsi="仿宋"/>
          <w:sz w:val="28"/>
          <w:szCs w:val="28"/>
          <w:u w:val="single"/>
        </w:rPr>
      </w:pPr>
      <w:r>
        <w:rPr>
          <w:rFonts w:hint="eastAsia" w:ascii="仿宋" w:hAnsi="仿宋"/>
          <w:sz w:val="28"/>
          <w:szCs w:val="28"/>
        </w:rPr>
        <w:t xml:space="preserve"> 日期：</w:t>
      </w:r>
      <w:r>
        <w:rPr>
          <w:rFonts w:hint="eastAsia" w:ascii="仿宋" w:hAnsi="仿宋"/>
          <w:sz w:val="28"/>
          <w:szCs w:val="28"/>
          <w:u w:val="single"/>
        </w:rPr>
        <w:t xml:space="preserve">          </w:t>
      </w:r>
    </w:p>
    <w:p w14:paraId="51B0604A">
      <w:pPr>
        <w:snapToGrid w:val="0"/>
        <w:spacing w:line="500" w:lineRule="exact"/>
        <w:rPr>
          <w:rFonts w:hint="eastAsia" w:ascii="仿宋" w:hAnsi="仿宋"/>
          <w:b/>
          <w:bCs/>
          <w:sz w:val="28"/>
          <w:szCs w:val="28"/>
        </w:rPr>
      </w:pPr>
      <w:r>
        <w:rPr>
          <w:rFonts w:hint="eastAsia" w:ascii="仿宋" w:hAnsi="仿宋"/>
          <w:b/>
          <w:bCs/>
          <w:sz w:val="28"/>
          <w:szCs w:val="28"/>
        </w:rPr>
        <w:t>附件5：</w:t>
      </w:r>
    </w:p>
    <w:p w14:paraId="766AEADE">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北京世纪金光半导体有限公司破产清算案</w:t>
      </w:r>
    </w:p>
    <w:p w14:paraId="7EC14DBE">
      <w:pPr>
        <w:snapToGrid w:val="0"/>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保密承诺函</w:t>
      </w:r>
    </w:p>
    <w:p w14:paraId="58D05F0B">
      <w:pPr>
        <w:snapToGrid w:val="0"/>
        <w:spacing w:line="240" w:lineRule="exact"/>
        <w:jc w:val="center"/>
        <w:rPr>
          <w:rFonts w:hint="eastAsia" w:ascii="仿宋" w:hAnsi="仿宋"/>
          <w:b/>
          <w:bCs/>
          <w:sz w:val="28"/>
          <w:szCs w:val="28"/>
        </w:rPr>
      </w:pPr>
    </w:p>
    <w:p w14:paraId="4CDB0DED">
      <w:pPr>
        <w:snapToGrid w:val="0"/>
        <w:spacing w:line="560" w:lineRule="exact"/>
        <w:rPr>
          <w:rFonts w:hint="eastAsia" w:ascii="仿宋" w:hAnsi="仿宋"/>
          <w:sz w:val="28"/>
          <w:szCs w:val="28"/>
        </w:rPr>
      </w:pPr>
      <w:r>
        <w:rPr>
          <w:rFonts w:hint="eastAsia" w:ascii="仿宋" w:hAnsi="仿宋"/>
          <w:sz w:val="28"/>
          <w:szCs w:val="28"/>
        </w:rPr>
        <w:t>北京世纪金光半导体有限公司管理人：</w:t>
      </w:r>
    </w:p>
    <w:p w14:paraId="0AB20A47">
      <w:pPr>
        <w:snapToGrid w:val="0"/>
        <w:spacing w:line="560" w:lineRule="exact"/>
        <w:ind w:firstLine="560" w:firstLineChars="200"/>
        <w:rPr>
          <w:rFonts w:hint="eastAsia" w:ascii="仿宋" w:hAnsi="仿宋"/>
          <w:sz w:val="28"/>
          <w:szCs w:val="28"/>
        </w:rPr>
      </w:pPr>
      <w:r>
        <w:rPr>
          <w:rFonts w:hint="eastAsia" w:ascii="仿宋" w:hAnsi="仿宋"/>
          <w:sz w:val="28"/>
          <w:szCs w:val="28"/>
        </w:rPr>
        <w:t>我方承诺，就参与北京世纪金光半导体有限公司破产清算及重整程序中获取的保密信息，按本函的下列要求履行保密义务。</w:t>
      </w:r>
    </w:p>
    <w:p w14:paraId="6B40FCB7">
      <w:pPr>
        <w:pStyle w:val="12"/>
        <w:snapToGrid w:val="0"/>
        <w:spacing w:line="560" w:lineRule="exact"/>
        <w:ind w:firstLine="562"/>
        <w:rPr>
          <w:rFonts w:hint="eastAsia" w:ascii="仿宋" w:hAnsi="仿宋"/>
          <w:sz w:val="28"/>
          <w:szCs w:val="28"/>
        </w:rPr>
      </w:pPr>
      <w:r>
        <w:rPr>
          <w:rFonts w:hint="eastAsia" w:ascii="仿宋" w:hAnsi="仿宋"/>
          <w:b/>
          <w:bCs/>
          <w:sz w:val="28"/>
          <w:szCs w:val="28"/>
        </w:rPr>
        <w:t>第一条 保密信息</w:t>
      </w:r>
      <w:r>
        <w:rPr>
          <w:rFonts w:hint="eastAsia" w:ascii="仿宋" w:hAnsi="仿宋"/>
          <w:sz w:val="28"/>
          <w:szCs w:val="28"/>
        </w:rPr>
        <w:t xml:space="preserve"> </w:t>
      </w:r>
    </w:p>
    <w:p w14:paraId="372BD7CA">
      <w:pPr>
        <w:snapToGrid w:val="0"/>
        <w:spacing w:line="560" w:lineRule="exact"/>
        <w:ind w:firstLine="560" w:firstLineChars="200"/>
        <w:rPr>
          <w:rFonts w:hint="eastAsia" w:ascii="仿宋" w:hAnsi="仿宋"/>
          <w:sz w:val="28"/>
          <w:szCs w:val="28"/>
        </w:rPr>
      </w:pPr>
      <w:r>
        <w:rPr>
          <w:rFonts w:hint="eastAsia" w:ascii="仿宋" w:hAnsi="仿宋"/>
          <w:sz w:val="28"/>
          <w:szCs w:val="28"/>
        </w:rPr>
        <w:t>保密信息指我方获得的与北京世纪金光半导体有限公司（以下简称世纪金光）破产清算及重整有关或因此产生的以书面、口头、图像或者其他任何形式作为载体的任何信息，包括但不限于：</w:t>
      </w:r>
    </w:p>
    <w:p w14:paraId="28023C06">
      <w:pPr>
        <w:pStyle w:val="12"/>
        <w:snapToGrid w:val="0"/>
        <w:spacing w:line="560" w:lineRule="exact"/>
        <w:ind w:firstLine="560"/>
        <w:rPr>
          <w:rFonts w:hint="eastAsia" w:ascii="仿宋" w:hAnsi="仿宋"/>
          <w:sz w:val="28"/>
          <w:szCs w:val="28"/>
        </w:rPr>
      </w:pPr>
      <w:r>
        <w:rPr>
          <w:rFonts w:hint="eastAsia" w:ascii="仿宋" w:hAnsi="仿宋"/>
          <w:sz w:val="28"/>
          <w:szCs w:val="28"/>
        </w:rPr>
        <w:t>1.贵方以口头、书面或者其他形式，向我方提供的世纪金光的一切非公开、保密、专有的文件及其他资料；</w:t>
      </w:r>
    </w:p>
    <w:p w14:paraId="78C56B46">
      <w:pPr>
        <w:pStyle w:val="12"/>
        <w:snapToGrid w:val="0"/>
        <w:spacing w:line="560" w:lineRule="exact"/>
        <w:ind w:firstLine="560"/>
        <w:rPr>
          <w:rFonts w:hint="eastAsia" w:ascii="仿宋" w:hAnsi="仿宋"/>
          <w:sz w:val="28"/>
          <w:szCs w:val="28"/>
        </w:rPr>
      </w:pPr>
      <w:r>
        <w:rPr>
          <w:rFonts w:hint="eastAsia" w:ascii="仿宋" w:hAnsi="仿宋"/>
          <w:sz w:val="28"/>
          <w:szCs w:val="28"/>
        </w:rPr>
        <w:t>2.我方或我方代表通过与世纪金光股东、员工、参与世纪金光破产清算及重整案中介机构/顾问的接触、沟通、商讨，而获得的任何不被公众所知悉或披露义务人尚未公开披露的与世纪金光及世纪金光破产清算及重整案有关的信息；</w:t>
      </w:r>
    </w:p>
    <w:p w14:paraId="48B14601">
      <w:pPr>
        <w:pStyle w:val="12"/>
        <w:snapToGrid w:val="0"/>
        <w:spacing w:line="560" w:lineRule="exact"/>
        <w:ind w:firstLine="560"/>
        <w:rPr>
          <w:rFonts w:hint="eastAsia" w:ascii="仿宋" w:hAnsi="仿宋"/>
          <w:sz w:val="28"/>
          <w:szCs w:val="28"/>
        </w:rPr>
      </w:pPr>
      <w:r>
        <w:rPr>
          <w:rFonts w:hint="eastAsia" w:ascii="仿宋" w:hAnsi="仿宋"/>
          <w:sz w:val="28"/>
          <w:szCs w:val="28"/>
        </w:rPr>
        <w:t>3.涉及世纪金光资产负债基本情况、价值评估、内部经营管理情况等信息；</w:t>
      </w:r>
    </w:p>
    <w:p w14:paraId="53D76BA7">
      <w:pPr>
        <w:pStyle w:val="12"/>
        <w:snapToGrid w:val="0"/>
        <w:spacing w:line="560" w:lineRule="exact"/>
        <w:ind w:firstLine="560"/>
        <w:rPr>
          <w:rFonts w:hint="eastAsia" w:ascii="仿宋" w:hAnsi="仿宋"/>
          <w:sz w:val="28"/>
          <w:szCs w:val="28"/>
        </w:rPr>
      </w:pPr>
      <w:r>
        <w:rPr>
          <w:rFonts w:hint="eastAsia" w:ascii="仿宋" w:hAnsi="仿宋"/>
          <w:sz w:val="28"/>
          <w:szCs w:val="28"/>
        </w:rPr>
        <w:t>4.由贵方或披露义务人制作的、与世纪金光破产清算及重整相关的任何原始材料、记录、文件、报告、分析、编辑研究、法律意见以及其他材料或文件；</w:t>
      </w:r>
    </w:p>
    <w:p w14:paraId="0A49D6F7">
      <w:pPr>
        <w:pStyle w:val="12"/>
        <w:snapToGrid w:val="0"/>
        <w:spacing w:line="560" w:lineRule="exact"/>
        <w:ind w:firstLine="560"/>
        <w:rPr>
          <w:rFonts w:hint="eastAsia" w:ascii="仿宋" w:hAnsi="仿宋"/>
          <w:sz w:val="28"/>
          <w:szCs w:val="28"/>
        </w:rPr>
      </w:pPr>
      <w:r>
        <w:rPr>
          <w:rFonts w:hint="eastAsia" w:ascii="仿宋" w:hAnsi="仿宋"/>
          <w:sz w:val="28"/>
          <w:szCs w:val="28"/>
        </w:rPr>
        <w:t>5.世纪金光专有的任何带有“秘密”“机密”“绝密”字样的文件（如有），以及涉及世纪金光破产清算及重整事项的各项内部规章制度；</w:t>
      </w:r>
    </w:p>
    <w:p w14:paraId="4DC8676B">
      <w:pPr>
        <w:pStyle w:val="12"/>
        <w:snapToGrid w:val="0"/>
        <w:spacing w:line="560" w:lineRule="exact"/>
        <w:ind w:firstLine="560"/>
        <w:rPr>
          <w:rFonts w:hint="eastAsia" w:ascii="仿宋" w:hAnsi="仿宋"/>
          <w:sz w:val="28"/>
          <w:szCs w:val="28"/>
        </w:rPr>
      </w:pPr>
      <w:r>
        <w:rPr>
          <w:rFonts w:hint="eastAsia" w:ascii="仿宋" w:hAnsi="仿宋"/>
          <w:sz w:val="28"/>
          <w:szCs w:val="28"/>
        </w:rPr>
        <w:t>6.贵方或披露义务人与我方或我方代表为进行世纪金光破产清算及重整工作而达成的任何合同、协议、约定或在进行破产清算及重整工作过程中产生的任何会议纪要、会谈记录等；</w:t>
      </w:r>
    </w:p>
    <w:p w14:paraId="1C345BB9">
      <w:pPr>
        <w:pStyle w:val="12"/>
        <w:snapToGrid w:val="0"/>
        <w:spacing w:line="560" w:lineRule="exact"/>
        <w:ind w:firstLine="560"/>
        <w:rPr>
          <w:rFonts w:hint="eastAsia" w:ascii="仿宋" w:hAnsi="仿宋"/>
          <w:sz w:val="28"/>
          <w:szCs w:val="28"/>
        </w:rPr>
      </w:pPr>
      <w:r>
        <w:rPr>
          <w:rFonts w:hint="eastAsia" w:ascii="仿宋" w:hAnsi="仿宋"/>
          <w:sz w:val="28"/>
          <w:szCs w:val="28"/>
        </w:rPr>
        <w:t>7.我方或我方委派人员制作的包含或有关上述资料的书面备忘录、笔记、分析、报告、汇编和研究资料等；</w:t>
      </w:r>
    </w:p>
    <w:p w14:paraId="1FAF989B">
      <w:pPr>
        <w:pStyle w:val="12"/>
        <w:snapToGrid w:val="0"/>
        <w:spacing w:line="560" w:lineRule="exact"/>
        <w:ind w:firstLine="560"/>
        <w:rPr>
          <w:rFonts w:hint="eastAsia" w:ascii="仿宋" w:hAnsi="仿宋"/>
          <w:sz w:val="28"/>
          <w:szCs w:val="28"/>
        </w:rPr>
      </w:pPr>
      <w:r>
        <w:rPr>
          <w:rFonts w:hint="eastAsia" w:ascii="仿宋" w:hAnsi="仿宋"/>
          <w:sz w:val="28"/>
          <w:szCs w:val="28"/>
        </w:rPr>
        <w:t>8.上述资料的全部复制件或录音资料等；</w:t>
      </w:r>
    </w:p>
    <w:p w14:paraId="2E7E4854">
      <w:pPr>
        <w:pStyle w:val="12"/>
        <w:snapToGrid w:val="0"/>
        <w:spacing w:line="560" w:lineRule="exact"/>
        <w:ind w:firstLine="560"/>
        <w:rPr>
          <w:rFonts w:hint="eastAsia" w:ascii="仿宋" w:hAnsi="仿宋"/>
          <w:sz w:val="28"/>
          <w:szCs w:val="28"/>
        </w:rPr>
      </w:pPr>
      <w:r>
        <w:rPr>
          <w:rFonts w:hint="eastAsia" w:ascii="仿宋" w:hAnsi="仿宋"/>
          <w:sz w:val="28"/>
          <w:szCs w:val="28"/>
        </w:rPr>
        <w:t>9.贵方或披露义务人向我方提供的不被公众所知的其他文件资料和信息；</w:t>
      </w:r>
    </w:p>
    <w:p w14:paraId="3DA98613">
      <w:pPr>
        <w:pStyle w:val="12"/>
        <w:snapToGrid w:val="0"/>
        <w:spacing w:line="560" w:lineRule="exact"/>
        <w:ind w:firstLine="560"/>
        <w:rPr>
          <w:rFonts w:hint="eastAsia" w:ascii="仿宋" w:hAnsi="仿宋"/>
          <w:sz w:val="28"/>
          <w:szCs w:val="28"/>
        </w:rPr>
      </w:pPr>
      <w:r>
        <w:rPr>
          <w:rFonts w:hint="eastAsia" w:ascii="仿宋" w:hAnsi="仿宋"/>
          <w:sz w:val="28"/>
          <w:szCs w:val="28"/>
        </w:rPr>
        <w:t>10.上述保密信息无论以何种形式存在（包括但不限于数据、图表、胶片、光盘、文件、计算机媒介和网络），也无论是否以口头、文件、演示或其他形式提供，也无论是否记载或标注为保密信息，均不影响其在本承诺函项下的保密性质。</w:t>
      </w:r>
    </w:p>
    <w:p w14:paraId="2B894C4A">
      <w:pPr>
        <w:pStyle w:val="12"/>
        <w:snapToGrid w:val="0"/>
        <w:spacing w:line="560" w:lineRule="exact"/>
        <w:ind w:firstLine="562"/>
        <w:rPr>
          <w:rFonts w:hint="eastAsia" w:ascii="仿宋" w:hAnsi="仿宋"/>
          <w:sz w:val="28"/>
          <w:szCs w:val="28"/>
        </w:rPr>
      </w:pPr>
      <w:r>
        <w:rPr>
          <w:rFonts w:hint="eastAsia" w:ascii="仿宋" w:hAnsi="仿宋"/>
          <w:b/>
          <w:bCs/>
          <w:sz w:val="28"/>
          <w:szCs w:val="28"/>
        </w:rPr>
        <w:t>第二条保密义务的期限</w:t>
      </w:r>
      <w:r>
        <w:rPr>
          <w:rFonts w:hint="eastAsia" w:ascii="仿宋" w:hAnsi="仿宋"/>
          <w:sz w:val="28"/>
          <w:szCs w:val="28"/>
        </w:rPr>
        <w:t xml:space="preserve"> </w:t>
      </w:r>
    </w:p>
    <w:p w14:paraId="4D406E00">
      <w:pPr>
        <w:snapToGrid w:val="0"/>
        <w:spacing w:line="560" w:lineRule="exact"/>
        <w:ind w:firstLine="560" w:firstLineChars="200"/>
        <w:rPr>
          <w:rFonts w:hint="eastAsia" w:ascii="仿宋" w:hAnsi="仿宋"/>
          <w:sz w:val="28"/>
          <w:szCs w:val="28"/>
        </w:rPr>
      </w:pPr>
      <w:r>
        <w:rPr>
          <w:rFonts w:hint="eastAsia" w:ascii="仿宋" w:hAnsi="仿宋"/>
          <w:sz w:val="28"/>
          <w:szCs w:val="28"/>
        </w:rPr>
        <w:t xml:space="preserve">自我方获取世纪金光重整保密信息之日起至任何保密信息进入公共领域成为公知信息之日止，不受期限限制。 </w:t>
      </w:r>
    </w:p>
    <w:p w14:paraId="3BC8DBE7">
      <w:pPr>
        <w:snapToGrid w:val="0"/>
        <w:spacing w:line="560" w:lineRule="exact"/>
        <w:ind w:firstLine="562" w:firstLineChars="200"/>
        <w:rPr>
          <w:rFonts w:hint="eastAsia" w:ascii="仿宋" w:hAnsi="仿宋"/>
          <w:sz w:val="28"/>
          <w:szCs w:val="28"/>
        </w:rPr>
      </w:pPr>
      <w:r>
        <w:rPr>
          <w:rFonts w:hint="eastAsia" w:ascii="仿宋" w:hAnsi="仿宋"/>
          <w:b/>
          <w:bCs/>
          <w:sz w:val="28"/>
          <w:szCs w:val="28"/>
        </w:rPr>
        <w:t>第三条  保密义务</w:t>
      </w:r>
      <w:r>
        <w:rPr>
          <w:rFonts w:hint="eastAsia" w:ascii="仿宋" w:hAnsi="仿宋"/>
          <w:sz w:val="28"/>
          <w:szCs w:val="28"/>
        </w:rPr>
        <w:t xml:space="preserve"> </w:t>
      </w:r>
    </w:p>
    <w:p w14:paraId="23A907F5">
      <w:pPr>
        <w:pStyle w:val="12"/>
        <w:snapToGrid w:val="0"/>
        <w:spacing w:line="560" w:lineRule="exact"/>
        <w:ind w:firstLine="560"/>
        <w:rPr>
          <w:rFonts w:hint="eastAsia" w:ascii="仿宋" w:hAnsi="仿宋"/>
          <w:sz w:val="28"/>
          <w:szCs w:val="28"/>
        </w:rPr>
      </w:pPr>
      <w:r>
        <w:rPr>
          <w:rFonts w:hint="eastAsia" w:ascii="仿宋" w:hAnsi="仿宋"/>
          <w:sz w:val="28"/>
          <w:szCs w:val="28"/>
        </w:rPr>
        <w:t xml:space="preserve">1.我方采取对上述资料保密的措施，保证知悉保密信息的人员，仅限于我方为了评估及/或参与世纪金光破产清算及重整程序必须知道保密信息的代表。 </w:t>
      </w:r>
    </w:p>
    <w:p w14:paraId="26A31015">
      <w:pPr>
        <w:pStyle w:val="12"/>
        <w:snapToGrid w:val="0"/>
        <w:spacing w:line="560" w:lineRule="exact"/>
        <w:ind w:firstLine="560"/>
        <w:rPr>
          <w:rFonts w:hint="eastAsia" w:ascii="仿宋" w:hAnsi="仿宋"/>
          <w:sz w:val="28"/>
          <w:szCs w:val="28"/>
        </w:rPr>
      </w:pPr>
      <w:r>
        <w:rPr>
          <w:rFonts w:hint="eastAsia" w:ascii="仿宋" w:hAnsi="仿宋"/>
          <w:sz w:val="28"/>
          <w:szCs w:val="28"/>
        </w:rPr>
        <w:t xml:space="preserve">2.我方同意对所有保密信息保密，除非贵方同意，不会将任何信息以任何形式披露给除本条第1款之外的其他任何人。未经贵方的事先书面同意，我方不以任何方式将保密信息向任何第三人披露、传播或复制。 </w:t>
      </w:r>
    </w:p>
    <w:p w14:paraId="58ACB372">
      <w:pPr>
        <w:pStyle w:val="12"/>
        <w:snapToGrid w:val="0"/>
        <w:spacing w:line="560" w:lineRule="exact"/>
        <w:ind w:firstLine="560"/>
        <w:rPr>
          <w:rFonts w:hint="eastAsia" w:ascii="仿宋" w:hAnsi="仿宋"/>
          <w:sz w:val="28"/>
          <w:szCs w:val="28"/>
        </w:rPr>
      </w:pPr>
      <w:r>
        <w:rPr>
          <w:rFonts w:hint="eastAsia" w:ascii="仿宋" w:hAnsi="仿宋"/>
          <w:sz w:val="28"/>
          <w:szCs w:val="28"/>
        </w:rPr>
        <w:t>3.我方将严格遵守相关法律法规，切实履行内幕信息知情人的保密义务，在保密信息依法披露前不公开或者泄露该信息，不利用上述信息进行内幕交易。</w:t>
      </w:r>
    </w:p>
    <w:p w14:paraId="746CF0A1">
      <w:pPr>
        <w:pStyle w:val="12"/>
        <w:snapToGrid w:val="0"/>
        <w:spacing w:line="560" w:lineRule="exact"/>
        <w:ind w:firstLine="560"/>
        <w:rPr>
          <w:rFonts w:hint="eastAsia" w:ascii="仿宋" w:hAnsi="仿宋"/>
          <w:sz w:val="28"/>
          <w:szCs w:val="28"/>
        </w:rPr>
      </w:pPr>
      <w:r>
        <w:rPr>
          <w:rFonts w:hint="eastAsia" w:ascii="仿宋" w:hAnsi="仿宋"/>
          <w:sz w:val="28"/>
          <w:szCs w:val="28"/>
        </w:rPr>
        <w:t xml:space="preserve">4.我方以参与世纪金光破产清算及重整程序目的进行尽职调查，获取、使用世纪金光相关资料，不以其他目的获取、使用资料。 </w:t>
      </w:r>
    </w:p>
    <w:p w14:paraId="125856FD">
      <w:pPr>
        <w:pStyle w:val="12"/>
        <w:snapToGrid w:val="0"/>
        <w:spacing w:line="560" w:lineRule="exact"/>
        <w:ind w:firstLine="560"/>
        <w:rPr>
          <w:rFonts w:hint="eastAsia" w:ascii="仿宋" w:hAnsi="仿宋"/>
          <w:sz w:val="28"/>
          <w:szCs w:val="28"/>
        </w:rPr>
      </w:pPr>
      <w:r>
        <w:rPr>
          <w:rFonts w:hint="eastAsia" w:ascii="仿宋" w:hAnsi="仿宋"/>
          <w:sz w:val="28"/>
          <w:szCs w:val="28"/>
        </w:rPr>
        <w:t xml:space="preserve">5.若我方未履行本保密函保密义务，给贵方或世纪金光造成损失的，我方应赔偿损失。损失范围包括直接损失和间接损失，以及因此支出的律师费、仲裁费、诉讼费等。 </w:t>
      </w:r>
    </w:p>
    <w:p w14:paraId="620DDD2F">
      <w:pPr>
        <w:snapToGrid w:val="0"/>
        <w:spacing w:line="560" w:lineRule="exact"/>
        <w:ind w:firstLine="560" w:firstLineChars="200"/>
        <w:rPr>
          <w:rFonts w:hint="eastAsia" w:ascii="仿宋" w:hAnsi="仿宋"/>
          <w:sz w:val="28"/>
          <w:szCs w:val="28"/>
        </w:rPr>
      </w:pPr>
      <w:r>
        <w:rPr>
          <w:rFonts w:hint="eastAsia" w:ascii="仿宋" w:hAnsi="仿宋"/>
          <w:sz w:val="28"/>
          <w:szCs w:val="28"/>
        </w:rPr>
        <w:t xml:space="preserve">此致   </w:t>
      </w:r>
    </w:p>
    <w:p w14:paraId="48EB3388">
      <w:pPr>
        <w:spacing w:line="560" w:lineRule="exact"/>
        <w:jc w:val="center"/>
        <w:rPr>
          <w:rFonts w:hint="eastAsia" w:ascii="仿宋" w:hAnsi="仿宋"/>
          <w:sz w:val="28"/>
          <w:szCs w:val="28"/>
        </w:rPr>
      </w:pPr>
      <w:r>
        <w:rPr>
          <w:rFonts w:hint="eastAsia" w:ascii="仿宋" w:hAnsi="仿宋"/>
          <w:sz w:val="28"/>
          <w:szCs w:val="28"/>
        </w:rPr>
        <w:t xml:space="preserve">      </w:t>
      </w:r>
    </w:p>
    <w:p w14:paraId="0224D1FC">
      <w:pPr>
        <w:spacing w:line="560" w:lineRule="exact"/>
        <w:jc w:val="center"/>
        <w:rPr>
          <w:rFonts w:hint="eastAsia" w:ascii="仿宋" w:hAnsi="仿宋"/>
          <w:sz w:val="28"/>
          <w:szCs w:val="28"/>
        </w:rPr>
      </w:pPr>
    </w:p>
    <w:p w14:paraId="59986166">
      <w:pPr>
        <w:spacing w:line="560" w:lineRule="exact"/>
        <w:jc w:val="center"/>
        <w:rPr>
          <w:rFonts w:hint="eastAsia" w:ascii="仿宋" w:hAnsi="仿宋"/>
          <w:sz w:val="28"/>
          <w:szCs w:val="28"/>
        </w:rPr>
      </w:pPr>
    </w:p>
    <w:p w14:paraId="45DD7061">
      <w:pPr>
        <w:spacing w:line="560" w:lineRule="exact"/>
        <w:jc w:val="center"/>
        <w:rPr>
          <w:rFonts w:hint="eastAsia" w:ascii="仿宋" w:hAnsi="仿宋"/>
          <w:sz w:val="28"/>
          <w:szCs w:val="28"/>
        </w:rPr>
      </w:pPr>
      <w:r>
        <w:rPr>
          <w:rFonts w:hint="eastAsia" w:ascii="仿宋" w:hAnsi="仿宋"/>
          <w:sz w:val="28"/>
          <w:szCs w:val="28"/>
        </w:rPr>
        <w:t xml:space="preserve">     意向投资人（盖章）：</w:t>
      </w:r>
    </w:p>
    <w:p w14:paraId="5B2D206A">
      <w:pPr>
        <w:spacing w:line="560" w:lineRule="exact"/>
        <w:jc w:val="center"/>
        <w:rPr>
          <w:rFonts w:hint="eastAsia" w:ascii="仿宋" w:hAnsi="仿宋"/>
          <w:sz w:val="28"/>
          <w:szCs w:val="28"/>
        </w:rPr>
      </w:pPr>
    </w:p>
    <w:p w14:paraId="6D4160EA">
      <w:pPr>
        <w:wordWrap w:val="0"/>
        <w:spacing w:line="560" w:lineRule="exact"/>
        <w:jc w:val="right"/>
        <w:rPr>
          <w:rFonts w:hint="eastAsia" w:ascii="仿宋" w:hAnsi="仿宋"/>
          <w:sz w:val="28"/>
          <w:szCs w:val="28"/>
          <w:u w:val="single"/>
        </w:rPr>
      </w:pPr>
      <w:r>
        <w:rPr>
          <w:rFonts w:hint="eastAsia" w:ascii="仿宋" w:hAnsi="仿宋"/>
          <w:sz w:val="28"/>
          <w:szCs w:val="28"/>
        </w:rPr>
        <w:t xml:space="preserve"> 法定代表人（负责人）/授权代表签字：</w:t>
      </w:r>
      <w:r>
        <w:rPr>
          <w:rFonts w:hint="eastAsia" w:ascii="仿宋" w:hAnsi="仿宋"/>
          <w:sz w:val="28"/>
          <w:szCs w:val="28"/>
          <w:u w:val="single"/>
        </w:rPr>
        <w:t xml:space="preserve">          </w:t>
      </w:r>
    </w:p>
    <w:p w14:paraId="002FEC1F">
      <w:pPr>
        <w:wordWrap w:val="0"/>
        <w:spacing w:line="560" w:lineRule="exact"/>
        <w:jc w:val="right"/>
        <w:rPr>
          <w:rFonts w:hint="eastAsia" w:ascii="仿宋" w:hAnsi="仿宋"/>
          <w:sz w:val="28"/>
          <w:szCs w:val="28"/>
          <w:u w:val="single"/>
        </w:rPr>
      </w:pPr>
      <w:r>
        <w:rPr>
          <w:rFonts w:hint="eastAsia" w:ascii="仿宋" w:hAnsi="仿宋"/>
          <w:sz w:val="28"/>
          <w:szCs w:val="28"/>
        </w:rPr>
        <w:t xml:space="preserve"> 日期：</w:t>
      </w:r>
      <w:r>
        <w:rPr>
          <w:rFonts w:hint="eastAsia" w:ascii="仿宋" w:hAnsi="仿宋"/>
          <w:sz w:val="28"/>
          <w:szCs w:val="28"/>
          <w:u w:val="single"/>
        </w:rPr>
        <w:t xml:space="preserve">          </w:t>
      </w:r>
    </w:p>
    <w:p w14:paraId="4981FF28">
      <w:pPr>
        <w:spacing w:line="560" w:lineRule="exact"/>
        <w:jc w:val="right"/>
        <w:rPr>
          <w:rFonts w:hint="eastAsia" w:ascii="仿宋" w:hAnsi="仿宋"/>
          <w:sz w:val="28"/>
          <w:szCs w:val="28"/>
          <w:u w:val="single"/>
        </w:rPr>
      </w:pPr>
    </w:p>
    <w:p w14:paraId="1B268D95">
      <w:pPr>
        <w:spacing w:line="560" w:lineRule="exact"/>
        <w:rPr>
          <w:rFonts w:hint="eastAsia" w:ascii="仿宋" w:hAnsi="仿宋"/>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85E993">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107F1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D107F1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CD3F58"/>
    <w:rsid w:val="00092509"/>
    <w:rsid w:val="002313F4"/>
    <w:rsid w:val="0028648D"/>
    <w:rsid w:val="00397A6A"/>
    <w:rsid w:val="005319D6"/>
    <w:rsid w:val="00885B23"/>
    <w:rsid w:val="008F23B7"/>
    <w:rsid w:val="00941A98"/>
    <w:rsid w:val="00BA72B0"/>
    <w:rsid w:val="00CD3F58"/>
    <w:rsid w:val="00EF2649"/>
    <w:rsid w:val="012B2B5D"/>
    <w:rsid w:val="014D4997"/>
    <w:rsid w:val="01C25065"/>
    <w:rsid w:val="02251150"/>
    <w:rsid w:val="023A7A39"/>
    <w:rsid w:val="02BD0AD8"/>
    <w:rsid w:val="02C0622E"/>
    <w:rsid w:val="03191118"/>
    <w:rsid w:val="031A4A2D"/>
    <w:rsid w:val="037C0825"/>
    <w:rsid w:val="03AD764F"/>
    <w:rsid w:val="046B3792"/>
    <w:rsid w:val="052A53FB"/>
    <w:rsid w:val="057123DC"/>
    <w:rsid w:val="059A4725"/>
    <w:rsid w:val="05E530D0"/>
    <w:rsid w:val="06473D8B"/>
    <w:rsid w:val="068540FB"/>
    <w:rsid w:val="06D82C35"/>
    <w:rsid w:val="07251F7D"/>
    <w:rsid w:val="07BE007D"/>
    <w:rsid w:val="07C03DF5"/>
    <w:rsid w:val="07F25F78"/>
    <w:rsid w:val="085E04B3"/>
    <w:rsid w:val="099A0675"/>
    <w:rsid w:val="09A14A08"/>
    <w:rsid w:val="09C86F91"/>
    <w:rsid w:val="0AB85257"/>
    <w:rsid w:val="0B4D3BF1"/>
    <w:rsid w:val="0B8D2240"/>
    <w:rsid w:val="0BB73477"/>
    <w:rsid w:val="0BF7590B"/>
    <w:rsid w:val="0C4C20FB"/>
    <w:rsid w:val="0CC46135"/>
    <w:rsid w:val="0CE75980"/>
    <w:rsid w:val="0CEA5F50"/>
    <w:rsid w:val="0D463A32"/>
    <w:rsid w:val="0DA6583B"/>
    <w:rsid w:val="0DD028B8"/>
    <w:rsid w:val="0DF447F8"/>
    <w:rsid w:val="0DF540CC"/>
    <w:rsid w:val="0EDE1004"/>
    <w:rsid w:val="0F234C69"/>
    <w:rsid w:val="0FA364D6"/>
    <w:rsid w:val="0FD04DF1"/>
    <w:rsid w:val="10093E5F"/>
    <w:rsid w:val="106D2640"/>
    <w:rsid w:val="11731ED8"/>
    <w:rsid w:val="117A0B97"/>
    <w:rsid w:val="119274F2"/>
    <w:rsid w:val="11DA6369"/>
    <w:rsid w:val="123B6858"/>
    <w:rsid w:val="123E24E6"/>
    <w:rsid w:val="12DB4F5A"/>
    <w:rsid w:val="13313DF9"/>
    <w:rsid w:val="13345E52"/>
    <w:rsid w:val="135172E5"/>
    <w:rsid w:val="13520228"/>
    <w:rsid w:val="13B13559"/>
    <w:rsid w:val="13C16B12"/>
    <w:rsid w:val="13C407C9"/>
    <w:rsid w:val="13D11138"/>
    <w:rsid w:val="144B2489"/>
    <w:rsid w:val="15B34F99"/>
    <w:rsid w:val="162639BD"/>
    <w:rsid w:val="168C1346"/>
    <w:rsid w:val="16C60CFC"/>
    <w:rsid w:val="176C173F"/>
    <w:rsid w:val="17C6385E"/>
    <w:rsid w:val="181979C4"/>
    <w:rsid w:val="18562BE0"/>
    <w:rsid w:val="18787ADF"/>
    <w:rsid w:val="189C0F42"/>
    <w:rsid w:val="19434561"/>
    <w:rsid w:val="19E64A97"/>
    <w:rsid w:val="19FD61E8"/>
    <w:rsid w:val="1A18361C"/>
    <w:rsid w:val="1AF04599"/>
    <w:rsid w:val="1B972C67"/>
    <w:rsid w:val="1C6B037B"/>
    <w:rsid w:val="1CD53A47"/>
    <w:rsid w:val="1CF0180F"/>
    <w:rsid w:val="1D385D84"/>
    <w:rsid w:val="1D7A639C"/>
    <w:rsid w:val="1D8D4321"/>
    <w:rsid w:val="1D9751A0"/>
    <w:rsid w:val="1DAB150C"/>
    <w:rsid w:val="1E053128"/>
    <w:rsid w:val="1E2B385A"/>
    <w:rsid w:val="1E34479D"/>
    <w:rsid w:val="1E872A4D"/>
    <w:rsid w:val="1EDB2E6A"/>
    <w:rsid w:val="1EE71D4D"/>
    <w:rsid w:val="1F664E2A"/>
    <w:rsid w:val="1FAE59D5"/>
    <w:rsid w:val="1FBA6F24"/>
    <w:rsid w:val="1FC84609"/>
    <w:rsid w:val="1FF02946"/>
    <w:rsid w:val="202820DF"/>
    <w:rsid w:val="20735A50"/>
    <w:rsid w:val="21787096"/>
    <w:rsid w:val="23183B09"/>
    <w:rsid w:val="232A0BCD"/>
    <w:rsid w:val="236F114E"/>
    <w:rsid w:val="239D4B92"/>
    <w:rsid w:val="23E138B2"/>
    <w:rsid w:val="24724271"/>
    <w:rsid w:val="24FD1D8D"/>
    <w:rsid w:val="250C558A"/>
    <w:rsid w:val="25553977"/>
    <w:rsid w:val="256E2FC7"/>
    <w:rsid w:val="25755DC7"/>
    <w:rsid w:val="2584425C"/>
    <w:rsid w:val="26553787"/>
    <w:rsid w:val="26B20955"/>
    <w:rsid w:val="26E256DE"/>
    <w:rsid w:val="272F01F7"/>
    <w:rsid w:val="27744462"/>
    <w:rsid w:val="277F4C03"/>
    <w:rsid w:val="27934C2A"/>
    <w:rsid w:val="27A26C1B"/>
    <w:rsid w:val="27CF10B1"/>
    <w:rsid w:val="281C7EDB"/>
    <w:rsid w:val="28904CC6"/>
    <w:rsid w:val="2967011C"/>
    <w:rsid w:val="299A404E"/>
    <w:rsid w:val="29C015DB"/>
    <w:rsid w:val="29E27804"/>
    <w:rsid w:val="2A622692"/>
    <w:rsid w:val="2A953EC7"/>
    <w:rsid w:val="2AA1765E"/>
    <w:rsid w:val="2AAD1B5F"/>
    <w:rsid w:val="2ADC41F2"/>
    <w:rsid w:val="2B25186C"/>
    <w:rsid w:val="2B3C4A3A"/>
    <w:rsid w:val="2B403822"/>
    <w:rsid w:val="2C576226"/>
    <w:rsid w:val="2C9B053D"/>
    <w:rsid w:val="2CAC4287"/>
    <w:rsid w:val="2CF25F4F"/>
    <w:rsid w:val="2CF577ED"/>
    <w:rsid w:val="2D8A43D9"/>
    <w:rsid w:val="2DDA6B70"/>
    <w:rsid w:val="2DEC5759"/>
    <w:rsid w:val="2DF06932"/>
    <w:rsid w:val="2DF10C13"/>
    <w:rsid w:val="2E734E6D"/>
    <w:rsid w:val="2F484E5B"/>
    <w:rsid w:val="2F4862FA"/>
    <w:rsid w:val="2F5D6621"/>
    <w:rsid w:val="2FA774C5"/>
    <w:rsid w:val="2FB971F8"/>
    <w:rsid w:val="2FC811E9"/>
    <w:rsid w:val="2FDE6C5E"/>
    <w:rsid w:val="306D5DBE"/>
    <w:rsid w:val="30D269D3"/>
    <w:rsid w:val="3110566A"/>
    <w:rsid w:val="31701B38"/>
    <w:rsid w:val="31E00A6C"/>
    <w:rsid w:val="31E16592"/>
    <w:rsid w:val="326351F9"/>
    <w:rsid w:val="32BC2FDE"/>
    <w:rsid w:val="32CE2FBA"/>
    <w:rsid w:val="32EC3440"/>
    <w:rsid w:val="33EB36F8"/>
    <w:rsid w:val="3426317B"/>
    <w:rsid w:val="34562B28"/>
    <w:rsid w:val="346871AD"/>
    <w:rsid w:val="34713D3E"/>
    <w:rsid w:val="347E456C"/>
    <w:rsid w:val="34C51A78"/>
    <w:rsid w:val="34E75451"/>
    <w:rsid w:val="34FA62E8"/>
    <w:rsid w:val="34FB7C51"/>
    <w:rsid w:val="356C2617"/>
    <w:rsid w:val="357716E7"/>
    <w:rsid w:val="35BC534C"/>
    <w:rsid w:val="35FC7E3E"/>
    <w:rsid w:val="361433DA"/>
    <w:rsid w:val="368C11C2"/>
    <w:rsid w:val="36D46030"/>
    <w:rsid w:val="36F867A5"/>
    <w:rsid w:val="36FB1EA4"/>
    <w:rsid w:val="37023A8C"/>
    <w:rsid w:val="37740855"/>
    <w:rsid w:val="37794C71"/>
    <w:rsid w:val="37893C91"/>
    <w:rsid w:val="378E32F1"/>
    <w:rsid w:val="37FC4126"/>
    <w:rsid w:val="394925BC"/>
    <w:rsid w:val="39697599"/>
    <w:rsid w:val="396C3C86"/>
    <w:rsid w:val="3991089E"/>
    <w:rsid w:val="39977886"/>
    <w:rsid w:val="39D36974"/>
    <w:rsid w:val="39F13820"/>
    <w:rsid w:val="3A0D261A"/>
    <w:rsid w:val="3A173499"/>
    <w:rsid w:val="3A231E3E"/>
    <w:rsid w:val="3A35391F"/>
    <w:rsid w:val="3A6366DE"/>
    <w:rsid w:val="3A81085B"/>
    <w:rsid w:val="3A9628EA"/>
    <w:rsid w:val="3AB81FBF"/>
    <w:rsid w:val="3AC14DF1"/>
    <w:rsid w:val="3AC60CE0"/>
    <w:rsid w:val="3B302890"/>
    <w:rsid w:val="3BB27AA7"/>
    <w:rsid w:val="3BC10BB8"/>
    <w:rsid w:val="3C9708C1"/>
    <w:rsid w:val="3D1E3033"/>
    <w:rsid w:val="3D474095"/>
    <w:rsid w:val="3DFC2270"/>
    <w:rsid w:val="3E616CC7"/>
    <w:rsid w:val="3F4C7741"/>
    <w:rsid w:val="3F5672FF"/>
    <w:rsid w:val="3F777D79"/>
    <w:rsid w:val="3FA330D9"/>
    <w:rsid w:val="3FE67B95"/>
    <w:rsid w:val="400B75FC"/>
    <w:rsid w:val="403D59EE"/>
    <w:rsid w:val="407904EE"/>
    <w:rsid w:val="407C4056"/>
    <w:rsid w:val="40CF4978"/>
    <w:rsid w:val="416845DA"/>
    <w:rsid w:val="418121C3"/>
    <w:rsid w:val="418D0295"/>
    <w:rsid w:val="41967399"/>
    <w:rsid w:val="41970A1B"/>
    <w:rsid w:val="41B17D2F"/>
    <w:rsid w:val="41EC6FB9"/>
    <w:rsid w:val="41FD2112"/>
    <w:rsid w:val="42181B5C"/>
    <w:rsid w:val="42562684"/>
    <w:rsid w:val="42886A32"/>
    <w:rsid w:val="42FB3958"/>
    <w:rsid w:val="42FC322C"/>
    <w:rsid w:val="43601A0D"/>
    <w:rsid w:val="43EC7D40"/>
    <w:rsid w:val="44156B63"/>
    <w:rsid w:val="4427252A"/>
    <w:rsid w:val="44F763A1"/>
    <w:rsid w:val="452F66F3"/>
    <w:rsid w:val="45C30031"/>
    <w:rsid w:val="461940F5"/>
    <w:rsid w:val="463F0128"/>
    <w:rsid w:val="4689127A"/>
    <w:rsid w:val="478C02B5"/>
    <w:rsid w:val="47AE494B"/>
    <w:rsid w:val="485049B4"/>
    <w:rsid w:val="485338EE"/>
    <w:rsid w:val="486147E8"/>
    <w:rsid w:val="489A776F"/>
    <w:rsid w:val="48A02D6A"/>
    <w:rsid w:val="48AE321A"/>
    <w:rsid w:val="49025314"/>
    <w:rsid w:val="496C3923"/>
    <w:rsid w:val="49D767A1"/>
    <w:rsid w:val="49F42EAF"/>
    <w:rsid w:val="4A7F2170"/>
    <w:rsid w:val="4B0C61BC"/>
    <w:rsid w:val="4BFF5B3B"/>
    <w:rsid w:val="4C7E73A7"/>
    <w:rsid w:val="4CF51226"/>
    <w:rsid w:val="4D123792"/>
    <w:rsid w:val="4D4759EB"/>
    <w:rsid w:val="4E1B3100"/>
    <w:rsid w:val="4F6E14D1"/>
    <w:rsid w:val="506F7957"/>
    <w:rsid w:val="508B5BEF"/>
    <w:rsid w:val="511D2CEB"/>
    <w:rsid w:val="51B573D8"/>
    <w:rsid w:val="522400A9"/>
    <w:rsid w:val="528B0128"/>
    <w:rsid w:val="534704F3"/>
    <w:rsid w:val="536F625B"/>
    <w:rsid w:val="53AE2320"/>
    <w:rsid w:val="53F341D7"/>
    <w:rsid w:val="54175631"/>
    <w:rsid w:val="541C1980"/>
    <w:rsid w:val="54315761"/>
    <w:rsid w:val="54590627"/>
    <w:rsid w:val="545E318A"/>
    <w:rsid w:val="548F2152"/>
    <w:rsid w:val="549A237A"/>
    <w:rsid w:val="54F10CEB"/>
    <w:rsid w:val="553920BD"/>
    <w:rsid w:val="554525D7"/>
    <w:rsid w:val="55E93AE3"/>
    <w:rsid w:val="56402F49"/>
    <w:rsid w:val="56505750"/>
    <w:rsid w:val="56BC2FA6"/>
    <w:rsid w:val="56F83D0C"/>
    <w:rsid w:val="573945F7"/>
    <w:rsid w:val="57E86B8D"/>
    <w:rsid w:val="58463123"/>
    <w:rsid w:val="58953AAF"/>
    <w:rsid w:val="590260F8"/>
    <w:rsid w:val="59266968"/>
    <w:rsid w:val="593B28A8"/>
    <w:rsid w:val="5A1338B2"/>
    <w:rsid w:val="5A315A59"/>
    <w:rsid w:val="5BA109BC"/>
    <w:rsid w:val="5BC8419B"/>
    <w:rsid w:val="5C116077"/>
    <w:rsid w:val="5C4A2E02"/>
    <w:rsid w:val="5D647EF4"/>
    <w:rsid w:val="5D9600A9"/>
    <w:rsid w:val="5E005E6E"/>
    <w:rsid w:val="5E785D2C"/>
    <w:rsid w:val="5EA56F52"/>
    <w:rsid w:val="5EE13D8B"/>
    <w:rsid w:val="5EEC5713"/>
    <w:rsid w:val="5EF62DCD"/>
    <w:rsid w:val="5FD7038B"/>
    <w:rsid w:val="602A5424"/>
    <w:rsid w:val="602D2CDA"/>
    <w:rsid w:val="604A60AF"/>
    <w:rsid w:val="606F1138"/>
    <w:rsid w:val="60A672B7"/>
    <w:rsid w:val="610A0237"/>
    <w:rsid w:val="610E7D0F"/>
    <w:rsid w:val="610F0176"/>
    <w:rsid w:val="617A7850"/>
    <w:rsid w:val="61CE3B8D"/>
    <w:rsid w:val="61E50E74"/>
    <w:rsid w:val="61E6537B"/>
    <w:rsid w:val="62312A9A"/>
    <w:rsid w:val="6299419B"/>
    <w:rsid w:val="63827325"/>
    <w:rsid w:val="63935B88"/>
    <w:rsid w:val="63E47698"/>
    <w:rsid w:val="641713F7"/>
    <w:rsid w:val="6417181C"/>
    <w:rsid w:val="641C5084"/>
    <w:rsid w:val="647D2B1A"/>
    <w:rsid w:val="64FC5B4A"/>
    <w:rsid w:val="652561BA"/>
    <w:rsid w:val="658904F7"/>
    <w:rsid w:val="65C430C7"/>
    <w:rsid w:val="65F20AFD"/>
    <w:rsid w:val="66252916"/>
    <w:rsid w:val="66800D55"/>
    <w:rsid w:val="669C24AC"/>
    <w:rsid w:val="66EF082E"/>
    <w:rsid w:val="670E33AA"/>
    <w:rsid w:val="672229B1"/>
    <w:rsid w:val="675130E9"/>
    <w:rsid w:val="67730FE6"/>
    <w:rsid w:val="681F5143"/>
    <w:rsid w:val="68BE1F8F"/>
    <w:rsid w:val="68DE6DAC"/>
    <w:rsid w:val="68EF4B15"/>
    <w:rsid w:val="6934051A"/>
    <w:rsid w:val="696D3E24"/>
    <w:rsid w:val="69832373"/>
    <w:rsid w:val="69DC0710"/>
    <w:rsid w:val="69F36887"/>
    <w:rsid w:val="6AAB7162"/>
    <w:rsid w:val="6BCA180B"/>
    <w:rsid w:val="6BEE04A9"/>
    <w:rsid w:val="6C2778B2"/>
    <w:rsid w:val="6C97174C"/>
    <w:rsid w:val="6CAB169B"/>
    <w:rsid w:val="6CC53523"/>
    <w:rsid w:val="6D001EC2"/>
    <w:rsid w:val="6D0843F7"/>
    <w:rsid w:val="6D3A4588"/>
    <w:rsid w:val="6DCA5B51"/>
    <w:rsid w:val="6E021177"/>
    <w:rsid w:val="6E2D10AB"/>
    <w:rsid w:val="6E9543B1"/>
    <w:rsid w:val="6E9D3265"/>
    <w:rsid w:val="6EA120AE"/>
    <w:rsid w:val="6EA2262A"/>
    <w:rsid w:val="6EB505AF"/>
    <w:rsid w:val="6EE3336E"/>
    <w:rsid w:val="6EFC61DE"/>
    <w:rsid w:val="6EFD5AB2"/>
    <w:rsid w:val="6FAA79E8"/>
    <w:rsid w:val="6FCF25B2"/>
    <w:rsid w:val="703674CE"/>
    <w:rsid w:val="70417249"/>
    <w:rsid w:val="70904E30"/>
    <w:rsid w:val="709366CE"/>
    <w:rsid w:val="71040C56"/>
    <w:rsid w:val="714F6A99"/>
    <w:rsid w:val="717C18F3"/>
    <w:rsid w:val="719B7F30"/>
    <w:rsid w:val="720C087B"/>
    <w:rsid w:val="7217743E"/>
    <w:rsid w:val="72467481"/>
    <w:rsid w:val="72FC4077"/>
    <w:rsid w:val="736E59F6"/>
    <w:rsid w:val="7375655F"/>
    <w:rsid w:val="73CA68AB"/>
    <w:rsid w:val="73ED413E"/>
    <w:rsid w:val="74820F33"/>
    <w:rsid w:val="74835155"/>
    <w:rsid w:val="75267B11"/>
    <w:rsid w:val="75675DB8"/>
    <w:rsid w:val="75C41B24"/>
    <w:rsid w:val="75D7705D"/>
    <w:rsid w:val="75FE0A8D"/>
    <w:rsid w:val="760836BA"/>
    <w:rsid w:val="76D167D5"/>
    <w:rsid w:val="76D65566"/>
    <w:rsid w:val="773100A7"/>
    <w:rsid w:val="777A4144"/>
    <w:rsid w:val="7782124A"/>
    <w:rsid w:val="77A45665"/>
    <w:rsid w:val="78324A1E"/>
    <w:rsid w:val="78553271"/>
    <w:rsid w:val="78AB3A9C"/>
    <w:rsid w:val="78B74F24"/>
    <w:rsid w:val="78D75945"/>
    <w:rsid w:val="79153814"/>
    <w:rsid w:val="793F04DA"/>
    <w:rsid w:val="794767E7"/>
    <w:rsid w:val="79554E68"/>
    <w:rsid w:val="79D51B05"/>
    <w:rsid w:val="7A0F54D7"/>
    <w:rsid w:val="7A5C3FD5"/>
    <w:rsid w:val="7AAF67FA"/>
    <w:rsid w:val="7B1E2019"/>
    <w:rsid w:val="7B626146"/>
    <w:rsid w:val="7BA8063D"/>
    <w:rsid w:val="7BCC18D7"/>
    <w:rsid w:val="7BD007D6"/>
    <w:rsid w:val="7BF2699E"/>
    <w:rsid w:val="7C2D5C29"/>
    <w:rsid w:val="7C2F7189"/>
    <w:rsid w:val="7C5331B5"/>
    <w:rsid w:val="7C8D4919"/>
    <w:rsid w:val="7D036989"/>
    <w:rsid w:val="7D173529"/>
    <w:rsid w:val="7D742D00"/>
    <w:rsid w:val="7E02580A"/>
    <w:rsid w:val="7E24305B"/>
    <w:rsid w:val="7E4F6BCE"/>
    <w:rsid w:val="7E8D7A0C"/>
    <w:rsid w:val="7ECD2D48"/>
    <w:rsid w:val="7F565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仿宋"/>
      <w:sz w:val="30"/>
      <w:szCs w:val="30"/>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footer"/>
    <w:basedOn w:val="1"/>
    <w:unhideWhenUsed/>
    <w:qFormat/>
    <w:uiPriority w:val="99"/>
    <w:pPr>
      <w:tabs>
        <w:tab w:val="center" w:pos="4153"/>
        <w:tab w:val="right" w:pos="8306"/>
      </w:tabs>
      <w:snapToGrid w:val="0"/>
      <w:jc w:val="left"/>
    </w:pPr>
    <w:rPr>
      <w:rFonts w:asciiTheme="minorHAnsi" w:hAnsiTheme="minorHAnsi" w:eastAsiaTheme="minorEastAsia"/>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rPr>
      <w:sz w:val="24"/>
    </w:rPr>
  </w:style>
  <w:style w:type="paragraph" w:styleId="6">
    <w:name w:val="annotation subject"/>
    <w:basedOn w:val="2"/>
    <w:next w:val="2"/>
    <w:link w:val="14"/>
    <w:qFormat/>
    <w:uiPriority w:val="0"/>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styleId="11">
    <w:name w:val="annotation reference"/>
    <w:basedOn w:val="9"/>
    <w:qFormat/>
    <w:uiPriority w:val="0"/>
    <w:rPr>
      <w:sz w:val="21"/>
      <w:szCs w:val="21"/>
    </w:rPr>
  </w:style>
  <w:style w:type="paragraph" w:styleId="12">
    <w:name w:val="List Paragraph"/>
    <w:basedOn w:val="1"/>
    <w:qFormat/>
    <w:uiPriority w:val="34"/>
    <w:pPr>
      <w:ind w:firstLine="420" w:firstLineChars="200"/>
    </w:pPr>
  </w:style>
  <w:style w:type="character" w:customStyle="1" w:styleId="13">
    <w:name w:val="批注文字 字符"/>
    <w:basedOn w:val="9"/>
    <w:link w:val="2"/>
    <w:qFormat/>
    <w:uiPriority w:val="0"/>
    <w:rPr>
      <w:rFonts w:ascii="Calibri" w:hAnsi="Calibri" w:eastAsia="仿宋" w:cs="仿宋"/>
      <w:sz w:val="30"/>
      <w:szCs w:val="30"/>
    </w:rPr>
  </w:style>
  <w:style w:type="character" w:customStyle="1" w:styleId="14">
    <w:name w:val="批注主题 字符"/>
    <w:basedOn w:val="13"/>
    <w:link w:val="6"/>
    <w:qFormat/>
    <w:uiPriority w:val="0"/>
    <w:rPr>
      <w:rFonts w:ascii="Calibri" w:hAnsi="Calibri" w:eastAsia="仿宋" w:cs="仿宋"/>
      <w:b/>
      <w:bCs/>
      <w:sz w:val="30"/>
      <w:szCs w:val="30"/>
    </w:rPr>
  </w:style>
  <w:style w:type="paragraph" w:customStyle="1" w:styleId="15">
    <w:name w:val="Revision"/>
    <w:hidden/>
    <w:unhideWhenUsed/>
    <w:qFormat/>
    <w:uiPriority w:val="99"/>
    <w:rPr>
      <w:rFonts w:ascii="Calibri" w:hAnsi="Calibri" w:eastAsia="仿宋" w:cs="仿宋"/>
      <w:sz w:val="30"/>
      <w:szCs w:val="3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5368</Words>
  <Characters>5877</Characters>
  <Lines>65</Lines>
  <Paragraphs>18</Paragraphs>
  <TotalTime>90</TotalTime>
  <ScaleCrop>false</ScaleCrop>
  <LinksUpToDate>false</LinksUpToDate>
  <CharactersWithSpaces>5898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2024-04-10T00:00:00Z</dcterms:created>
  <dc:creator>34334</dc:creator>
  <cp:lastModifiedBy>齐</cp:lastModifiedBy>
  <cp:lastPrinted>2024-11-05T00:05:00Z</cp:lastPrinted>
  <dcterms:modified xsi:type="dcterms:W3CDTF">2025-03-24T11:01:13Z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376DC064F8A848809F5DE4E6D962B60C_13</vt:lpwstr>
  </property>
  <property fmtid="{D5CDD505-2E9C-101B-9397-08002B2CF9AE}" pid="4" name="KSOTemplateDocerSaveRecord">
    <vt:lpwstr>eyJoZGlkIjoiMzEwNTM5NzYwMDRjMzkwZTVkZjY2ODkwMGIxNGU0OTUiLCJ1c2VySWQiOiIxNDc3MTc2NTcwIn0=</vt:lpwstr>
  </property>
</Properties>
</file>