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A93879">
      <w:pPr>
        <w:keepNext w:val="0"/>
        <w:keepLines w:val="0"/>
        <w:pageBreakBefore w:val="0"/>
        <w:widowControl w:val="0"/>
        <w:kinsoku/>
        <w:overflowPunct/>
        <w:topLinePunct w:val="0"/>
        <w:autoSpaceDE/>
        <w:autoSpaceDN/>
        <w:bidi w:val="0"/>
        <w:adjustRightInd/>
        <w:snapToGrid/>
        <w:textAlignment w:val="auto"/>
        <w:rPr>
          <w:rFonts w:hint="eastAsia" w:eastAsiaTheme="minorEastAsia"/>
          <w:color w:val="auto"/>
          <w:lang w:val="en-US" w:eastAsia="zh-CN"/>
        </w:rPr>
      </w:pPr>
      <w:bookmarkStart w:id="6" w:name="_GoBack"/>
      <w:bookmarkEnd w:id="6"/>
      <w:r>
        <w:rPr>
          <w:color w:val="auto"/>
          <w:sz w:val="21"/>
        </w:rPr>
        <mc:AlternateContent>
          <mc:Choice Requires="wps">
            <w:drawing>
              <wp:anchor distT="0" distB="0" distL="114300" distR="114300" simplePos="0" relativeHeight="251659264" behindDoc="0" locked="0" layoutInCell="1" allowOverlap="1">
                <wp:simplePos x="0" y="0"/>
                <wp:positionH relativeFrom="column">
                  <wp:posOffset>-1098550</wp:posOffset>
                </wp:positionH>
                <wp:positionV relativeFrom="paragraph">
                  <wp:posOffset>766445</wp:posOffset>
                </wp:positionV>
                <wp:extent cx="7560310" cy="2282825"/>
                <wp:effectExtent l="0" t="0" r="0" b="0"/>
                <wp:wrapNone/>
                <wp:docPr id="9" name="文本框 9"/>
                <wp:cNvGraphicFramePr/>
                <a:graphic xmlns:a="http://schemas.openxmlformats.org/drawingml/2006/main">
                  <a:graphicData uri="http://schemas.microsoft.com/office/word/2010/wordprocessingShape">
                    <wps:wsp>
                      <wps:cNvSpPr txBox="1"/>
                      <wps:spPr>
                        <a:xfrm>
                          <a:off x="941705" y="5377815"/>
                          <a:ext cx="7560310" cy="22828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2FBF5A">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西安新旗帜建筑装饰工程有限公司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6.5pt;margin-top:60.35pt;height:179.75pt;width:595.3pt;z-index:251659264;mso-width-relative:page;mso-height-relative:page;" filled="f" stroked="f" coordsize="21600,21600" o:gfxdata="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JWTFnd0AAAANAQAADwAA&#10;AAAAAAABACAAAAAiAAAAZHJzL2Rvd25yZXYueG1sUEsBAhQAFAAAAAgAh07iQAcNIMJKAgAAcgQA&#10;AA4AAAAAAAAAAQAgAAAALAEAAGRycy9lMm9Eb2MueG1sUEsFBgAAAAAGAAYAWQEAAOgFAAAAAA==&#10;">
                <v:fill on="f" focussize="0,0"/>
                <v:stroke on="f" weight="0.5pt"/>
                <v:imagedata o:title=""/>
                <o:lock v:ext="edit" aspectratio="f"/>
                <v:textbox>
                  <w:txbxContent>
                    <w:p w14:paraId="6C2FBF5A">
                      <w:pPr>
                        <w:spacing w:line="360" w:lineRule="auto"/>
                        <w:jc w:val="center"/>
                        <w:rPr>
                          <w:rFonts w:hint="eastAsia"/>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西安新旗帜建筑装饰工程有限公司</w:t>
                      </w:r>
                    </w:p>
                    <w:p w14:paraId="4AA2FC18">
                      <w:pPr>
                        <w:spacing w:line="360" w:lineRule="auto"/>
                        <w:jc w:val="center"/>
                        <w:rPr>
                          <w:rFonts w:hint="default"/>
                          <w:b/>
                          <w:bCs/>
                          <w:color w:val="FFFFFF" w:themeColor="background1"/>
                          <w:sz w:val="72"/>
                          <w:szCs w:val="72"/>
                          <w:lang w:val="en-US" w:eastAsia="zh-CN"/>
                          <w14:textFill>
                            <w14:solidFill>
                              <w14:schemeClr w14:val="bg1"/>
                            </w14:solidFill>
                          </w14:textFill>
                        </w:rPr>
                      </w:pPr>
                      <w:r>
                        <w:rPr>
                          <w:rFonts w:hint="eastAsia"/>
                          <w:b/>
                          <w:bCs/>
                          <w:color w:val="FFFFFF" w:themeColor="background1"/>
                          <w:sz w:val="72"/>
                          <w:szCs w:val="72"/>
                          <w:lang w:val="en-US" w:eastAsia="zh-CN"/>
                          <w14:textFill>
                            <w14:solidFill>
                              <w14:schemeClr w14:val="bg1"/>
                            </w14:solidFill>
                          </w14:textFill>
                        </w:rPr>
                        <w:t>破产清算</w:t>
                      </w:r>
                      <w:r>
                        <w:rPr>
                          <w:rFonts w:hint="default"/>
                          <w:b/>
                          <w:bCs/>
                          <w:color w:val="FFFFFF" w:themeColor="background1"/>
                          <w:sz w:val="72"/>
                          <w:szCs w:val="72"/>
                          <w:lang w:val="en-US" w:eastAsia="zh-CN"/>
                          <w14:textFill>
                            <w14:solidFill>
                              <w14:schemeClr w14:val="bg1"/>
                            </w14:solidFill>
                          </w14:textFill>
                        </w:rPr>
                        <w:t>案</w:t>
                      </w:r>
                    </w:p>
                    <w:p w14:paraId="0DB43645">
                      <w:pPr>
                        <w:spacing w:line="360" w:lineRule="auto"/>
                        <w:jc w:val="center"/>
                        <w:rPr>
                          <w:rFonts w:hint="default"/>
                          <w:b/>
                          <w:bCs/>
                          <w:sz w:val="72"/>
                          <w:szCs w:val="72"/>
                          <w:lang w:val="en-US" w:eastAsia="zh-CN"/>
                        </w:rPr>
                      </w:pPr>
                      <w:r>
                        <w:rPr>
                          <w:rFonts w:hint="eastAsia"/>
                          <w:b/>
                          <w:bCs/>
                          <w:color w:val="FFFFFF" w:themeColor="background1"/>
                          <w:sz w:val="72"/>
                          <w:szCs w:val="72"/>
                          <w:lang w:val="en-US" w:eastAsia="zh-CN"/>
                          <w14:textFill>
                            <w14:solidFill>
                              <w14:schemeClr w14:val="bg1"/>
                            </w14:solidFill>
                          </w14:textFill>
                        </w:rPr>
                        <w:t>债权申报文件</w:t>
                      </w:r>
                    </w:p>
                  </w:txbxContent>
                </v:textbox>
              </v:shape>
            </w:pict>
          </mc:Fallback>
        </mc:AlternateContent>
      </w:r>
      <w:r>
        <w:rPr>
          <w:rFonts w:ascii="Times New Roman" w:hAnsi="Times New Roman" w:cs="Times New Roman"/>
          <w:b w:val="0"/>
          <w:bCs w:val="0"/>
          <w:color w:val="auto"/>
          <w:sz w:val="18"/>
          <w:szCs w:val="18"/>
        </w:rPr>
        <w:drawing>
          <wp:anchor distT="0" distB="0" distL="114300" distR="114300" simplePos="0" relativeHeight="251661312" behindDoc="1" locked="0" layoutInCell="1" allowOverlap="1">
            <wp:simplePos x="0" y="0"/>
            <wp:positionH relativeFrom="page">
              <wp:posOffset>7620</wp:posOffset>
            </wp:positionH>
            <wp:positionV relativeFrom="page">
              <wp:posOffset>1673225</wp:posOffset>
            </wp:positionV>
            <wp:extent cx="7658100" cy="3313430"/>
            <wp:effectExtent l="0" t="0" r="0" b="1270"/>
            <wp:wrapNone/>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6"/>
                    <pic:cNvPicPr>
                      <a:picLocks noChangeAspect="1"/>
                    </pic:cNvPicPr>
                  </pic:nvPicPr>
                  <pic:blipFill>
                    <a:blip r:embed="rId7"/>
                    <a:stretch>
                      <a:fillRect/>
                    </a:stretch>
                  </pic:blipFill>
                  <pic:spPr>
                    <a:xfrm>
                      <a:off x="0" y="0"/>
                      <a:ext cx="7658100" cy="3313430"/>
                    </a:xfrm>
                    <a:prstGeom prst="rect">
                      <a:avLst/>
                    </a:prstGeom>
                    <a:noFill/>
                    <a:ln w="9525">
                      <a:noFill/>
                    </a:ln>
                  </pic:spPr>
                </pic:pic>
              </a:graphicData>
            </a:graphic>
          </wp:anchor>
        </w:drawing>
      </w:r>
      <w:r>
        <w:rPr>
          <w:rFonts w:ascii="Times New Roman" w:hAnsi="Times New Roman" w:cs="Times New Roman"/>
          <w:b w:val="0"/>
          <w:bCs w:val="0"/>
          <w:color w:val="auto"/>
        </w:rPr>
        <w:drawing>
          <wp:anchor distT="0" distB="0" distL="114300" distR="114300" simplePos="0" relativeHeight="251660288" behindDoc="1" locked="0" layoutInCell="1" allowOverlap="1">
            <wp:simplePos x="0" y="0"/>
            <wp:positionH relativeFrom="column">
              <wp:posOffset>-1151890</wp:posOffset>
            </wp:positionH>
            <wp:positionV relativeFrom="paragraph">
              <wp:posOffset>-1704975</wp:posOffset>
            </wp:positionV>
            <wp:extent cx="7772400" cy="13472160"/>
            <wp:effectExtent l="0" t="0" r="0" b="15240"/>
            <wp:wrapNone/>
            <wp:docPr id="1" name="图片 59" descr="IMG_4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9" descr="IMG_4402"/>
                    <pic:cNvPicPr>
                      <a:picLocks noChangeAspect="1"/>
                    </pic:cNvPicPr>
                  </pic:nvPicPr>
                  <pic:blipFill>
                    <a:blip r:embed="rId8">
                      <a:grayscl/>
                      <a:lum contrast="-6001"/>
                    </a:blip>
                    <a:stretch>
                      <a:fillRect/>
                    </a:stretch>
                  </pic:blipFill>
                  <pic:spPr>
                    <a:xfrm>
                      <a:off x="0" y="0"/>
                      <a:ext cx="7772400" cy="13472160"/>
                    </a:xfrm>
                    <a:prstGeom prst="rect">
                      <a:avLst/>
                    </a:prstGeom>
                    <a:noFill/>
                    <a:ln w="9525">
                      <a:noFill/>
                    </a:ln>
                  </pic:spPr>
                </pic:pic>
              </a:graphicData>
            </a:graphic>
          </wp:anchor>
        </w:drawing>
      </w:r>
    </w:p>
    <w:p w14:paraId="780DBD63">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eastAsia" w:ascii="Times New Roman" w:hAnsi="Times New Roman" w:eastAsia="宋体" w:cs="Times New Roman"/>
          <w:b/>
          <w:bCs/>
          <w:color w:val="auto"/>
          <w:kern w:val="2"/>
          <w:sz w:val="36"/>
          <w:szCs w:val="36"/>
          <w:lang w:val="en-US" w:eastAsia="zh-CN" w:bidi="ar-SA"/>
        </w:rPr>
        <w:sectPr>
          <w:headerReference r:id="rId3" w:type="default"/>
          <w:pgSz w:w="11906" w:h="16838"/>
          <w:pgMar w:top="1440" w:right="1800" w:bottom="1440" w:left="1800" w:header="851" w:footer="992" w:gutter="0"/>
          <w:cols w:space="425" w:num="1"/>
          <w:docGrid w:type="lines" w:linePitch="312" w:charSpace="0"/>
        </w:sectPr>
      </w:pPr>
    </w:p>
    <w:p w14:paraId="770D7428">
      <w:pPr>
        <w:pStyle w:val="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jc w:val="center"/>
        <w:textAlignment w:val="auto"/>
        <w:rPr>
          <w:rFonts w:hint="default" w:ascii="Times New Roman" w:hAnsi="Times New Roman" w:eastAsia="宋体" w:cs="Times New Roman"/>
          <w:b/>
          <w:bCs/>
          <w:color w:val="auto"/>
          <w:kern w:val="2"/>
          <w:sz w:val="36"/>
          <w:szCs w:val="36"/>
          <w:lang w:val="en-US" w:eastAsia="zh-CN" w:bidi="ar-SA"/>
        </w:rPr>
      </w:pPr>
      <w:r>
        <w:rPr>
          <w:rFonts w:hint="eastAsia" w:ascii="Times New Roman" w:hAnsi="Times New Roman" w:eastAsia="宋体" w:cs="Times New Roman"/>
          <w:b/>
          <w:bCs/>
          <w:color w:val="auto"/>
          <w:kern w:val="2"/>
          <w:sz w:val="36"/>
          <w:szCs w:val="36"/>
          <w:lang w:val="en-US" w:eastAsia="zh-CN" w:bidi="ar-SA"/>
        </w:rPr>
        <w:t>一、债 权 申 报 须 知</w:t>
      </w:r>
    </w:p>
    <w:p w14:paraId="062400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陕西省西安市中级人民法院于2024年12月22日作出（2024）陕01破申203号民事裁定书，裁定受理西安新旗帜建筑装饰工程有限公司（下称“新旗帜公司”）破产清算一案，并于2025年2月25日作出（2025）陕01破79号之一决定书指定北京大成（西安）律师事务所组成本案破产管理人（下称“破产管理人”），温军平律师担任破产管理人组长。</w:t>
      </w:r>
    </w:p>
    <w:p w14:paraId="68ECFB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highlight w:val="none"/>
          <w:lang w:val="en-US" w:eastAsia="zh-CN"/>
        </w:rPr>
        <w:t>破产管理人在《人民法院报》发布《关于西安新旗帜建筑装饰工程有限公司破产清算的公告》，债权人应于</w:t>
      </w:r>
      <w:r>
        <w:rPr>
          <w:rFonts w:hint="eastAsia" w:ascii="Times New Roman" w:hAnsi="Times New Roman" w:cs="Times New Roman"/>
          <w:b/>
          <w:bCs/>
          <w:color w:val="auto"/>
          <w:highlight w:val="none"/>
          <w:u w:val="single"/>
          <w:lang w:val="en-US" w:eastAsia="zh-CN"/>
        </w:rPr>
        <w:t>2025年5月13日（含当日）</w:t>
      </w:r>
      <w:r>
        <w:rPr>
          <w:rFonts w:hint="eastAsia" w:ascii="Times New Roman" w:hAnsi="Times New Roman" w:cs="Times New Roman"/>
          <w:color w:val="auto"/>
          <w:highlight w:val="none"/>
          <w:lang w:val="en-US" w:eastAsia="zh-CN"/>
        </w:rPr>
        <w:t>前向破产管理人申报债权。现破产管理人</w:t>
      </w:r>
      <w:r>
        <w:rPr>
          <w:rFonts w:hint="eastAsia" w:ascii="Times New Roman" w:hAnsi="Times New Roman" w:cs="Times New Roman"/>
          <w:color w:val="auto"/>
          <w:lang w:val="en-US" w:eastAsia="zh-CN"/>
        </w:rPr>
        <w:t>就债权申报须知事宜，做如下说明：</w:t>
      </w:r>
    </w:p>
    <w:p w14:paraId="6057EB7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一、申报方式</w:t>
      </w:r>
    </w:p>
    <w:p w14:paraId="0A65BB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为了降低债权人申报债权的时间及人力成本，债权人可以选择网络申报并邮寄书面申报材料的方式申报债权，也可以选择现场申报并递交书面材料的方式向管理人申报债权。具体如下：</w:t>
      </w:r>
    </w:p>
    <w:p w14:paraId="2254DC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highlight w:val="yellow"/>
          <w:lang w:val="en-US" w:eastAsia="zh-CN"/>
        </w:rPr>
      </w:pPr>
      <w:r>
        <w:rPr>
          <w:rFonts w:hint="eastAsia" w:ascii="Times New Roman" w:hAnsi="Times New Roman" w:cs="Times New Roman"/>
          <w:color w:val="auto"/>
          <w:lang w:val="en-US" w:eastAsia="zh-CN"/>
        </w:rPr>
        <w:t>（一）</w:t>
      </w:r>
      <w:r>
        <w:rPr>
          <w:rFonts w:hint="eastAsia" w:ascii="Times New Roman" w:hAnsi="Times New Roman" w:cs="Times New Roman"/>
          <w:color w:val="auto"/>
          <w:highlight w:val="none"/>
          <w:lang w:val="en-US" w:eastAsia="zh-CN"/>
        </w:rPr>
        <w:t>网络申报</w:t>
      </w:r>
    </w:p>
    <w:p w14:paraId="2BB3B40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债权人可以通过扫描下方二维码进入申报链接。</w:t>
      </w:r>
    </w:p>
    <w:p w14:paraId="7BEEF32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color w:val="auto"/>
          <w:lang w:val="en-US" w:eastAsia="zh-CN"/>
        </w:rPr>
      </w:pPr>
      <w:r>
        <w:drawing>
          <wp:inline distT="0" distB="0" distL="114300" distR="114300">
            <wp:extent cx="3828415" cy="4130675"/>
            <wp:effectExtent l="0" t="0" r="635" b="317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9"/>
                    <a:stretch>
                      <a:fillRect/>
                    </a:stretch>
                  </pic:blipFill>
                  <pic:spPr>
                    <a:xfrm>
                      <a:off x="0" y="0"/>
                      <a:ext cx="3828415" cy="4130675"/>
                    </a:xfrm>
                    <a:prstGeom prst="rect">
                      <a:avLst/>
                    </a:prstGeom>
                    <a:noFill/>
                    <a:ln w="9525">
                      <a:noFill/>
                    </a:ln>
                  </pic:spPr>
                </pic:pic>
              </a:graphicData>
            </a:graphic>
          </wp:inline>
        </w:drawing>
      </w:r>
    </w:p>
    <w:p w14:paraId="317F0A0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eastAsia="宋体" w:cs="Times New Roman"/>
          <w:color w:val="auto"/>
          <w:sz w:val="24"/>
          <w:szCs w:val="24"/>
          <w:lang w:val="en-US" w:eastAsia="zh-CN"/>
        </w:rPr>
        <w:br w:type="page"/>
      </w:r>
    </w:p>
    <w:p w14:paraId="274808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采取网络申报的，债权人无需前往现场申报。</w:t>
      </w:r>
    </w:p>
    <w:p w14:paraId="10166D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债权人需根据此申报文件第二部分“债权申报指引”的要求进行申报。</w:t>
      </w:r>
    </w:p>
    <w:p w14:paraId="6504D19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通过网络申报并经形式审核通过后，债权人应在法院确定的债权申报期内向破产管理人邮寄纸质申报材料（具体申报材料见附件）。</w:t>
      </w:r>
    </w:p>
    <w:p w14:paraId="59D9E79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（二）现场申报</w:t>
      </w:r>
    </w:p>
    <w:p w14:paraId="31929FA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债权人可到破产管理人办公地点现场提交债权申报材料，申报时间和地点为：</w:t>
      </w:r>
    </w:p>
    <w:p w14:paraId="01BC7DD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时间：工作时间9:30-11:30，15:00-17:30</w:t>
      </w:r>
    </w:p>
    <w:p w14:paraId="6F4BF34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地址：陕西省西安市高新区锦业一路永利国际金融中心35层</w:t>
      </w:r>
    </w:p>
    <w:p w14:paraId="545BC4D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债权人可按照短信指引，查阅并下载完整的债权申报文件。为避免重复提交，债权人需根据该申报文件第二部分“债权申报指引”的要求进行申报并提前准备相关材料，现场向破产管理人提交申报债权。</w:t>
      </w:r>
    </w:p>
    <w:p w14:paraId="5A9E7C9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二、破产管理人联系方式（请在工作时间联系）</w:t>
      </w:r>
    </w:p>
    <w:p w14:paraId="54C226B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薛律师：18202929161；潘律师：18182686666；</w:t>
      </w:r>
    </w:p>
    <w:p w14:paraId="3616CE5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邮寄地址：陕西省西安市高新区锦业一路永利国际金融中心35层</w:t>
      </w:r>
    </w:p>
    <w:p w14:paraId="11DE696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highlight w:val="none"/>
          <w:lang w:val="en-US" w:eastAsia="zh-CN"/>
        </w:rPr>
      </w:pPr>
      <w:r>
        <w:rPr>
          <w:rFonts w:hint="eastAsia" w:ascii="Times New Roman" w:hAnsi="Times New Roman" w:cs="Times New Roman"/>
          <w:b w:val="0"/>
          <w:bCs w:val="0"/>
          <w:color w:val="auto"/>
          <w:highlight w:val="none"/>
          <w:lang w:val="en-US" w:eastAsia="zh-CN"/>
        </w:rPr>
        <w:t>（建议选择顺丰速运或EMS邮政速递寄付，不接受到付）</w:t>
      </w:r>
    </w:p>
    <w:p w14:paraId="2EC55CC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邮政编码：710026</w:t>
      </w:r>
    </w:p>
    <w:p w14:paraId="22A9571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请债权人仔细阅读此申报文件第二部分“债权申报指引”，按照其要求尽早申报债权，以便进行审查，避免因未能在规定期限内申报债权而承担额外费用，影响债权的认定及受偿，造成不必要的损失。</w:t>
      </w:r>
    </w:p>
    <w:p w14:paraId="40E5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竭诚感谢对工作的理解和支持！</w:t>
      </w:r>
    </w:p>
    <w:p w14:paraId="0DD3FD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eastAsia" w:ascii="Times New Roman" w:hAnsi="Times New Roman" w:cs="Times New Roman"/>
          <w:b w:val="0"/>
          <w:bCs w:val="0"/>
          <w:color w:val="auto"/>
          <w:lang w:val="en-US" w:eastAsia="zh-CN"/>
        </w:rPr>
      </w:pPr>
    </w:p>
    <w:p w14:paraId="4392F4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jc w:val="right"/>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西安新旗帜建筑装饰工程有限公司破产管理人</w:t>
      </w:r>
    </w:p>
    <w:p w14:paraId="4F886E58">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lang w:val="en-US" w:eastAsia="zh-CN"/>
        </w:rPr>
        <w:t>二〇二五年三</w:t>
      </w:r>
      <w:r>
        <w:rPr>
          <w:rFonts w:hint="eastAsia" w:ascii="Times New Roman" w:hAnsi="Times New Roman" w:cs="Times New Roman"/>
          <w:color w:val="auto"/>
          <w:highlight w:val="none"/>
          <w:lang w:val="en-US" w:eastAsia="zh-CN"/>
        </w:rPr>
        <w:t xml:space="preserve">月十日   </w:t>
      </w:r>
    </w:p>
    <w:p w14:paraId="0F8849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firstLine="480" w:firstLineChars="200"/>
        <w:textAlignment w:val="auto"/>
        <w:rPr>
          <w:rFonts w:hint="default" w:ascii="Times New Roman" w:hAnsi="Times New Roman" w:cs="Times New Roman"/>
          <w:color w:val="auto"/>
          <w:lang w:val="en-US" w:eastAsia="zh-CN"/>
        </w:rPr>
      </w:pPr>
    </w:p>
    <w:p w14:paraId="1BA15191">
      <w:pPr>
        <w:keepNext w:val="0"/>
        <w:keepLines w:val="0"/>
        <w:pageBreakBefore w:val="0"/>
        <w:widowControl w:val="0"/>
        <w:kinsoku/>
        <w:overflowPunct/>
        <w:topLinePunct w:val="0"/>
        <w:autoSpaceDE/>
        <w:autoSpaceDN/>
        <w:bidi w:val="0"/>
        <w:adjustRightInd/>
        <w:snapToGrid/>
        <w:textAlignment w:val="auto"/>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br w:type="page"/>
      </w:r>
    </w:p>
    <w:p w14:paraId="57B39AA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Times New Roman" w:hAnsi="Times New Roman" w:cs="Times New Roman"/>
          <w:color w:val="auto"/>
          <w:lang w:val="en-US" w:eastAsia="zh-CN"/>
        </w:rPr>
      </w:pPr>
      <w:r>
        <w:rPr>
          <w:rFonts w:hint="eastAsia" w:ascii="Times New Roman" w:hAnsi="Times New Roman" w:eastAsia="宋体" w:cs="Times New Roman"/>
          <w:b/>
          <w:bCs/>
          <w:color w:val="auto"/>
          <w:kern w:val="2"/>
          <w:sz w:val="36"/>
          <w:szCs w:val="36"/>
          <w:lang w:val="en-US" w:eastAsia="zh-CN" w:bidi="ar-SA"/>
        </w:rPr>
        <w:t>二、债 权 申 报 指 引</w:t>
      </w:r>
    </w:p>
    <w:p w14:paraId="35F6023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eastAsia="zh-CN"/>
        </w:rPr>
      </w:pPr>
      <w:r>
        <w:rPr>
          <w:rFonts w:hint="default" w:ascii="Times New Roman" w:hAnsi="Times New Roman" w:cs="Times New Roman"/>
          <w:color w:val="auto"/>
        </w:rPr>
        <w:t>为保障债权人权益，特将债权人在债权</w:t>
      </w:r>
      <w:r>
        <w:rPr>
          <w:rFonts w:hint="default" w:ascii="Times New Roman" w:hAnsi="Times New Roman" w:cs="Times New Roman"/>
          <w:color w:val="auto"/>
          <w:lang w:val="en-US" w:eastAsia="zh-CN"/>
        </w:rPr>
        <w:t>申报</w:t>
      </w:r>
      <w:r>
        <w:rPr>
          <w:rFonts w:hint="default" w:ascii="Times New Roman" w:hAnsi="Times New Roman" w:cs="Times New Roman"/>
          <w:color w:val="auto"/>
        </w:rPr>
        <w:t>阶段之权利、义务，告知如下</w:t>
      </w:r>
      <w:r>
        <w:rPr>
          <w:rFonts w:hint="eastAsia" w:ascii="Times New Roman" w:hAnsi="Times New Roman" w:cs="Times New Roman"/>
          <w:color w:val="auto"/>
          <w:lang w:eastAsia="zh-CN"/>
        </w:rPr>
        <w:t>。请债权人仔细阅读，并按照指引内容尽快申报债权。</w:t>
      </w:r>
    </w:p>
    <w:p w14:paraId="67CB24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一、申报主体</w:t>
      </w:r>
    </w:p>
    <w:p w14:paraId="1FC95DE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债权人为自然人（包括个体工商户等）的债权统称个人债权，债权人为法人或非法人组织的债权统称机构债权/法人债权。</w:t>
      </w:r>
    </w:p>
    <w:p w14:paraId="30DC0E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eastAsiaTheme="minorEastAsia"/>
          <w:b/>
          <w:bCs/>
          <w:color w:val="auto"/>
          <w:lang w:val="en-US" w:eastAsia="zh-CN"/>
        </w:rPr>
      </w:pPr>
      <w:r>
        <w:rPr>
          <w:rFonts w:hint="eastAsia" w:ascii="Times New Roman" w:hAnsi="Times New Roman" w:cs="Times New Roman"/>
          <w:b/>
          <w:bCs/>
          <w:color w:val="auto"/>
          <w:lang w:val="en-US" w:eastAsia="zh-CN"/>
        </w:rPr>
        <w:t>二</w:t>
      </w:r>
      <w:r>
        <w:rPr>
          <w:rFonts w:hint="default" w:ascii="Times New Roman" w:hAnsi="Times New Roman" w:cs="Times New Roman"/>
          <w:b/>
          <w:bCs/>
          <w:color w:val="auto"/>
        </w:rPr>
        <w:t>、</w:t>
      </w:r>
      <w:r>
        <w:rPr>
          <w:rFonts w:hint="eastAsia" w:ascii="Times New Roman" w:hAnsi="Times New Roman" w:cs="Times New Roman"/>
          <w:b/>
          <w:bCs/>
          <w:color w:val="auto"/>
          <w:lang w:val="en-US" w:eastAsia="zh-CN"/>
        </w:rPr>
        <w:t>申报期限</w:t>
      </w:r>
    </w:p>
    <w:p w14:paraId="190E408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选择网络申报并经形式审核通过的</w:t>
      </w:r>
      <w:r>
        <w:rPr>
          <w:rFonts w:hint="default" w:ascii="Times New Roman" w:hAnsi="Times New Roman" w:cs="Times New Roman"/>
          <w:b w:val="0"/>
          <w:bCs w:val="0"/>
          <w:color w:val="auto"/>
        </w:rPr>
        <w:t>债权人应当在</w:t>
      </w:r>
      <w:r>
        <w:rPr>
          <w:rFonts w:hint="eastAsia" w:ascii="Times New Roman" w:hAnsi="Times New Roman" w:cs="Times New Roman"/>
          <w:b/>
          <w:bCs/>
          <w:color w:val="auto"/>
          <w:highlight w:val="none"/>
          <w:u w:val="single"/>
          <w:lang w:val="en-US" w:eastAsia="zh-CN"/>
        </w:rPr>
        <w:t>2025年5月13日（含当日）</w:t>
      </w:r>
      <w:r>
        <w:rPr>
          <w:rFonts w:hint="default" w:ascii="Times New Roman" w:hAnsi="Times New Roman" w:cs="Times New Roman"/>
          <w:b w:val="0"/>
          <w:bCs w:val="0"/>
          <w:color w:val="auto"/>
          <w:highlight w:val="none"/>
        </w:rPr>
        <w:t>前，</w:t>
      </w:r>
      <w:r>
        <w:rPr>
          <w:rFonts w:hint="eastAsia" w:ascii="Times New Roman" w:hAnsi="Times New Roman" w:cs="Times New Roman"/>
          <w:b w:val="0"/>
          <w:bCs w:val="0"/>
          <w:color w:val="auto"/>
          <w:highlight w:val="none"/>
          <w:lang w:val="en-US" w:eastAsia="zh-CN"/>
        </w:rPr>
        <w:t>邮寄</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选择现场申报的债权人</w:t>
      </w:r>
      <w:r>
        <w:rPr>
          <w:rFonts w:hint="default" w:ascii="Times New Roman" w:hAnsi="Times New Roman" w:cs="Times New Roman"/>
          <w:b w:val="0"/>
          <w:bCs w:val="0"/>
          <w:color w:val="auto"/>
          <w:highlight w:val="none"/>
        </w:rPr>
        <w:t>应当在</w:t>
      </w:r>
      <w:r>
        <w:rPr>
          <w:rFonts w:hint="eastAsia" w:ascii="Times New Roman" w:hAnsi="Times New Roman" w:cs="Times New Roman"/>
          <w:b/>
          <w:bCs/>
          <w:color w:val="auto"/>
          <w:highlight w:val="none"/>
          <w:u w:val="single"/>
          <w:lang w:val="en-US" w:eastAsia="zh-CN"/>
        </w:rPr>
        <w:t>2025年5月13日（含当日）</w:t>
      </w:r>
      <w:r>
        <w:rPr>
          <w:rFonts w:hint="eastAsia" w:ascii="Times New Roman" w:hAnsi="Times New Roman" w:cs="Times New Roman"/>
          <w:b w:val="0"/>
          <w:bCs w:val="0"/>
          <w:color w:val="auto"/>
          <w:highlight w:val="none"/>
          <w:u w:val="none"/>
          <w:lang w:val="en-US" w:eastAsia="zh-CN"/>
        </w:rPr>
        <w:t>前</w:t>
      </w:r>
      <w:r>
        <w:rPr>
          <w:rFonts w:hint="default" w:ascii="Times New Roman" w:hAnsi="Times New Roman" w:cs="Times New Roman"/>
          <w:b w:val="0"/>
          <w:bCs w:val="0"/>
          <w:color w:val="auto"/>
          <w:highlight w:val="none"/>
        </w:rPr>
        <w:t>，</w:t>
      </w:r>
      <w:r>
        <w:rPr>
          <w:rFonts w:hint="eastAsia" w:ascii="Times New Roman" w:hAnsi="Times New Roman" w:cs="Times New Roman"/>
          <w:b w:val="0"/>
          <w:bCs w:val="0"/>
          <w:color w:val="auto"/>
          <w:highlight w:val="none"/>
          <w:lang w:val="en-US" w:eastAsia="zh-CN"/>
        </w:rPr>
        <w:t>携带</w:t>
      </w:r>
      <w:r>
        <w:rPr>
          <w:rFonts w:hint="default" w:ascii="Times New Roman" w:hAnsi="Times New Roman" w:cs="Times New Roman"/>
          <w:b w:val="0"/>
          <w:bCs w:val="0"/>
          <w:color w:val="auto"/>
          <w:highlight w:val="none"/>
        </w:rPr>
        <w:t>纸质债权</w:t>
      </w:r>
      <w:r>
        <w:rPr>
          <w:rFonts w:hint="eastAsia" w:ascii="Times New Roman" w:hAnsi="Times New Roman" w:cs="Times New Roman"/>
          <w:b w:val="0"/>
          <w:bCs w:val="0"/>
          <w:color w:val="auto"/>
          <w:highlight w:val="none"/>
          <w:lang w:val="en-US" w:eastAsia="zh-CN"/>
        </w:rPr>
        <w:t>申报</w:t>
      </w:r>
      <w:r>
        <w:rPr>
          <w:rFonts w:hint="default" w:ascii="Times New Roman" w:hAnsi="Times New Roman" w:cs="Times New Roman"/>
          <w:b w:val="0"/>
          <w:bCs w:val="0"/>
          <w:color w:val="auto"/>
          <w:highlight w:val="none"/>
        </w:rPr>
        <w:t>材料</w:t>
      </w:r>
      <w:r>
        <w:rPr>
          <w:rFonts w:hint="eastAsia" w:ascii="Times New Roman" w:hAnsi="Times New Roman" w:cs="Times New Roman"/>
          <w:b w:val="0"/>
          <w:bCs w:val="0"/>
          <w:color w:val="auto"/>
          <w:highlight w:val="none"/>
          <w:lang w:val="en-US" w:eastAsia="zh-CN"/>
        </w:rPr>
        <w:t>现场提交完成债权申报。对于上述两种</w:t>
      </w:r>
      <w:r>
        <w:rPr>
          <w:rFonts w:hint="eastAsia" w:ascii="Times New Roman" w:hAnsi="Times New Roman" w:cs="Times New Roman"/>
          <w:b w:val="0"/>
          <w:bCs w:val="0"/>
          <w:color w:val="auto"/>
          <w:lang w:val="en-US" w:eastAsia="zh-CN"/>
        </w:rPr>
        <w:t>债权申报存在缺漏、不足等情形影响债权审查确认的，债权人应当进行补充完善，直至符合本指引相关要求后方予登记。</w:t>
      </w:r>
    </w:p>
    <w:p w14:paraId="0D3ACEF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三、申报方式</w:t>
      </w:r>
    </w:p>
    <w:p w14:paraId="6CE734F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b w:val="0"/>
          <w:bCs w:val="0"/>
          <w:color w:val="auto"/>
          <w:lang w:val="en-US" w:eastAsia="zh-CN"/>
        </w:rPr>
      </w:pPr>
      <w:r>
        <w:rPr>
          <w:rFonts w:hint="eastAsia" w:ascii="Times New Roman" w:hAnsi="Times New Roman" w:cs="Times New Roman"/>
          <w:b w:val="0"/>
          <w:bCs w:val="0"/>
          <w:color w:val="auto"/>
          <w:lang w:val="en-US" w:eastAsia="zh-CN"/>
        </w:rPr>
        <w:t>为了降低债权人申报债权的时间及人力成本，债权人可以选择网络申报并邮寄书面申报材料的方式申报债权，也可以选择现场申报并递交书面材料的方式向管理人申报债权。为避免重复，请债权人选择一种方式进行申报（具体方式见“一、债权申报须知”）。</w:t>
      </w:r>
    </w:p>
    <w:p w14:paraId="728160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网络申报不能取代债权人邮寄提交纸质债权申报材料。债权人未提交纸质债权申报材料的，视为没有申报，因此产生的一切法律责任和后果由债权人自行承担。债权人应承诺并保证网络申报与线下纸质材料的信息一致性，对于不一致的，债权人</w:t>
      </w:r>
      <w:r>
        <w:rPr>
          <w:rFonts w:hint="eastAsia" w:ascii="Times New Roman" w:hAnsi="Times New Roman" w:cs="Times New Roman"/>
          <w:b w:val="0"/>
          <w:bCs w:val="0"/>
          <w:color w:val="auto"/>
          <w:lang w:val="en-US" w:eastAsia="zh-CN"/>
        </w:rPr>
        <w:t>应当</w:t>
      </w:r>
      <w:r>
        <w:rPr>
          <w:rFonts w:hint="default" w:ascii="Times New Roman" w:hAnsi="Times New Roman" w:cs="Times New Roman"/>
          <w:b w:val="0"/>
          <w:bCs w:val="0"/>
          <w:color w:val="auto"/>
          <w:lang w:val="en-US" w:eastAsia="zh-CN"/>
        </w:rPr>
        <w:t>进行更正、补正。</w:t>
      </w:r>
    </w:p>
    <w:p w14:paraId="2B78F68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登录网络申报系统后，请根据系统的流程和指引，依次完成债权信息申报、上传证据材料等步骤。系统仅支持查看已提交的债权申报信息，债权申报完成后请务必点击提交。使用过程中有任何疑问，可联系网络申报系统技术支持人员</w:t>
      </w:r>
      <w:r>
        <w:rPr>
          <w:rFonts w:hint="eastAsia" w:ascii="Times New Roman" w:hAnsi="Times New Roman" w:cs="Times New Roman"/>
          <w:b w:val="0"/>
          <w:bCs w:val="0"/>
          <w:color w:val="auto"/>
          <w:lang w:val="en-US" w:eastAsia="zh-CN"/>
        </w:rPr>
        <w:t>：4008101866（转3 选择互联网产品，再转4 选择破产债权申报）（工作日周一至周五9:00-18:00）</w:t>
      </w:r>
      <w:r>
        <w:rPr>
          <w:rFonts w:hint="default" w:ascii="Times New Roman" w:hAnsi="Times New Roman" w:cs="Times New Roman"/>
          <w:b w:val="0"/>
          <w:bCs w:val="0"/>
          <w:color w:val="auto"/>
          <w:lang w:val="en-US" w:eastAsia="zh-CN"/>
        </w:rPr>
        <w:t>。</w:t>
      </w:r>
    </w:p>
    <w:p w14:paraId="79AEC2B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eastAsiaTheme="minorEastAsia"/>
          <w:color w:val="auto"/>
          <w:lang w:val="en-US" w:eastAsia="zh-CN"/>
        </w:rPr>
      </w:pPr>
      <w:r>
        <w:rPr>
          <w:rFonts w:hint="default" w:ascii="Times New Roman" w:hAnsi="Times New Roman" w:cs="Times New Roman"/>
          <w:b w:val="0"/>
          <w:bCs w:val="0"/>
          <w:color w:val="auto"/>
          <w:lang w:val="en-US" w:eastAsia="zh-CN"/>
        </w:rPr>
        <w:t>债权人申报材料需要补充、修改的，无需在系统中新建债权人信息或债权笔数，应在原有信息中进行补充、修改</w:t>
      </w:r>
      <w:r>
        <w:rPr>
          <w:rFonts w:hint="eastAsia" w:ascii="Times New Roman" w:hAnsi="Times New Roman" w:cs="Times New Roman"/>
          <w:b w:val="0"/>
          <w:bCs w:val="0"/>
          <w:color w:val="auto"/>
          <w:lang w:val="en-US" w:eastAsia="zh-CN"/>
        </w:rPr>
        <w:t>。</w:t>
      </w:r>
    </w:p>
    <w:p w14:paraId="1524A7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eastAsiaTheme="minorEastAsia"/>
          <w:b/>
          <w:bCs/>
          <w:color w:val="auto"/>
          <w:lang w:eastAsia="zh-CN"/>
        </w:rPr>
      </w:pPr>
      <w:r>
        <w:rPr>
          <w:rFonts w:hint="default" w:ascii="Times New Roman" w:hAnsi="Times New Roman" w:cs="Times New Roman"/>
          <w:b/>
          <w:bCs/>
          <w:color w:val="auto"/>
        </w:rPr>
        <w:t>债权人在</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rPr>
        <w:t>债权时应当注意以下几点</w:t>
      </w:r>
      <w:r>
        <w:rPr>
          <w:rFonts w:hint="eastAsia" w:ascii="Times New Roman" w:hAnsi="Times New Roman" w:cs="Times New Roman"/>
          <w:b/>
          <w:bCs/>
          <w:color w:val="auto"/>
          <w:lang w:eastAsia="zh-CN"/>
        </w:rPr>
        <w:t>：</w:t>
      </w:r>
    </w:p>
    <w:p w14:paraId="5FCB43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第一，</w:t>
      </w:r>
      <w:r>
        <w:rPr>
          <w:rFonts w:hint="default" w:ascii="Times New Roman" w:hAnsi="Times New Roman" w:cs="Times New Roman"/>
          <w:color w:val="auto"/>
        </w:rPr>
        <w:t>未到期的债权。在</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申请受理时视为到期</w:t>
      </w:r>
      <w:r>
        <w:rPr>
          <w:rFonts w:hint="eastAsia" w:ascii="Times New Roman" w:hAnsi="Times New Roman" w:cs="Times New Roman"/>
          <w:color w:val="auto"/>
          <w:lang w:eastAsia="zh-CN"/>
        </w:rPr>
        <w:t>。</w:t>
      </w:r>
    </w:p>
    <w:p w14:paraId="02BB8F0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第二，</w:t>
      </w:r>
      <w:r>
        <w:rPr>
          <w:rFonts w:hint="default" w:ascii="Times New Roman" w:hAnsi="Times New Roman" w:cs="Times New Roman"/>
          <w:color w:val="auto"/>
        </w:rPr>
        <w:t>附利息的债权，自</w:t>
      </w:r>
      <w:r>
        <w:rPr>
          <w:rFonts w:hint="eastAsia" w:ascii="Times New Roman" w:hAnsi="Times New Roman" w:cs="Times New Roman"/>
          <w:color w:val="auto"/>
          <w:lang w:val="en-US" w:eastAsia="zh-CN"/>
        </w:rPr>
        <w:t>破产清算</w:t>
      </w:r>
      <w:r>
        <w:rPr>
          <w:rFonts w:hint="default" w:ascii="Times New Roman" w:hAnsi="Times New Roman" w:cs="Times New Roman"/>
          <w:color w:val="auto"/>
        </w:rPr>
        <w:t>申请受理时起停止计息</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一年以365天计算</w:t>
      </w:r>
      <w:r>
        <w:rPr>
          <w:rFonts w:hint="eastAsia" w:ascii="Times New Roman" w:hAnsi="Times New Roman" w:cs="Times New Roman"/>
          <w:color w:val="auto"/>
          <w:lang w:eastAsia="zh-CN"/>
        </w:rPr>
        <w:t>）。</w:t>
      </w:r>
    </w:p>
    <w:p w14:paraId="4B4A12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val="en-US" w:eastAsia="zh-CN"/>
        </w:rPr>
      </w:pPr>
      <w:r>
        <w:rPr>
          <w:rFonts w:hint="eastAsia" w:ascii="Times New Roman" w:hAnsi="Times New Roman" w:cs="Times New Roman"/>
          <w:color w:val="auto"/>
          <w:lang w:val="en-US" w:eastAsia="zh-CN"/>
        </w:rPr>
        <w:t>第三，</w:t>
      </w:r>
      <w:r>
        <w:rPr>
          <w:rFonts w:hint="default" w:ascii="Times New Roman" w:hAnsi="Times New Roman" w:cs="Times New Roman"/>
          <w:color w:val="auto"/>
        </w:rPr>
        <w:t>附条件、附期限的债权和诉讼、仲裁未决的债权，债权人可以</w:t>
      </w:r>
      <w:r>
        <w:rPr>
          <w:rFonts w:hint="eastAsia" w:ascii="Times New Roman" w:hAnsi="Times New Roman" w:cs="Times New Roman"/>
          <w:color w:val="auto"/>
          <w:lang w:val="en-US" w:eastAsia="zh-CN"/>
        </w:rPr>
        <w:t>申报。</w:t>
      </w:r>
    </w:p>
    <w:p w14:paraId="7B91D48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第四，</w:t>
      </w:r>
      <w:r>
        <w:rPr>
          <w:rFonts w:hint="default" w:ascii="Times New Roman" w:hAnsi="Times New Roman" w:cs="Times New Roman"/>
          <w:color w:val="auto"/>
        </w:rPr>
        <w:t>债权人申报债权时，应当书面说明债权的数额和有无财产担保情况，并提交有关证据。申报的债权是连带债权的，应当说明。连带债权人可以由其中一人代表全体连带债权人</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债权，也可以共同</w:t>
      </w:r>
      <w:r>
        <w:rPr>
          <w:rFonts w:hint="eastAsia" w:ascii="Times New Roman" w:hAnsi="Times New Roman" w:cs="Times New Roman"/>
          <w:color w:val="auto"/>
          <w:lang w:val="en-US" w:eastAsia="zh-CN"/>
        </w:rPr>
        <w:t>申报</w:t>
      </w:r>
      <w:r>
        <w:rPr>
          <w:rFonts w:hint="default" w:ascii="Times New Roman" w:hAnsi="Times New Roman" w:cs="Times New Roman"/>
          <w:color w:val="auto"/>
        </w:rPr>
        <w:t>债权</w:t>
      </w:r>
      <w:r>
        <w:rPr>
          <w:rFonts w:hint="eastAsia" w:ascii="Times New Roman" w:hAnsi="Times New Roman" w:cs="Times New Roman"/>
          <w:color w:val="auto"/>
          <w:lang w:eastAsia="zh-CN"/>
        </w:rPr>
        <w:t>。</w:t>
      </w:r>
    </w:p>
    <w:p w14:paraId="7AE7921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eastAsiaTheme="minorEastAsia"/>
          <w:color w:val="auto"/>
          <w:lang w:eastAsia="zh-CN"/>
        </w:rPr>
      </w:pPr>
      <w:r>
        <w:rPr>
          <w:rFonts w:hint="eastAsia" w:ascii="Times New Roman" w:hAnsi="Times New Roman" w:cs="Times New Roman"/>
          <w:color w:val="auto"/>
          <w:lang w:val="en-US" w:eastAsia="zh-CN"/>
        </w:rPr>
        <w:t>第五，</w:t>
      </w:r>
      <w:r>
        <w:rPr>
          <w:rFonts w:hint="default" w:ascii="Times New Roman" w:hAnsi="Times New Roman" w:cs="Times New Roman"/>
          <w:color w:val="auto"/>
        </w:rPr>
        <w:t>债务人的保证人或者其他连带债务人已经代替债务人</w:t>
      </w:r>
      <w:r>
        <w:rPr>
          <w:rFonts w:hint="eastAsia" w:ascii="Times New Roman" w:hAnsi="Times New Roman" w:cs="Times New Roman"/>
          <w:color w:val="auto"/>
          <w:lang w:val="en-US" w:eastAsia="zh-CN"/>
        </w:rPr>
        <w:t>清偿</w:t>
      </w:r>
      <w:r>
        <w:rPr>
          <w:rFonts w:hint="default" w:ascii="Times New Roman" w:hAnsi="Times New Roman" w:cs="Times New Roman"/>
          <w:color w:val="auto"/>
        </w:rPr>
        <w:t>债务的，以其对债务人的求偿权申报债权。债务人的保证人或者其他连带债务人</w:t>
      </w:r>
      <w:r>
        <w:rPr>
          <w:rFonts w:hint="eastAsia" w:ascii="Times New Roman" w:hAnsi="Times New Roman" w:cs="Times New Roman"/>
          <w:color w:val="auto"/>
          <w:lang w:val="en-US" w:eastAsia="zh-CN"/>
        </w:rPr>
        <w:t>尚</w:t>
      </w:r>
      <w:r>
        <w:rPr>
          <w:rFonts w:hint="default" w:ascii="Times New Roman" w:hAnsi="Times New Roman" w:cs="Times New Roman"/>
          <w:color w:val="auto"/>
        </w:rPr>
        <w:t>未代替债务人清偿债务的，以其对债务人的将来求偿权申报债权</w:t>
      </w:r>
      <w:r>
        <w:rPr>
          <w:rFonts w:hint="eastAsia" w:ascii="Times New Roman" w:hAnsi="Times New Roman" w:cs="Times New Roman"/>
          <w:color w:val="auto"/>
          <w:lang w:eastAsia="zh-CN"/>
        </w:rPr>
        <w:t>。</w:t>
      </w:r>
      <w:r>
        <w:rPr>
          <w:rFonts w:hint="default" w:ascii="Times New Roman" w:hAnsi="Times New Roman" w:cs="Times New Roman"/>
          <w:color w:val="auto"/>
        </w:rPr>
        <w:t>但债权人已经申报全部债权的除外</w:t>
      </w:r>
      <w:r>
        <w:rPr>
          <w:rFonts w:hint="eastAsia" w:ascii="Times New Roman" w:hAnsi="Times New Roman" w:cs="Times New Roman"/>
          <w:color w:val="auto"/>
          <w:lang w:eastAsia="zh-CN"/>
        </w:rPr>
        <w:t>。</w:t>
      </w:r>
    </w:p>
    <w:p w14:paraId="573AE85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第六，已经依法</w:t>
      </w:r>
      <w:r>
        <w:rPr>
          <w:rFonts w:hint="default" w:ascii="Times New Roman" w:hAnsi="Times New Roman" w:cs="Times New Roman"/>
          <w:color w:val="auto"/>
        </w:rPr>
        <w:t>解除合同的，对方当事人以因合同解除所产生的损害赔偿请求权</w:t>
      </w:r>
      <w:r>
        <w:rPr>
          <w:rFonts w:hint="eastAsia" w:ascii="Times New Roman" w:hAnsi="Times New Roman" w:cs="Times New Roman"/>
          <w:color w:val="auto"/>
          <w:lang w:val="en-US" w:eastAsia="zh-CN"/>
        </w:rPr>
        <w:t>申报债权。</w:t>
      </w:r>
    </w:p>
    <w:p w14:paraId="54FE928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第七，法律规定其他可以申报的债权，债权人应当予以申报。</w:t>
      </w:r>
    </w:p>
    <w:p w14:paraId="330F511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四</w:t>
      </w:r>
      <w:r>
        <w:rPr>
          <w:rFonts w:hint="default" w:ascii="Times New Roman" w:hAnsi="Times New Roman" w:cs="Times New Roman"/>
          <w:b/>
          <w:bCs/>
          <w:color w:val="auto"/>
          <w:lang w:val="en-US" w:eastAsia="zh-CN"/>
        </w:rPr>
        <w:t>、</w:t>
      </w:r>
      <w:r>
        <w:rPr>
          <w:rFonts w:hint="eastAsia" w:ascii="Times New Roman" w:hAnsi="Times New Roman" w:cs="Times New Roman"/>
          <w:b/>
          <w:bCs/>
          <w:color w:val="auto"/>
          <w:lang w:val="en-US" w:eastAsia="zh-CN"/>
        </w:rPr>
        <w:t>债权申报需提交的材料</w:t>
      </w:r>
    </w:p>
    <w:p w14:paraId="6FB1B19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b w:val="0"/>
          <w:bCs w:val="0"/>
          <w:color w:val="auto"/>
          <w:lang w:val="en-US" w:eastAsia="zh-CN"/>
        </w:rPr>
      </w:pPr>
      <w:r>
        <w:rPr>
          <w:rFonts w:hint="default" w:ascii="Times New Roman" w:hAnsi="Times New Roman" w:cs="Times New Roman"/>
          <w:b w:val="0"/>
          <w:bCs w:val="0"/>
          <w:color w:val="auto"/>
          <w:lang w:val="en-US" w:eastAsia="zh-CN"/>
        </w:rPr>
        <w:t>债权人申报债权时必须提交以下材料，并按要求填写债权申报材料目录列清明细。现场申报债权的债权人，申报时须携带全部材料的原件供核对并提供复印件供留存。特别提示：如</w:t>
      </w:r>
      <w:r>
        <w:rPr>
          <w:rFonts w:hint="eastAsia" w:ascii="Times New Roman" w:hAnsi="Times New Roman" w:cs="Times New Roman"/>
          <w:b w:val="0"/>
          <w:bCs w:val="0"/>
          <w:color w:val="auto"/>
          <w:lang w:val="en-US" w:eastAsia="zh-CN"/>
        </w:rPr>
        <w:t>破产管理人</w:t>
      </w:r>
      <w:r>
        <w:rPr>
          <w:rFonts w:hint="default" w:ascii="Times New Roman" w:hAnsi="Times New Roman" w:cs="Times New Roman"/>
          <w:b w:val="0"/>
          <w:bCs w:val="0"/>
          <w:color w:val="auto"/>
          <w:lang w:val="en-US" w:eastAsia="zh-CN"/>
        </w:rPr>
        <w:t>认为提交材料不完整，可要求债权人补充；若债权人拒绝或无法提交的，对应申报部分可能因事实不清无法确认。</w:t>
      </w:r>
      <w:r>
        <w:rPr>
          <w:rFonts w:hint="eastAsia" w:ascii="Times New Roman" w:hAnsi="Times New Roman" w:cs="Times New Roman"/>
          <w:b w:val="0"/>
          <w:bCs w:val="0"/>
          <w:color w:val="auto"/>
          <w:lang w:val="en-US" w:eastAsia="zh-CN"/>
        </w:rPr>
        <w:t>具体而言</w:t>
      </w:r>
      <w:r>
        <w:rPr>
          <w:rFonts w:hint="default" w:ascii="Times New Roman" w:hAnsi="Times New Roman" w:cs="Times New Roman"/>
          <w:b w:val="0"/>
          <w:bCs w:val="0"/>
          <w:color w:val="auto"/>
          <w:lang w:val="en-US" w:eastAsia="zh-CN"/>
        </w:rPr>
        <w:t>，</w:t>
      </w:r>
      <w:r>
        <w:rPr>
          <w:rFonts w:hint="eastAsia" w:ascii="Times New Roman" w:hAnsi="Times New Roman" w:cs="Times New Roman"/>
          <w:b w:val="0"/>
          <w:bCs w:val="0"/>
          <w:color w:val="auto"/>
          <w:lang w:val="en-US" w:eastAsia="zh-CN"/>
        </w:rPr>
        <w:t>申报</w:t>
      </w:r>
      <w:r>
        <w:rPr>
          <w:rFonts w:hint="default" w:ascii="Times New Roman" w:hAnsi="Times New Roman" w:cs="Times New Roman"/>
          <w:b w:val="0"/>
          <w:bCs w:val="0"/>
          <w:color w:val="auto"/>
          <w:lang w:val="en-US" w:eastAsia="zh-CN"/>
        </w:rPr>
        <w:t>债权应提供如下材料</w:t>
      </w:r>
      <w:r>
        <w:rPr>
          <w:rFonts w:hint="eastAsia" w:ascii="Times New Roman" w:hAnsi="Times New Roman" w:cs="Times New Roman"/>
          <w:b w:val="0"/>
          <w:bCs w:val="0"/>
          <w:color w:val="auto"/>
          <w:lang w:val="en-US" w:eastAsia="zh-CN"/>
        </w:rPr>
        <w:t>：</w:t>
      </w:r>
    </w:p>
    <w:p w14:paraId="71F804B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（一）</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登记表》及其附件（一式两份）</w:t>
      </w:r>
    </w:p>
    <w:p w14:paraId="66BBD7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请各位债权人如实填写</w:t>
      </w:r>
      <w:r>
        <w:rPr>
          <w:rFonts w:hint="default" w:ascii="Times New Roman" w:hAnsi="Times New Roman" w:cs="Times New Roman"/>
          <w:b/>
          <w:bCs/>
          <w:color w:val="auto"/>
          <w:lang w:val="en-US" w:eastAsia="zh-CN"/>
        </w:rPr>
        <w:t>《债权</w:t>
      </w:r>
      <w:r>
        <w:rPr>
          <w:rFonts w:hint="eastAsia" w:ascii="Times New Roman" w:hAnsi="Times New Roman" w:cs="Times New Roman"/>
          <w:b/>
          <w:bCs/>
          <w:color w:val="auto"/>
          <w:lang w:val="en-US" w:eastAsia="zh-CN"/>
        </w:rPr>
        <w:t>申报</w:t>
      </w:r>
      <w:r>
        <w:rPr>
          <w:rFonts w:hint="default" w:ascii="Times New Roman" w:hAnsi="Times New Roman" w:cs="Times New Roman"/>
          <w:b/>
          <w:bCs/>
          <w:color w:val="auto"/>
          <w:lang w:val="en-US" w:eastAsia="zh-CN"/>
        </w:rPr>
        <w:t>登记表》</w:t>
      </w:r>
      <w:r>
        <w:rPr>
          <w:rFonts w:hint="default" w:ascii="Times New Roman" w:hAnsi="Times New Roman" w:cs="Times New Roman"/>
          <w:color w:val="auto"/>
          <w:lang w:val="en-US" w:eastAsia="zh-CN"/>
        </w:rPr>
        <w:t>及其后附的</w:t>
      </w:r>
      <w:r>
        <w:rPr>
          <w:rFonts w:hint="default" w:ascii="Times New Roman" w:hAnsi="Times New Roman" w:cs="Times New Roman"/>
          <w:b/>
          <w:bCs/>
          <w:color w:val="auto"/>
          <w:lang w:val="en-US" w:eastAsia="zh-CN"/>
        </w:rPr>
        <w:t>债权申报详情表</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关于债权金额计算过程的说明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关于债务履约情况的说明</w:t>
      </w:r>
      <w:r>
        <w:rPr>
          <w:rFonts w:hint="default" w:ascii="Times New Roman" w:hAnsi="Times New Roman" w:cs="Times New Roman"/>
          <w:color w:val="auto"/>
          <w:lang w:val="en-US" w:eastAsia="zh-CN"/>
        </w:rPr>
        <w:t>、</w:t>
      </w:r>
      <w:r>
        <w:rPr>
          <w:rFonts w:hint="default" w:ascii="Times New Roman" w:hAnsi="Times New Roman" w:cs="Times New Roman"/>
          <w:b/>
          <w:bCs/>
          <w:color w:val="auto"/>
          <w:lang w:val="en-US" w:eastAsia="zh-CN"/>
        </w:rPr>
        <w:t>债权债务抵销申请</w:t>
      </w:r>
      <w:r>
        <w:rPr>
          <w:rFonts w:hint="default" w:ascii="Times New Roman" w:hAnsi="Times New Roman" w:cs="Times New Roman"/>
          <w:color w:val="auto"/>
          <w:lang w:val="en-US" w:eastAsia="zh-CN"/>
        </w:rPr>
        <w:t>（如主张抵销）。</w:t>
      </w:r>
    </w:p>
    <w:p w14:paraId="2BEB133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登记表》。请填写债权人的基本信息，包括名称（姓名）、证件号码、</w:t>
      </w:r>
      <w:r>
        <w:rPr>
          <w:rFonts w:hint="eastAsia" w:ascii="Times New Roman" w:hAnsi="Times New Roman" w:cs="Times New Roman"/>
          <w:color w:val="auto"/>
          <w:lang w:val="en-US" w:eastAsia="zh-CN"/>
        </w:rPr>
        <w:t>通讯地址</w:t>
      </w:r>
      <w:r>
        <w:rPr>
          <w:rFonts w:hint="default" w:ascii="Times New Roman" w:hAnsi="Times New Roman" w:cs="Times New Roman"/>
          <w:color w:val="auto"/>
          <w:lang w:val="en-US" w:eastAsia="zh-CN"/>
        </w:rPr>
        <w:t>、法定代表人（负责人）信息、主要委托代理人信息</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申报债权的总金额，总金额为后附</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债权申报详情表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的金额汇总，并需注明其中申报性质为有财产担保债权（</w:t>
      </w:r>
      <w:r>
        <w:rPr>
          <w:rFonts w:hint="eastAsia" w:ascii="Times New Roman" w:hAnsi="Times New Roman" w:cs="Times New Roman"/>
          <w:color w:val="auto"/>
          <w:lang w:val="en-US" w:eastAsia="zh-CN"/>
        </w:rPr>
        <w:t>华灿置业</w:t>
      </w:r>
      <w:r>
        <w:rPr>
          <w:rFonts w:hint="default" w:ascii="Times New Roman" w:hAnsi="Times New Roman" w:cs="Times New Roman"/>
          <w:color w:val="auto"/>
          <w:lang w:val="en-US" w:eastAsia="zh-CN"/>
        </w:rPr>
        <w:t>以其自身的特定财产提供担保的债权）的总金额</w:t>
      </w:r>
      <w:r>
        <w:rPr>
          <w:rFonts w:hint="eastAsia" w:ascii="Times New Roman" w:hAnsi="Times New Roman" w:cs="Times New Roman"/>
          <w:color w:val="auto"/>
          <w:lang w:val="en-US" w:eastAsia="zh-CN"/>
        </w:rPr>
        <w:t>。破产清算</w:t>
      </w:r>
      <w:r>
        <w:rPr>
          <w:rFonts w:hint="default" w:ascii="Times New Roman" w:hAnsi="Times New Roman" w:cs="Times New Roman"/>
          <w:color w:val="auto"/>
          <w:lang w:val="en-US" w:eastAsia="zh-CN"/>
        </w:rPr>
        <w:t>受理前债权人对债务人是否负有债务及金额、是否主张抵销及申请抵销的金额。</w:t>
      </w:r>
    </w:p>
    <w:p w14:paraId="37564357">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2.债权申报详情表。请按基础业务合同（发生债权债务关系的基础合同，非担保合同）区分每笔债权，填写每笔债权对应的合同名称、合</w:t>
      </w:r>
      <w:r>
        <w:rPr>
          <w:rFonts w:hint="eastAsia" w:ascii="Times New Roman" w:hAnsi="Times New Roman" w:cs="Times New Roman"/>
          <w:color w:val="auto"/>
          <w:lang w:val="en-US" w:eastAsia="zh-CN"/>
        </w:rPr>
        <w:t>同</w:t>
      </w:r>
      <w:r>
        <w:rPr>
          <w:rFonts w:hint="default" w:ascii="Times New Roman" w:hAnsi="Times New Roman" w:cs="Times New Roman"/>
          <w:color w:val="auto"/>
          <w:lang w:val="en-US" w:eastAsia="zh-CN"/>
        </w:rPr>
        <w:t>相对方、合同期限、债权人主张债权的情况、担保情况、诉讼情况、债权金额及债权形成的基本情况等事项。</w:t>
      </w:r>
    </w:p>
    <w:p w14:paraId="220BA05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在</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债权形成基本情况</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一栏中可以详细说明：债权的形成原因、时间及经过（包括但不限于发生、履行、变更、转移、抵销、清偿或部分清偿、担保、诉讼、保全、执行等）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债权金额及其构成事项（包括但不限于债权原始数额、余额、利息、罚息、违约金、案件受理费、保全费、执行费等）等全部情况。各位债权人如认为该表填写空间不够的，可后附续表。</w:t>
      </w:r>
    </w:p>
    <w:p w14:paraId="7C050EB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关于债权金额计算过程的说明。债权人填写债权申报详情表时，若主张利息或违约金，涉及金额计算的，需就每笔债权（每个债权申报详情表）的计算过程进行书面说明并提供利息、违约金计算表，说明利息、违约金的计算依据</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应当明确指出合同约定利息或违约金</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具体条款或法律文书</w:t>
      </w:r>
      <w:r>
        <w:rPr>
          <w:rFonts w:hint="eastAsia" w:ascii="Times New Roman" w:hAnsi="Times New Roman" w:cs="Times New Roman"/>
          <w:color w:val="auto"/>
          <w:lang w:val="en-US" w:eastAsia="zh-CN"/>
        </w:rPr>
        <w:t>涉及的</w:t>
      </w:r>
      <w:r>
        <w:rPr>
          <w:rFonts w:hint="default" w:ascii="Times New Roman" w:hAnsi="Times New Roman" w:cs="Times New Roman"/>
          <w:color w:val="auto"/>
          <w:lang w:val="en-US" w:eastAsia="zh-CN"/>
        </w:rPr>
        <w:t>具体判项</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、计算方法和计算结果，同时将正常利息与罚息、复利、迟延利息、滞纳金、违约金等分开计算。网络申报时上传与计算方法相符的测算过程电子表格Excel</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否则，对应申报部分可能因事实不清无法确认。</w:t>
      </w:r>
    </w:p>
    <w:p w14:paraId="1F45A7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4.关于债务履约情况的说明。</w:t>
      </w:r>
      <w:r>
        <w:rPr>
          <w:rFonts w:hint="default" w:ascii="Times New Roman" w:hAnsi="Times New Roman" w:cs="Times New Roman"/>
          <w:b/>
          <w:bCs/>
          <w:color w:val="auto"/>
          <w:lang w:val="en-US" w:eastAsia="zh-CN"/>
        </w:rPr>
        <w:t>考虑到本次债权申报期限紧张，本项说明可在债权申报后补充提交</w:t>
      </w:r>
      <w:r>
        <w:rPr>
          <w:rFonts w:hint="eastAsia" w:ascii="Times New Roman" w:hAnsi="Times New Roman" w:cs="Times New Roman"/>
          <w:b/>
          <w:bCs/>
          <w:color w:val="auto"/>
          <w:lang w:val="en-US" w:eastAsia="zh-CN"/>
        </w:rPr>
        <w:t>。</w:t>
      </w:r>
      <w:r>
        <w:rPr>
          <w:rFonts w:hint="default" w:ascii="Times New Roman" w:hAnsi="Times New Roman" w:cs="Times New Roman"/>
          <w:color w:val="auto"/>
          <w:lang w:val="en-US" w:eastAsia="zh-CN"/>
        </w:rPr>
        <w:t>不提交本项说明不影响债权申报工作的完成，但在最终确认债权前仍未提交的，对应债权可能因事实不清无法确认。</w:t>
      </w:r>
    </w:p>
    <w:p w14:paraId="699DC4F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5.债权债务抵销申请。债权人填写债权申报表时，若涉及受理前对</w:t>
      </w:r>
      <w:r>
        <w:rPr>
          <w:rFonts w:hint="eastAsia"/>
          <w:color w:val="auto"/>
          <w:lang w:val="en-US" w:eastAsia="zh-CN"/>
        </w:rPr>
        <w:t>华灿置业</w:t>
      </w:r>
      <w:r>
        <w:rPr>
          <w:rFonts w:hint="default" w:ascii="Times New Roman" w:hAnsi="Times New Roman" w:cs="Times New Roman"/>
          <w:color w:val="auto"/>
          <w:lang w:val="en-US" w:eastAsia="zh-CN"/>
        </w:rPr>
        <w:t>负有债务并主张抵销的，则需由债权人出具书面的抵销申请，对负有债务的情况进行说明，并提供与主张抵销金额对应的证据材料。</w:t>
      </w:r>
    </w:p>
    <w:p w14:paraId="36FAC18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（二）证明债权人主体资格的材料</w:t>
      </w:r>
    </w:p>
    <w:p w14:paraId="714C1BE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人主体资格材料。债权人如系自然人（包括个体工商户等）的，需提交有效的身份证、港澳特区身份证件或者港澳居民居住证、港澳居民来往内地通行证、台湾地区身份证件或者台湾居民居住证、台湾居民来往大陆通行证等证件等个人证件的复印件、个体工商户营业执照（如为）复印件。</w:t>
      </w:r>
    </w:p>
    <w:p w14:paraId="59D46EA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债权人如系机构（法人或非法人组织）的，应提交有效的营业执照等企业、事业和社团法人登记证书复印件、法定代表人或负责人身份证明原件；如系金融机构的，还需提交有效的金融许可证等特许经营金融业务的资格证明复印件；如发生单位名称变更（与营业执照、合同签订名称不符）或法定代表人变更（与营业执照不符）的，需提交有效的变更证明文件复印件（特别提示：注销后重新注册的机构债权人不视为名称变更，机构债权人应提交两家机构之间债权转让或承继的相关证明材料复印件）。</w:t>
      </w:r>
    </w:p>
    <w:p w14:paraId="0CAE5763">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人委托代理材料。若非由债权人法定代表人本人（机构债权）或自然人本人（个人债权），而由委托代理人进行申报的，应提交授权委托书（后附模板）、受托代理人有效身份证等个人证件复印件及相关身份证明文件。其中，委托代理人是律师的，需提交律师执业证复印件和律师事务所的指派函原件；委托代理人是债权人工作人员的，需提交工作人员身份证明原件或劳动合同复印件等其他能证明与债权人存在合法劳动人事关系的材料；委托代理人是基层法律服务工作者、债权人近亲属、债权人所在社区/单位推荐的公民、有关社会团体推荐的公民的，请另附盖章情况说明并按《中华人民共和国民事诉讼法》及相关司法解释的规定提供身份证明材料。</w:t>
      </w:r>
    </w:p>
    <w:p w14:paraId="78AD5DE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3.债权申报人地址及联系方式确认书。债权人需如实提供确切的送达地址，包括联系地址、邮政编码、收件人、联系电话、电子邮箱等。</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联系电话</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将用于接收债权人会议通知及日常联系之用，为便于接收12368等平台发送的短信，请预留单个中国大陆（+86）移动电话号码，并务必保持通讯畅通，避免因错过相关信息导致无法及时行使权利。预留多个号码的，管理人将以第一个号码为准；预留号码与债权人网络填报不一致的，将以《债权申报人地址及联系方式确认书》为准。</w:t>
      </w:r>
    </w:p>
    <w:p w14:paraId="4759FCE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（三）证明债权发生事实及其数额的材料</w:t>
      </w:r>
    </w:p>
    <w:p w14:paraId="07A9690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1.合同、协议或备忘录等证明存在债权债务关系的材料，包括但不限于借/贷款合同，购/销货合同等。</w:t>
      </w:r>
    </w:p>
    <w:p w14:paraId="67CE2F7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2.票据、账单或凭证等证明债权债务关系履行情况的材料，包括但不限于发货/提货单、物流单、汇款单、对账单、放款/还款凭证、银行流水等。</w:t>
      </w:r>
    </w:p>
    <w:p w14:paraId="1492C03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3.证明债权债务关系变更情况的材料，包括但不限于债权转移、债务承担、合同转让、债务重组、抵销、清偿或部分清偿等行为涉及的原始材料。</w:t>
      </w:r>
    </w:p>
    <w:p w14:paraId="3D9248B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4.证明债权人主张债权以及债权诉讼/执行时效中止、中断、延长的材料，包括但不限于催款、催收通知等。</w:t>
      </w:r>
    </w:p>
    <w:p w14:paraId="2B21F61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债权如涉及担保的，还需提交保证合同、抵/质押合同、股东会/董事会决议、担保物清单及相关的抵/质押登记证明（包括但不限于他项权利证）等担保原始材料。如担保物的物权凭证（如不动产权证、机动车登记证等）由债权人一并保管的，应在申报债权时将原件单独交还至管理人处。</w:t>
      </w:r>
    </w:p>
    <w:p w14:paraId="3DBFEE7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债权如涉及诉讼、仲裁、公证、调解、保全、执行等，则需提交相应材料，包括但不限于已经判决正在执行或正在进行中案件的起诉状、仲裁申请书、诉讼保全申请书、保全裁定书、生效判决书及生效证明、调解书、裁决书、执行申请书、法院执行裁定书、法院执行案件通知书等。法院出具的生效法律文书应加盖法律文书生效章，案件如经两级法院审理，一二审法院出具的法律文书均需提供；仲裁机关出具的生效法律文书应附上仲裁机构关于法律文书已经生效的函件或双方当事人已签收的送达回执以及证据材料。债权人如已申请法院强制执行的，还须提交执行立案通知书、执行裁定书等相关文件，并向管理人说明是否已领取全部或部分执行款。</w:t>
      </w:r>
    </w:p>
    <w:p w14:paraId="6D34F54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7.证明债权发生等相关事实及其金额的其他材料。</w:t>
      </w:r>
    </w:p>
    <w:p w14:paraId="1A0AE15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以上材料，请按照证据材料的形成时间先后排序。</w:t>
      </w:r>
    </w:p>
    <w:p w14:paraId="5084E2FD">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default" w:ascii="Times New Roman" w:hAnsi="Times New Roman" w:cs="Times New Roman"/>
          <w:b/>
          <w:bCs/>
          <w:color w:val="auto"/>
          <w:lang w:val="en-US" w:eastAsia="zh-CN"/>
        </w:rPr>
        <w:t>（四）其他材料</w:t>
      </w:r>
    </w:p>
    <w:p w14:paraId="3013846B">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债权如涉及公司信用类债券（公司债券、企业债券、非金融企业债务融资工具）的，需提交与持有债券及数量相关的证明文件，包括但不限于证券账户卡复印件（如有）；以重整申请受理日或此后某日为查询日期的、由债券登记机构出具的持仓证明或其他同等效力文件等（为避免纸张浪费，债券持有人无需提供债券募集说明书及发行文件）。</w:t>
      </w:r>
    </w:p>
    <w:p w14:paraId="44AB08A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债权如涉及建设工程的，需提交与招投标、施工、竣工、结算/决算、备案相关的证明文件，包括但不限于中标通知书、资质等级许可、建设工程施工合同、开工报告、竣工验收报告、记录或竣工验收备案表、审计报告、造价咨询/鉴定意见等，并说明是否主张建设工程价款优先受偿权及依据。</w:t>
      </w:r>
    </w:p>
    <w:p w14:paraId="64CAD7F2">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债权人如为资管产品的（投资基金、资产管理计划、信托计划、银行理财计划/产品等），需要提交资管产品申报相关材料，包括但不限于资管产品在相应登记机构（中国证券投资基金业协会、中国信托登记有限责任公司、全国银行业理财信息登记系统）的备案/登记文件</w:t>
      </w:r>
      <w:bookmarkStart w:id="0" w:name="_Hlk79054501"/>
      <w:r>
        <w:rPr>
          <w:rFonts w:hint="default" w:ascii="Times New Roman" w:hAnsi="Times New Roman" w:cs="Times New Roman"/>
          <w:color w:val="auto"/>
          <w:lang w:val="en-US" w:eastAsia="zh-CN"/>
        </w:rPr>
        <w:t>或其他同等效力文件</w:t>
      </w:r>
      <w:bookmarkEnd w:id="0"/>
      <w:r>
        <w:rPr>
          <w:rFonts w:hint="default" w:ascii="Times New Roman" w:hAnsi="Times New Roman" w:cs="Times New Roman"/>
          <w:color w:val="auto"/>
          <w:lang w:val="en-US" w:eastAsia="zh-CN"/>
        </w:rPr>
        <w:t>；资管合同或其他能够证明资管产品已经取得委托人授权参与本次债权申报的材料；关于投资者人数、名单及金额的说明（投资人名单需线上提交电子表格Excel）；关于是否对投资者提供兜底承诺的说明等，并建议以管理人机构名称+（产品名称）的形式登记债权人名称。</w:t>
      </w:r>
    </w:p>
    <w:p w14:paraId="086CF5A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4.债权人认为需要提交的其他材料。</w:t>
      </w:r>
    </w:p>
    <w:p w14:paraId="1CCE12F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注</w:t>
      </w:r>
      <w:r>
        <w:rPr>
          <w:rFonts w:hint="eastAsia" w:ascii="Times New Roman" w:hAnsi="Times New Roman" w:cs="Times New Roman"/>
          <w:b/>
          <w:bCs/>
          <w:color w:val="auto"/>
          <w:lang w:val="en-US" w:eastAsia="zh-CN"/>
        </w:rPr>
        <w:t>：</w:t>
      </w:r>
      <w:r>
        <w:rPr>
          <w:rFonts w:hint="default" w:ascii="Times New Roman" w:hAnsi="Times New Roman" w:cs="Times New Roman"/>
          <w:b/>
          <w:bCs/>
          <w:color w:val="auto"/>
          <w:lang w:val="en-US" w:eastAsia="zh-CN"/>
        </w:rPr>
        <w:t>申报人应当以与证据原</w:t>
      </w:r>
      <w:r>
        <w:rPr>
          <w:rFonts w:hint="eastAsia" w:ascii="Times New Roman" w:hAnsi="Times New Roman" w:cs="Times New Roman"/>
          <w:b/>
          <w:bCs/>
          <w:color w:val="auto"/>
          <w:lang w:val="en-US" w:eastAsia="zh-CN"/>
        </w:rPr>
        <w:t>件核对</w:t>
      </w:r>
      <w:r>
        <w:rPr>
          <w:rFonts w:hint="default" w:ascii="Times New Roman" w:hAnsi="Times New Roman" w:cs="Times New Roman"/>
          <w:b/>
          <w:bCs/>
          <w:color w:val="auto"/>
          <w:lang w:val="en-US" w:eastAsia="zh-CN"/>
        </w:rPr>
        <w:t>无误的复印件申报</w:t>
      </w:r>
      <w:r>
        <w:rPr>
          <w:rFonts w:hint="eastAsia" w:ascii="Times New Roman" w:hAnsi="Times New Roman" w:cs="Times New Roman"/>
          <w:b/>
          <w:bCs/>
          <w:color w:val="auto"/>
          <w:lang w:val="en-US" w:eastAsia="zh-CN"/>
        </w:rPr>
        <w:t>。</w:t>
      </w:r>
    </w:p>
    <w:p w14:paraId="78571D65">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default"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五</w:t>
      </w:r>
      <w:r>
        <w:rPr>
          <w:rFonts w:hint="default" w:ascii="Times New Roman" w:hAnsi="Times New Roman" w:cs="Times New Roman"/>
          <w:b/>
          <w:bCs/>
          <w:color w:val="auto"/>
          <w:lang w:val="en-US" w:eastAsia="zh-CN"/>
        </w:rPr>
        <w:t>、填写表格</w:t>
      </w:r>
      <w:r>
        <w:rPr>
          <w:rFonts w:hint="eastAsia" w:ascii="Times New Roman" w:hAnsi="Times New Roman" w:cs="Times New Roman"/>
          <w:b/>
          <w:bCs/>
          <w:color w:val="auto"/>
          <w:lang w:val="en-US" w:eastAsia="zh-CN"/>
        </w:rPr>
        <w:t>需注意</w:t>
      </w:r>
      <w:r>
        <w:rPr>
          <w:rFonts w:hint="default" w:ascii="Times New Roman" w:hAnsi="Times New Roman" w:cs="Times New Roman"/>
          <w:b/>
          <w:bCs/>
          <w:color w:val="auto"/>
          <w:lang w:val="en-US" w:eastAsia="zh-CN"/>
        </w:rPr>
        <w:t>的问题</w:t>
      </w:r>
    </w:p>
    <w:p w14:paraId="7E596D68">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w:t>
      </w:r>
      <w:r>
        <w:rPr>
          <w:rFonts w:hint="eastAsia" w:ascii="Times New Roman" w:hAnsi="Times New Roman" w:cs="Times New Roman"/>
          <w:color w:val="auto"/>
          <w:lang w:val="en-US" w:eastAsia="zh-CN"/>
        </w:rPr>
        <w:t>.</w:t>
      </w:r>
      <w:r>
        <w:rPr>
          <w:rFonts w:hint="default" w:ascii="Times New Roman" w:hAnsi="Times New Roman" w:cs="Times New Roman"/>
          <w:color w:val="auto"/>
          <w:lang w:val="en-US" w:eastAsia="zh-CN"/>
        </w:rPr>
        <w:t>同一家</w:t>
      </w:r>
      <w:r>
        <w:rPr>
          <w:rFonts w:hint="eastAsia" w:ascii="Times New Roman" w:hAnsi="Times New Roman" w:cs="Times New Roman"/>
          <w:color w:val="auto"/>
          <w:lang w:val="en-US" w:eastAsia="zh-CN"/>
        </w:rPr>
        <w:t>债权</w:t>
      </w:r>
      <w:r>
        <w:rPr>
          <w:rFonts w:hint="default" w:ascii="Times New Roman" w:hAnsi="Times New Roman" w:cs="Times New Roman"/>
          <w:color w:val="auto"/>
          <w:lang w:val="en-US" w:eastAsia="zh-CN"/>
        </w:rPr>
        <w:t>人只</w:t>
      </w:r>
      <w:r>
        <w:rPr>
          <w:rFonts w:hint="eastAsia" w:ascii="Times New Roman" w:hAnsi="Times New Roman" w:cs="Times New Roman"/>
          <w:color w:val="auto"/>
          <w:lang w:val="en-US" w:eastAsia="zh-CN"/>
        </w:rPr>
        <w:t>需</w:t>
      </w:r>
      <w:r>
        <w:rPr>
          <w:rFonts w:hint="default" w:ascii="Times New Roman" w:hAnsi="Times New Roman" w:cs="Times New Roman"/>
          <w:color w:val="auto"/>
          <w:lang w:val="en-US" w:eastAsia="zh-CN"/>
        </w:rPr>
        <w:t>申报一个</w:t>
      </w:r>
      <w:r>
        <w:rPr>
          <w:rFonts w:hint="eastAsia" w:ascii="Times New Roman" w:hAnsi="Times New Roman" w:cs="Times New Roman"/>
          <w:color w:val="auto"/>
          <w:lang w:val="en-US" w:eastAsia="zh-CN"/>
        </w:rPr>
        <w:t>债</w:t>
      </w:r>
      <w:r>
        <w:rPr>
          <w:rFonts w:hint="default" w:ascii="Times New Roman" w:hAnsi="Times New Roman" w:cs="Times New Roman"/>
          <w:color w:val="auto"/>
          <w:lang w:val="en-US" w:eastAsia="zh-CN"/>
        </w:rPr>
        <w:t>权总额</w:t>
      </w:r>
      <w:r>
        <w:rPr>
          <w:rFonts w:hint="eastAsia" w:ascii="Times New Roman" w:hAnsi="Times New Roman" w:cs="Times New Roman"/>
          <w:color w:val="auto"/>
          <w:lang w:val="en-US" w:eastAsia="zh-CN"/>
        </w:rPr>
        <w:t>。</w:t>
      </w:r>
    </w:p>
    <w:p w14:paraId="7CF4EDB4">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w:t>
      </w:r>
      <w:r>
        <w:rPr>
          <w:rFonts w:hint="eastAsia" w:ascii="Times New Roman" w:hAnsi="Times New Roman" w:cs="Times New Roman"/>
          <w:color w:val="auto"/>
          <w:lang w:val="en-US" w:eastAsia="zh-CN"/>
        </w:rPr>
        <w:t>.申报</w:t>
      </w:r>
      <w:r>
        <w:rPr>
          <w:rFonts w:hint="default" w:ascii="Times New Roman" w:hAnsi="Times New Roman" w:cs="Times New Roman"/>
          <w:color w:val="auto"/>
          <w:lang w:val="en-US" w:eastAsia="zh-CN"/>
        </w:rPr>
        <w:t>债权的金额必须确定</w:t>
      </w:r>
      <w:r>
        <w:rPr>
          <w:rFonts w:hint="eastAsia" w:ascii="Times New Roman" w:hAnsi="Times New Roman" w:cs="Times New Roman"/>
          <w:color w:val="auto"/>
          <w:lang w:val="en-US" w:eastAsia="zh-CN"/>
        </w:rPr>
        <w:t>。</w:t>
      </w:r>
    </w:p>
    <w:p w14:paraId="387CE55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default" w:ascii="Times New Roman" w:hAnsi="Times New Roman" w:cs="Times New Roman"/>
          <w:b/>
          <w:bCs/>
          <w:color w:val="auto"/>
          <w:lang w:val="en-US" w:eastAsia="zh-CN"/>
        </w:rPr>
        <w:t>3.计算</w:t>
      </w:r>
      <w:r>
        <w:rPr>
          <w:rFonts w:hint="eastAsia" w:ascii="Times New Roman" w:hAnsi="Times New Roman" w:cs="Times New Roman"/>
          <w:b/>
          <w:bCs/>
          <w:color w:val="auto"/>
          <w:lang w:val="en-US" w:eastAsia="zh-CN"/>
        </w:rPr>
        <w:t>利息</w:t>
      </w:r>
      <w:r>
        <w:rPr>
          <w:rFonts w:hint="default" w:ascii="Times New Roman" w:hAnsi="Times New Roman" w:cs="Times New Roman"/>
          <w:b/>
          <w:bCs/>
          <w:color w:val="auto"/>
          <w:lang w:val="en-US" w:eastAsia="zh-CN"/>
        </w:rPr>
        <w:t>至</w:t>
      </w:r>
      <w:r>
        <w:rPr>
          <w:rFonts w:hint="eastAsia" w:ascii="Times New Roman" w:hAnsi="Times New Roman" w:cs="Times New Roman"/>
          <w:b/>
          <w:bCs/>
          <w:color w:val="auto"/>
          <w:lang w:val="en-US" w:eastAsia="zh-CN"/>
        </w:rPr>
        <w:t>2024年12月22日</w:t>
      </w:r>
      <w:r>
        <w:rPr>
          <w:rFonts w:hint="default" w:ascii="Times New Roman" w:hAnsi="Times New Roman" w:cs="Times New Roman"/>
          <w:b/>
          <w:bCs/>
          <w:color w:val="auto"/>
          <w:lang w:val="en-US" w:eastAsia="zh-CN"/>
        </w:rPr>
        <w:t>止</w:t>
      </w:r>
      <w:r>
        <w:rPr>
          <w:rFonts w:hint="eastAsia" w:ascii="Times New Roman" w:hAnsi="Times New Roman" w:cs="Times New Roman"/>
          <w:b/>
          <w:bCs/>
          <w:color w:val="auto"/>
          <w:lang w:val="en-US" w:eastAsia="zh-CN"/>
        </w:rPr>
        <w:t>。</w:t>
      </w:r>
    </w:p>
    <w:p w14:paraId="26061E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4.债权</w:t>
      </w:r>
      <w:r>
        <w:rPr>
          <w:rFonts w:hint="default" w:ascii="Times New Roman" w:hAnsi="Times New Roman" w:cs="Times New Roman"/>
          <w:color w:val="auto"/>
          <w:lang w:val="en-US" w:eastAsia="zh-CN"/>
        </w:rPr>
        <w:t>申报登记表上的编号暂不填写，</w:t>
      </w:r>
      <w:r>
        <w:rPr>
          <w:rFonts w:hint="eastAsia" w:ascii="Times New Roman" w:hAnsi="Times New Roman" w:cs="Times New Roman"/>
          <w:color w:val="auto"/>
          <w:lang w:val="en-US" w:eastAsia="zh-CN"/>
        </w:rPr>
        <w:t>“编号”</w:t>
      </w:r>
      <w:r>
        <w:rPr>
          <w:rFonts w:hint="default" w:ascii="Times New Roman" w:hAnsi="Times New Roman" w:cs="Times New Roman"/>
          <w:color w:val="auto"/>
          <w:lang w:val="en-US" w:eastAsia="zh-CN"/>
        </w:rPr>
        <w:t>及</w:t>
      </w:r>
      <w:r>
        <w:rPr>
          <w:rFonts w:hint="eastAsia" w:ascii="Times New Roman" w:hAnsi="Times New Roman" w:cs="Times New Roman"/>
          <w:color w:val="auto"/>
          <w:lang w:val="en-US" w:eastAsia="zh-CN"/>
        </w:rPr>
        <w:t>“接收人”</w:t>
      </w:r>
      <w:r>
        <w:rPr>
          <w:rFonts w:hint="default" w:ascii="Times New Roman" w:hAnsi="Times New Roman" w:cs="Times New Roman"/>
          <w:color w:val="auto"/>
          <w:lang w:val="en-US" w:eastAsia="zh-CN"/>
        </w:rPr>
        <w:t>由</w:t>
      </w:r>
      <w:r>
        <w:rPr>
          <w:rFonts w:hint="eastAsia" w:ascii="Times New Roman" w:hAnsi="Times New Roman" w:cs="Times New Roman"/>
          <w:color w:val="auto"/>
          <w:lang w:val="en-US" w:eastAsia="zh-CN"/>
        </w:rPr>
        <w:t>破产管理人</w:t>
      </w:r>
      <w:r>
        <w:rPr>
          <w:rFonts w:hint="default" w:ascii="Times New Roman" w:hAnsi="Times New Roman" w:cs="Times New Roman"/>
          <w:color w:val="auto"/>
          <w:lang w:val="en-US" w:eastAsia="zh-CN"/>
        </w:rPr>
        <w:t>填写。</w:t>
      </w:r>
    </w:p>
    <w:p w14:paraId="2794702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5.债权人提交的全套申报材料均需</w:t>
      </w:r>
      <w:bookmarkStart w:id="1" w:name="_Hlk79056237"/>
      <w:r>
        <w:rPr>
          <w:rFonts w:hint="eastAsia" w:ascii="Times New Roman" w:hAnsi="Times New Roman" w:cs="Times New Roman"/>
          <w:color w:val="auto"/>
          <w:lang w:val="en-US" w:eastAsia="zh-CN"/>
        </w:rPr>
        <w:t>加盖公章</w:t>
      </w:r>
      <w:bookmarkEnd w:id="1"/>
      <w:r>
        <w:rPr>
          <w:rFonts w:hint="eastAsia" w:ascii="Times New Roman" w:hAnsi="Times New Roman" w:cs="Times New Roman"/>
          <w:color w:val="auto"/>
          <w:lang w:val="en-US" w:eastAsia="zh-CN"/>
        </w:rPr>
        <w:t>（债权人为机构的），</w:t>
      </w:r>
      <w:bookmarkStart w:id="2" w:name="_Hlk79053199"/>
      <w:r>
        <w:rPr>
          <w:rFonts w:hint="eastAsia" w:ascii="Times New Roman" w:hAnsi="Times New Roman" w:cs="Times New Roman"/>
          <w:color w:val="auto"/>
          <w:lang w:val="en-US" w:eastAsia="zh-CN"/>
        </w:rPr>
        <w:t>或签字并捺印</w:t>
      </w:r>
      <w:bookmarkEnd w:id="2"/>
      <w:r>
        <w:rPr>
          <w:rFonts w:hint="eastAsia" w:ascii="Times New Roman" w:hAnsi="Times New Roman" w:cs="Times New Roman"/>
          <w:color w:val="auto"/>
          <w:lang w:val="en-US" w:eastAsia="zh-CN"/>
        </w:rPr>
        <w:t>（债权人为个人的）。其中，《债权申报登记表》及对应的说明性附件和证明债权人主体资格的材料，每页均需加盖公章</w:t>
      </w:r>
      <w:bookmarkStart w:id="3" w:name="_Hlk79056256"/>
      <w:r>
        <w:rPr>
          <w:rFonts w:hint="eastAsia" w:ascii="Times New Roman" w:hAnsi="Times New Roman" w:cs="Times New Roman"/>
          <w:color w:val="auto"/>
          <w:lang w:val="en-US" w:eastAsia="zh-CN"/>
        </w:rPr>
        <w:t>或签字并捺印</w:t>
      </w:r>
      <w:bookmarkEnd w:id="3"/>
      <w:r>
        <w:rPr>
          <w:rFonts w:hint="eastAsia" w:ascii="Times New Roman" w:hAnsi="Times New Roman" w:cs="Times New Roman"/>
          <w:color w:val="auto"/>
          <w:lang w:val="en-US" w:eastAsia="zh-CN"/>
        </w:rPr>
        <w:t>；证明债权发生事实及其数额的材料，若单份材料张数超过一页的，可首页及骑缝</w:t>
      </w:r>
      <w:bookmarkStart w:id="4" w:name="_Hlk79053460"/>
      <w:r>
        <w:rPr>
          <w:rFonts w:hint="eastAsia" w:ascii="Times New Roman" w:hAnsi="Times New Roman" w:cs="Times New Roman"/>
          <w:color w:val="auto"/>
          <w:lang w:val="en-US" w:eastAsia="zh-CN"/>
        </w:rPr>
        <w:t>盖章或签字并捺印</w:t>
      </w:r>
      <w:bookmarkEnd w:id="4"/>
      <w:r>
        <w:rPr>
          <w:rFonts w:hint="eastAsia" w:ascii="Times New Roman" w:hAnsi="Times New Roman" w:cs="Times New Roman"/>
          <w:color w:val="auto"/>
          <w:lang w:val="en-US" w:eastAsia="zh-CN"/>
        </w:rPr>
        <w:t>。申报材料中的复印件，均需签注“复印件与原件一致，否则一切法律后果自负”字样，或加盖“复印件与原件核对一致”印鉴。</w:t>
      </w:r>
    </w:p>
    <w:p w14:paraId="752E00D0">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6.各申报材料统一使用A4型纸，填写时注意准确、完整。建议使用计算机打印，若手写则需字迹清晰工整，并应避免书写错误，若有增、删、涂改，应于增、删、涂改处加盖公章或签字并捺印。有关金额或数字之填写，一律以阿拉伯数字为准；金额之填写，默认货币单位为人民币/元；债权原币为外币的，需以债务人破产清算受理日中国外汇交易中心公布的同一币种的汇率中间价折算为人民币。</w:t>
      </w:r>
    </w:p>
    <w:p w14:paraId="49774AF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7.债权人申报债权需提交</w:t>
      </w:r>
      <w:bookmarkStart w:id="5" w:name="_Hlk79056383"/>
      <w:r>
        <w:rPr>
          <w:rFonts w:hint="eastAsia" w:ascii="Times New Roman" w:hAnsi="Times New Roman" w:cs="Times New Roman"/>
          <w:color w:val="auto"/>
          <w:lang w:val="en-US" w:eastAsia="zh-CN"/>
        </w:rPr>
        <w:t>全套申报材</w:t>
      </w:r>
      <w:bookmarkEnd w:id="5"/>
      <w:r>
        <w:rPr>
          <w:rFonts w:hint="eastAsia" w:ascii="Times New Roman" w:hAnsi="Times New Roman" w:cs="Times New Roman"/>
          <w:color w:val="auto"/>
          <w:lang w:val="en-US" w:eastAsia="zh-CN"/>
        </w:rPr>
        <w:t>料，加盖公章或签字并捺印后扫描为PDF文件（特殊说明需要Excel版本的除外）。网络申报经形式审核通过后，债权人应在法院确定的债权申报期内向管理人以邮寄方式</w:t>
      </w:r>
      <w:r>
        <w:rPr>
          <w:rFonts w:hint="eastAsia" w:ascii="Times New Roman" w:hAnsi="Times New Roman" w:cs="Times New Roman"/>
          <w:b w:val="0"/>
          <w:bCs w:val="0"/>
          <w:color w:val="auto"/>
          <w:lang w:val="en-US" w:eastAsia="zh-CN"/>
        </w:rPr>
        <w:t>（</w:t>
      </w:r>
      <w:r>
        <w:rPr>
          <w:rFonts w:hint="eastAsia" w:ascii="Times New Roman" w:hAnsi="Times New Roman" w:cs="Times New Roman"/>
          <w:b/>
          <w:bCs/>
          <w:color w:val="auto"/>
          <w:lang w:val="en-US" w:eastAsia="zh-CN"/>
        </w:rPr>
        <w:t>建议选择顺丰速运或EMS邮政速递，邮费由债权人自理</w:t>
      </w:r>
      <w:r>
        <w:rPr>
          <w:rFonts w:hint="eastAsia" w:ascii="Times New Roman" w:hAnsi="Times New Roman" w:cs="Times New Roman"/>
          <w:b w:val="0"/>
          <w:bCs w:val="0"/>
          <w:color w:val="auto"/>
          <w:lang w:val="en-US" w:eastAsia="zh-CN"/>
        </w:rPr>
        <w:t>）</w:t>
      </w:r>
      <w:r>
        <w:rPr>
          <w:rFonts w:hint="eastAsia" w:ascii="Times New Roman" w:hAnsi="Times New Roman" w:cs="Times New Roman"/>
          <w:color w:val="auto"/>
          <w:lang w:val="en-US" w:eastAsia="zh-CN"/>
        </w:rPr>
        <w:t>提交全套申报材料的纸质版，现场申报的现场提交全套申报材料的纸质版，纸质材料均需一式贰份。</w:t>
      </w:r>
    </w:p>
    <w:p w14:paraId="330568B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8.债权人提交的外文材料，应当附有中文译本，且需经过有公证资质的公证机构进行译文公证。</w:t>
      </w:r>
    </w:p>
    <w:p w14:paraId="2B3CEA3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9.债权人提交的材料系在中华人民共和国（以下称中国）领域外形成的；以及在中国领域内没有住所的债权人（外国人、无国籍人、外国企业和组织）委托中国律师或者其他人代理，从中国领域外寄交或者托交的授权委托书的；相关材料应当经所在国公证机关证明，并经中国驻该国使领馆认证，或者履行中国与该所在国订立的有关条约中规定的证明手续。相关债权人在中国境内签署的授权委托书，需经中国公证机构公证。</w:t>
      </w:r>
    </w:p>
    <w:p w14:paraId="7A1FF891">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10.债权人提交的材料是在香港、澳门、台湾地区形成的，应当履行相关的证明手续。在香港、澳门地区形成的材料，应经内地认可的公证人公证，并经中国法律服务（香港）有限公司或者中国法律服务（澳门）有限公司加章转递；在台湾地区形成的材料，应当通过两岸公证书使用查证渠道办理。债权人为自然人的，港澳特区身份证件或者港澳居民居住证、港澳居民来往内地通行证、台湾地区身份证件或者台湾居民居住证、台湾居民来往大陆通行证等证件可不进行公证认证。</w:t>
      </w:r>
    </w:p>
    <w:p w14:paraId="76B28C6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六、特别提示</w:t>
      </w:r>
    </w:p>
    <w:p w14:paraId="25A0EE46">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1.本指引只是针对债权人申报债权时注意事项及风险告知的提示，文本中加粗字体请债权人予以合理关注。本指引不视为出具给债权人的法律意见。</w:t>
      </w:r>
    </w:p>
    <w:p w14:paraId="65309E4A">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textAlignment w:val="auto"/>
        <w:rPr>
          <w:rFonts w:hint="eastAsia" w:ascii="Times New Roman" w:hAnsi="Times New Roman" w:cs="Times New Roman"/>
          <w:b/>
          <w:bCs/>
          <w:color w:val="auto"/>
          <w:lang w:val="en-US" w:eastAsia="zh-CN"/>
        </w:rPr>
      </w:pPr>
      <w:r>
        <w:rPr>
          <w:rFonts w:hint="eastAsia" w:ascii="Times New Roman" w:hAnsi="Times New Roman" w:cs="Times New Roman"/>
          <w:b/>
          <w:bCs/>
          <w:color w:val="auto"/>
          <w:lang w:val="en-US" w:eastAsia="zh-CN"/>
        </w:rPr>
        <w:t>2.债权人应考虑必要时在法律专业人士的协助下申报和/或寻求法律帮助。</w:t>
      </w:r>
    </w:p>
    <w:p w14:paraId="08C3B0EF">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3.债权申报及登记不构成确权，不构成对无效债权（包括但不限于已过诉讼时效的债权等）的重新有效确认。</w:t>
      </w:r>
    </w:p>
    <w:p w14:paraId="608759A9">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4.债权人虚假申报债权或提交虚假申报材料，损害其他债权人利益的，将依法移送公安机关或人民法院追究其法律责任。</w:t>
      </w:r>
    </w:p>
    <w:p w14:paraId="36D27C0E">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5.本指引内容与现行法律法规、司法解释不一致的，以后者为准。</w:t>
      </w:r>
    </w:p>
    <w:p w14:paraId="6D58A7D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cs="Times New Roman"/>
          <w:color w:val="auto"/>
          <w:lang w:val="en-US" w:eastAsia="zh-CN"/>
        </w:rPr>
      </w:pPr>
      <w:r>
        <w:rPr>
          <w:rFonts w:hint="eastAsia" w:ascii="Times New Roman" w:hAnsi="Times New Roman" w:cs="Times New Roman"/>
          <w:color w:val="auto"/>
          <w:lang w:val="en-US" w:eastAsia="zh-CN"/>
        </w:rPr>
        <w:t>6.本指引由破产管理人负责解释，如有问题可电话或邮件咨询。</w:t>
      </w:r>
    </w:p>
    <w:p w14:paraId="6C278C3C">
      <w:pPr>
        <w:pStyle w:val="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西安新旗帜建筑装饰工程有限公司破产管理人</w:t>
      </w:r>
    </w:p>
    <w:p w14:paraId="75FC04C5">
      <w:pPr>
        <w:pStyle w:val="6"/>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360" w:lineRule="auto"/>
        <w:ind w:left="0" w:right="0" w:firstLine="1440" w:firstLineChars="600"/>
        <w:jc w:val="right"/>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lang w:val="en-US" w:eastAsia="zh-CN"/>
        </w:rPr>
        <w:t>二〇二五年三</w:t>
      </w:r>
      <w:r>
        <w:rPr>
          <w:rFonts w:hint="eastAsia" w:ascii="Times New Roman" w:hAnsi="Times New Roman" w:cs="Times New Roman"/>
          <w:color w:val="auto"/>
          <w:highlight w:val="none"/>
          <w:lang w:val="en-US" w:eastAsia="zh-CN"/>
        </w:rPr>
        <w:t>月十日</w:t>
      </w:r>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C1ECF">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8"/>
      <w:tblW w:w="14461" w:type="dxa"/>
      <w:tblInd w:w="-49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2935"/>
      <w:gridCol w:w="3155"/>
      <w:gridCol w:w="4131"/>
      <w:gridCol w:w="4240"/>
    </w:tblGrid>
    <w:tr w14:paraId="2A1291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1" w:hRule="atLeast"/>
      </w:trPr>
      <w:tc>
        <w:tcPr>
          <w:tcW w:w="2935" w:type="dxa"/>
          <w:vMerge w:val="restart"/>
        </w:tcPr>
        <w:p w14:paraId="5E3A3819">
          <w:pPr>
            <w:snapToGrid w:val="0"/>
            <w:ind w:left="483" w:leftChars="230"/>
            <w:jc w:val="both"/>
            <w:rPr>
              <w:rFonts w:ascii="Arial" w:hAnsi="Arial" w:eastAsia="宋体" w:cstheme="minorBidi"/>
              <w:kern w:val="2"/>
              <w:sz w:val="14"/>
              <w:szCs w:val="14"/>
              <w:lang w:val="en-US" w:eastAsia="zh-CN" w:bidi="ar-SA"/>
            </w:rPr>
          </w:pPr>
          <w:r>
            <w:rPr>
              <w:rFonts w:ascii="Arial" w:hAnsi="Arial" w:eastAsia="宋体" w:cstheme="minorBidi"/>
              <w:kern w:val="2"/>
              <w:sz w:val="14"/>
              <w:szCs w:val="18"/>
              <w:lang w:val="en-US" w:eastAsia="zh-CN" w:bidi="ar-SA"/>
            </w:rPr>
            <w:drawing>
              <wp:inline distT="0" distB="0" distL="0" distR="0">
                <wp:extent cx="1461135" cy="280670"/>
                <wp:effectExtent l="0" t="0" r="5715" b="5080"/>
                <wp:docPr id="111"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1135" cy="280670"/>
                        </a:xfrm>
                        <a:prstGeom prst="rect">
                          <a:avLst/>
                        </a:prstGeom>
                      </pic:spPr>
                    </pic:pic>
                  </a:graphicData>
                </a:graphic>
              </wp:inline>
            </w:drawing>
          </w:r>
        </w:p>
      </w:tc>
      <w:tc>
        <w:tcPr>
          <w:tcW w:w="3155" w:type="dxa"/>
        </w:tcPr>
        <w:p w14:paraId="56102121">
          <w:pPr>
            <w:snapToGrid w:val="0"/>
            <w:jc w:val="left"/>
            <w:rPr>
              <w:rFonts w:ascii="Arial" w:hAnsi="Arial" w:eastAsia="宋体" w:cstheme="minorBidi"/>
              <w:kern w:val="2"/>
              <w:sz w:val="14"/>
              <w:szCs w:val="14"/>
              <w:lang w:val="en-US" w:eastAsia="zh-CN" w:bidi="ar-SA"/>
            </w:rPr>
          </w:pPr>
        </w:p>
      </w:tc>
      <w:tc>
        <w:tcPr>
          <w:tcW w:w="4131" w:type="dxa"/>
        </w:tcPr>
        <w:p w14:paraId="607F233D">
          <w:pPr>
            <w:snapToGrid w:val="0"/>
            <w:jc w:val="left"/>
            <w:rPr>
              <w:rFonts w:ascii="Arial" w:hAnsi="Arial" w:eastAsia="宋体" w:cstheme="minorBidi"/>
              <w:kern w:val="2"/>
              <w:sz w:val="14"/>
              <w:szCs w:val="14"/>
              <w:lang w:val="en-US" w:eastAsia="zh-CN" w:bidi="ar-SA"/>
            </w:rPr>
          </w:pPr>
        </w:p>
      </w:tc>
      <w:tc>
        <w:tcPr>
          <w:tcW w:w="4240" w:type="dxa"/>
        </w:tcPr>
        <w:p w14:paraId="2967E59A">
          <w:pPr>
            <w:snapToGrid w:val="0"/>
            <w:jc w:val="left"/>
            <w:rPr>
              <w:rFonts w:ascii="Arial" w:hAnsi="Arial" w:eastAsia="宋体" w:cstheme="minorBidi"/>
              <w:kern w:val="2"/>
              <w:sz w:val="14"/>
              <w:szCs w:val="14"/>
              <w:lang w:val="en-US" w:eastAsia="zh-CN" w:bidi="ar-SA"/>
            </w:rPr>
          </w:pPr>
        </w:p>
      </w:tc>
    </w:tr>
    <w:tr w14:paraId="75412F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1" w:hRule="atLeast"/>
      </w:trPr>
      <w:tc>
        <w:tcPr>
          <w:tcW w:w="2935" w:type="dxa"/>
          <w:vMerge w:val="continue"/>
        </w:tcPr>
        <w:p w14:paraId="4635A5DC">
          <w:pPr>
            <w:snapToGrid w:val="0"/>
            <w:jc w:val="left"/>
            <w:rPr>
              <w:rFonts w:ascii="Arial" w:hAnsi="Arial" w:eastAsia="宋体" w:cstheme="minorBidi"/>
              <w:kern w:val="2"/>
              <w:sz w:val="14"/>
              <w:szCs w:val="14"/>
              <w:lang w:val="en-US" w:eastAsia="zh-CN" w:bidi="ar-SA"/>
            </w:rPr>
          </w:pPr>
        </w:p>
      </w:tc>
      <w:tc>
        <w:tcPr>
          <w:tcW w:w="3155" w:type="dxa"/>
        </w:tcPr>
        <w:p w14:paraId="21CFBB71">
          <w:pPr>
            <w:wordWrap w:val="0"/>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北京</w:t>
          </w:r>
          <w:r>
            <w:rPr>
              <w:rFonts w:ascii="Arial" w:hAnsi="Arial" w:eastAsia="宋体" w:cstheme="minorBidi"/>
              <w:kern w:val="2"/>
              <w:sz w:val="14"/>
              <w:szCs w:val="18"/>
              <w:lang w:val="en-US" w:eastAsia="zh-CN" w:bidi="ar-SA"/>
            </w:rPr>
            <w:t>大成（西安）律师</w:t>
          </w:r>
          <w:r>
            <w:rPr>
              <w:rFonts w:hint="eastAsia" w:ascii="Arial" w:hAnsi="Arial" w:eastAsia="宋体" w:cstheme="minorBidi"/>
              <w:kern w:val="2"/>
              <w:sz w:val="14"/>
              <w:szCs w:val="18"/>
              <w:lang w:val="en-US" w:eastAsia="zh-CN" w:bidi="ar-SA"/>
            </w:rPr>
            <w:t>事务</w:t>
          </w:r>
          <w:r>
            <w:rPr>
              <w:rFonts w:ascii="Arial" w:hAnsi="Arial" w:eastAsia="宋体" w:cstheme="minorBidi"/>
              <w:kern w:val="2"/>
              <w:sz w:val="14"/>
              <w:szCs w:val="18"/>
              <w:lang w:val="en-US" w:eastAsia="zh-CN" w:bidi="ar-SA"/>
            </w:rPr>
            <w:t>所</w:t>
          </w:r>
        </w:p>
        <w:p w14:paraId="55C8281D">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西安市西安国际港务区港务大道</w:t>
          </w:r>
        </w:p>
        <w:p w14:paraId="7EF8D985">
          <w:pPr>
            <w:snapToGrid w:val="0"/>
            <w:ind w:right="21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西安港国际采购中心3号楼16-17层</w:t>
          </w:r>
        </w:p>
        <w:p w14:paraId="0FD7F805">
          <w:pPr>
            <w:snapToGrid w:val="0"/>
            <w:ind w:right="21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邮编</w:t>
          </w:r>
          <w:r>
            <w:rPr>
              <w:rFonts w:ascii="Arial" w:hAnsi="Arial" w:eastAsia="宋体" w:cstheme="minorBidi"/>
              <w:kern w:val="2"/>
              <w:sz w:val="14"/>
              <w:szCs w:val="18"/>
              <w:lang w:val="en-US" w:eastAsia="zh-CN" w:bidi="ar-SA"/>
            </w:rPr>
            <w:t>：</w:t>
          </w:r>
          <w:r>
            <w:rPr>
              <w:rFonts w:hint="eastAsia" w:ascii="Arial" w:hAnsi="Arial" w:eastAsia="宋体" w:cstheme="minorBidi"/>
              <w:kern w:val="2"/>
              <w:sz w:val="14"/>
              <w:szCs w:val="18"/>
              <w:lang w:val="en-US" w:eastAsia="zh-CN" w:bidi="ar-SA"/>
            </w:rPr>
            <w:t>710026</w:t>
          </w:r>
        </w:p>
      </w:tc>
      <w:tc>
        <w:tcPr>
          <w:tcW w:w="4131" w:type="dxa"/>
        </w:tcPr>
        <w:p w14:paraId="7F53BDBC">
          <w:pPr>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16-17</w:t>
          </w:r>
          <w:r>
            <w:rPr>
              <w:rFonts w:ascii="Arial" w:hAnsi="Arial" w:eastAsia="宋体" w:cstheme="minorBidi"/>
              <w:kern w:val="2"/>
              <w:sz w:val="14"/>
              <w:szCs w:val="18"/>
              <w:lang w:val="en-US" w:eastAsia="zh-CN" w:bidi="ar-SA"/>
            </w:rPr>
            <w:t>/F,</w:t>
          </w:r>
        </w:p>
        <w:p w14:paraId="4C360458">
          <w:pPr>
            <w:wordWrap w:val="0"/>
            <w:snapToGrid w:val="0"/>
            <w:jc w:val="right"/>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 xml:space="preserve"> Xi'an International Trade &amp; Logistics Park Building 3 </w:t>
          </w:r>
        </w:p>
        <w:p w14:paraId="17EAF3FF">
          <w:pPr>
            <w:snapToGrid w:val="0"/>
            <w:ind w:firstLine="420" w:firstLineChars="300"/>
            <w:jc w:val="both"/>
            <w:rPr>
              <w:rFonts w:ascii="Arial" w:hAnsi="Arial" w:eastAsia="宋体" w:cstheme="minorBidi"/>
              <w:kern w:val="2"/>
              <w:sz w:val="14"/>
              <w:szCs w:val="18"/>
              <w:lang w:val="en-US" w:eastAsia="zh-CN" w:bidi="ar-SA"/>
            </w:rPr>
          </w:pPr>
          <w:r>
            <w:rPr>
              <w:rFonts w:hint="eastAsia" w:ascii="Arial" w:hAnsi="Arial" w:eastAsia="宋体" w:cstheme="minorBidi"/>
              <w:kern w:val="2"/>
              <w:sz w:val="14"/>
              <w:szCs w:val="18"/>
              <w:lang w:val="en-US" w:eastAsia="zh-CN" w:bidi="ar-SA"/>
            </w:rPr>
            <w:t>Xi'an International Trade &amp; Logistics Park Gangwu Road</w:t>
          </w:r>
        </w:p>
        <w:p w14:paraId="638D52E5">
          <w:pPr>
            <w:snapToGrid w:val="0"/>
            <w:jc w:val="center"/>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 xml:space="preserve">                                    710026 </w:t>
          </w:r>
          <w:r>
            <w:rPr>
              <w:rFonts w:ascii="Arial" w:hAnsi="Arial" w:eastAsia="宋体" w:cstheme="minorBidi"/>
              <w:kern w:val="2"/>
              <w:sz w:val="14"/>
              <w:szCs w:val="18"/>
              <w:lang w:val="en-US" w:eastAsia="zh-CN" w:bidi="ar-SA"/>
            </w:rPr>
            <w:t>, Xi’</w:t>
          </w:r>
          <w:r>
            <w:rPr>
              <w:rFonts w:hint="eastAsia" w:ascii="Arial" w:hAnsi="Arial" w:eastAsia="宋体" w:cstheme="minorBidi"/>
              <w:kern w:val="2"/>
              <w:sz w:val="14"/>
              <w:szCs w:val="18"/>
              <w:lang w:val="en-US" w:eastAsia="zh-CN" w:bidi="ar-SA"/>
            </w:rPr>
            <w:t>an</w:t>
          </w:r>
          <w:r>
            <w:rPr>
              <w:rFonts w:ascii="Arial" w:hAnsi="Arial" w:eastAsia="宋体" w:cstheme="minorBidi"/>
              <w:kern w:val="2"/>
              <w:sz w:val="14"/>
              <w:szCs w:val="18"/>
              <w:lang w:val="en-US" w:eastAsia="zh-CN" w:bidi="ar-SA"/>
            </w:rPr>
            <w:t>, China</w:t>
          </w:r>
        </w:p>
      </w:tc>
      <w:tc>
        <w:tcPr>
          <w:tcW w:w="4240" w:type="dxa"/>
        </w:tcPr>
        <w:p w14:paraId="576E751E">
          <w:pPr>
            <w:snapToGrid w:val="0"/>
            <w:jc w:val="center"/>
            <w:rPr>
              <w:rFonts w:ascii="Arial" w:hAnsi="Arial" w:eastAsia="宋体" w:cstheme="minorBidi"/>
              <w:kern w:val="2"/>
              <w:sz w:val="14"/>
              <w:szCs w:val="18"/>
              <w:lang w:val="en-US" w:eastAsia="zh-CN" w:bidi="ar-SA"/>
            </w:rPr>
          </w:pPr>
        </w:p>
      </w:tc>
    </w:tr>
    <w:tr w14:paraId="1CA65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4F7EC3C4">
          <w:pPr>
            <w:snapToGrid w:val="0"/>
            <w:jc w:val="left"/>
            <w:rPr>
              <w:rFonts w:ascii="Arial" w:hAnsi="Arial" w:eastAsia="宋体" w:cstheme="minorBidi"/>
              <w:kern w:val="2"/>
              <w:sz w:val="14"/>
              <w:szCs w:val="14"/>
              <w:lang w:val="en-US" w:eastAsia="zh-CN" w:bidi="ar-SA"/>
            </w:rPr>
          </w:pPr>
        </w:p>
      </w:tc>
      <w:tc>
        <w:tcPr>
          <w:tcW w:w="4240" w:type="dxa"/>
        </w:tcPr>
        <w:p w14:paraId="7D4FD28F">
          <w:pPr>
            <w:snapToGrid w:val="0"/>
            <w:jc w:val="left"/>
            <w:rPr>
              <w:rFonts w:ascii="Arial" w:hAnsi="Arial" w:eastAsia="宋体" w:cstheme="minorBidi"/>
              <w:kern w:val="2"/>
              <w:sz w:val="14"/>
              <w:szCs w:val="14"/>
              <w:lang w:val="en-US" w:eastAsia="zh-CN" w:bidi="ar-SA"/>
            </w:rPr>
          </w:pPr>
        </w:p>
      </w:tc>
    </w:tr>
    <w:tr w14:paraId="77F19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9" w:hRule="atLeast"/>
      </w:trPr>
      <w:tc>
        <w:tcPr>
          <w:tcW w:w="10221" w:type="dxa"/>
          <w:gridSpan w:val="3"/>
        </w:tcPr>
        <w:p w14:paraId="18D3895D">
          <w:pPr>
            <w:snapToGrid w:val="0"/>
            <w:jc w:val="right"/>
            <w:rPr>
              <w:rFonts w:ascii="Arial" w:hAnsi="Arial" w:eastAsia="宋体" w:cstheme="minorBidi"/>
              <w:b/>
              <w:color w:val="6E2D91"/>
              <w:kern w:val="2"/>
              <w:sz w:val="14"/>
              <w:szCs w:val="18"/>
              <w:lang w:val="en-US" w:eastAsia="zh-CN" w:bidi="ar-SA"/>
            </w:rPr>
          </w:pPr>
        </w:p>
        <w:p w14:paraId="39832A71">
          <w:pPr>
            <w:snapToGrid w:val="0"/>
            <w:jc w:val="right"/>
            <w:rPr>
              <w:rFonts w:ascii="Arial" w:hAnsi="Arial" w:eastAsia="宋体" w:cstheme="minorBidi"/>
              <w:kern w:val="2"/>
              <w:sz w:val="14"/>
              <w:szCs w:val="14"/>
              <w:lang w:val="en-US" w:eastAsia="zh-CN" w:bidi="ar-SA"/>
            </w:rPr>
          </w:pPr>
          <w:r>
            <w:rPr>
              <w:rFonts w:hint="eastAsia" w:ascii="Arial" w:hAnsi="Arial" w:eastAsia="宋体" w:cstheme="minorBidi"/>
              <w:kern w:val="2"/>
              <w:sz w:val="14"/>
              <w:szCs w:val="18"/>
              <w:lang w:val="en-US" w:eastAsia="zh-CN" w:bidi="ar-SA"/>
            </w:rPr>
            <w:t>d</w:t>
          </w:r>
          <w:r>
            <w:rPr>
              <w:rFonts w:ascii="Arial" w:hAnsi="Arial" w:eastAsia="宋体" w:cstheme="minorBidi"/>
              <w:kern w:val="2"/>
              <w:sz w:val="14"/>
              <w:szCs w:val="18"/>
              <w:lang w:val="en-US" w:eastAsia="zh-CN" w:bidi="ar-SA"/>
            </w:rPr>
            <w:t>entons.c</w:t>
          </w:r>
          <w:r>
            <w:rPr>
              <w:rFonts w:hint="eastAsia" w:ascii="Arial" w:hAnsi="Arial" w:eastAsia="宋体" w:cstheme="minorBidi"/>
              <w:kern w:val="2"/>
              <w:sz w:val="14"/>
              <w:szCs w:val="18"/>
              <w:lang w:val="en-US" w:eastAsia="zh-CN" w:bidi="ar-SA"/>
            </w:rPr>
            <w:t>n</w:t>
          </w:r>
        </w:p>
      </w:tc>
      <w:tc>
        <w:tcPr>
          <w:tcW w:w="4240" w:type="dxa"/>
        </w:tcPr>
        <w:p w14:paraId="711DA2F1">
          <w:pPr>
            <w:snapToGrid w:val="0"/>
            <w:jc w:val="right"/>
            <w:rPr>
              <w:rFonts w:ascii="Arial" w:hAnsi="Arial" w:eastAsia="宋体" w:cstheme="minorBidi"/>
              <w:kern w:val="2"/>
              <w:sz w:val="14"/>
              <w:szCs w:val="18"/>
              <w:lang w:val="en-US" w:eastAsia="zh-CN" w:bidi="ar-SA"/>
            </w:rPr>
          </w:pPr>
        </w:p>
      </w:tc>
    </w:tr>
    <w:tr w14:paraId="7FC24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40" w:hRule="atLeast"/>
      </w:trPr>
      <w:tc>
        <w:tcPr>
          <w:tcW w:w="10221" w:type="dxa"/>
          <w:gridSpan w:val="3"/>
        </w:tcPr>
        <w:p w14:paraId="5B8BB4E0">
          <w:pPr>
            <w:snapToGrid w:val="0"/>
            <w:jc w:val="right"/>
            <w:rPr>
              <w:rFonts w:hint="eastAsia" w:ascii="Arial" w:hAnsi="Arial" w:eastAsia="宋体" w:cstheme="minorBidi"/>
              <w:kern w:val="2"/>
              <w:sz w:val="14"/>
              <w:szCs w:val="18"/>
              <w:lang w:val="en-US" w:eastAsia="zh-CN" w:bidi="ar-SA"/>
            </w:rPr>
          </w:pPr>
        </w:p>
      </w:tc>
      <w:tc>
        <w:tcPr>
          <w:tcW w:w="4240" w:type="dxa"/>
        </w:tcPr>
        <w:p w14:paraId="6E887C76">
          <w:pPr>
            <w:snapToGrid w:val="0"/>
            <w:jc w:val="right"/>
            <w:rPr>
              <w:rFonts w:ascii="Arial" w:hAnsi="Arial" w:eastAsia="宋体" w:cstheme="minorBidi"/>
              <w:kern w:val="2"/>
              <w:sz w:val="14"/>
              <w:szCs w:val="18"/>
              <w:lang w:val="en-US" w:eastAsia="zh-CN" w:bidi="ar-SA"/>
            </w:rPr>
          </w:pPr>
        </w:p>
      </w:tc>
    </w:tr>
  </w:tbl>
  <w:p w14:paraId="12437716">
    <w:pPr>
      <w:pStyle w:val="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326D52">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1ZDc0YTU0NDUxMjgyMWQ5ZTA1ZGJiMjk0NDE0OTkifQ=="/>
  </w:docVars>
  <w:rsids>
    <w:rsidRoot w:val="005E1DF5"/>
    <w:rsid w:val="001203A1"/>
    <w:rsid w:val="001A6B04"/>
    <w:rsid w:val="00267909"/>
    <w:rsid w:val="00284C47"/>
    <w:rsid w:val="002B2D2C"/>
    <w:rsid w:val="00332CFD"/>
    <w:rsid w:val="004158A4"/>
    <w:rsid w:val="004507CD"/>
    <w:rsid w:val="00481298"/>
    <w:rsid w:val="00486149"/>
    <w:rsid w:val="004D6FF1"/>
    <w:rsid w:val="00572505"/>
    <w:rsid w:val="005E1DF5"/>
    <w:rsid w:val="005E4050"/>
    <w:rsid w:val="005F3B12"/>
    <w:rsid w:val="006533B3"/>
    <w:rsid w:val="007316EC"/>
    <w:rsid w:val="0074078C"/>
    <w:rsid w:val="00780F31"/>
    <w:rsid w:val="007B195C"/>
    <w:rsid w:val="007D3815"/>
    <w:rsid w:val="008430EC"/>
    <w:rsid w:val="00843867"/>
    <w:rsid w:val="0089642D"/>
    <w:rsid w:val="008A2596"/>
    <w:rsid w:val="008D793A"/>
    <w:rsid w:val="0091543D"/>
    <w:rsid w:val="009432B1"/>
    <w:rsid w:val="00977716"/>
    <w:rsid w:val="00982999"/>
    <w:rsid w:val="009C0BF6"/>
    <w:rsid w:val="00A17480"/>
    <w:rsid w:val="00A606F4"/>
    <w:rsid w:val="00AD5BA5"/>
    <w:rsid w:val="00B1368B"/>
    <w:rsid w:val="00C034BD"/>
    <w:rsid w:val="00C35C77"/>
    <w:rsid w:val="00C442FE"/>
    <w:rsid w:val="00C865BF"/>
    <w:rsid w:val="00CB1F61"/>
    <w:rsid w:val="00CE3F93"/>
    <w:rsid w:val="00D62169"/>
    <w:rsid w:val="00DF2E44"/>
    <w:rsid w:val="00EC6213"/>
    <w:rsid w:val="00ED1AF0"/>
    <w:rsid w:val="00EE46E3"/>
    <w:rsid w:val="00F6192E"/>
    <w:rsid w:val="00F7407F"/>
    <w:rsid w:val="00FE7795"/>
    <w:rsid w:val="014B08FF"/>
    <w:rsid w:val="015679D0"/>
    <w:rsid w:val="019E4ED3"/>
    <w:rsid w:val="04236A4E"/>
    <w:rsid w:val="05290F57"/>
    <w:rsid w:val="055D0BE1"/>
    <w:rsid w:val="0680104B"/>
    <w:rsid w:val="06D7510F"/>
    <w:rsid w:val="06DB4B92"/>
    <w:rsid w:val="06E42523"/>
    <w:rsid w:val="0748600C"/>
    <w:rsid w:val="09C94AB7"/>
    <w:rsid w:val="0AEC5241"/>
    <w:rsid w:val="0B4429C0"/>
    <w:rsid w:val="0B65023B"/>
    <w:rsid w:val="0D484F17"/>
    <w:rsid w:val="0D6863A9"/>
    <w:rsid w:val="0DAD6BC9"/>
    <w:rsid w:val="0E121122"/>
    <w:rsid w:val="104850E2"/>
    <w:rsid w:val="10915F34"/>
    <w:rsid w:val="10A36062"/>
    <w:rsid w:val="10C13E75"/>
    <w:rsid w:val="149826FE"/>
    <w:rsid w:val="14F54B72"/>
    <w:rsid w:val="14F670A8"/>
    <w:rsid w:val="162C6AF9"/>
    <w:rsid w:val="17E4768B"/>
    <w:rsid w:val="18AE0076"/>
    <w:rsid w:val="195B1BCF"/>
    <w:rsid w:val="1AA255DC"/>
    <w:rsid w:val="1AE6196C"/>
    <w:rsid w:val="1B327921"/>
    <w:rsid w:val="1B43291B"/>
    <w:rsid w:val="1BC53330"/>
    <w:rsid w:val="1E127105"/>
    <w:rsid w:val="1FD55B0C"/>
    <w:rsid w:val="1FEA5A5B"/>
    <w:rsid w:val="2026740D"/>
    <w:rsid w:val="209D4F59"/>
    <w:rsid w:val="22A840E3"/>
    <w:rsid w:val="232272BA"/>
    <w:rsid w:val="241E0D30"/>
    <w:rsid w:val="24764F1B"/>
    <w:rsid w:val="25695674"/>
    <w:rsid w:val="264B4D7A"/>
    <w:rsid w:val="267C043C"/>
    <w:rsid w:val="283A50A6"/>
    <w:rsid w:val="28A10C81"/>
    <w:rsid w:val="295453DB"/>
    <w:rsid w:val="29D339F8"/>
    <w:rsid w:val="2B5621F6"/>
    <w:rsid w:val="2CD05FD9"/>
    <w:rsid w:val="2E3600BD"/>
    <w:rsid w:val="2FAA1E44"/>
    <w:rsid w:val="308F0A11"/>
    <w:rsid w:val="30AA42DF"/>
    <w:rsid w:val="32131B66"/>
    <w:rsid w:val="32755658"/>
    <w:rsid w:val="334B3B20"/>
    <w:rsid w:val="33D950F2"/>
    <w:rsid w:val="344B609C"/>
    <w:rsid w:val="348E4997"/>
    <w:rsid w:val="34F605A6"/>
    <w:rsid w:val="35E66B92"/>
    <w:rsid w:val="37853553"/>
    <w:rsid w:val="38ED3A6E"/>
    <w:rsid w:val="393B2A2C"/>
    <w:rsid w:val="39600ED0"/>
    <w:rsid w:val="3BF52E3A"/>
    <w:rsid w:val="3E8409D1"/>
    <w:rsid w:val="3FD50621"/>
    <w:rsid w:val="41B96BE3"/>
    <w:rsid w:val="41CA73E5"/>
    <w:rsid w:val="423D5569"/>
    <w:rsid w:val="42730903"/>
    <w:rsid w:val="4292077C"/>
    <w:rsid w:val="43A01E09"/>
    <w:rsid w:val="43AE09CA"/>
    <w:rsid w:val="446839F5"/>
    <w:rsid w:val="47AC3091"/>
    <w:rsid w:val="48136595"/>
    <w:rsid w:val="4A2F2139"/>
    <w:rsid w:val="4B124FB5"/>
    <w:rsid w:val="4B8D5369"/>
    <w:rsid w:val="4C6D0FB0"/>
    <w:rsid w:val="4C9217F2"/>
    <w:rsid w:val="4D1473C4"/>
    <w:rsid w:val="4D3A507C"/>
    <w:rsid w:val="4D743537"/>
    <w:rsid w:val="4F1D07B2"/>
    <w:rsid w:val="4F2E29BF"/>
    <w:rsid w:val="50855850"/>
    <w:rsid w:val="514A3290"/>
    <w:rsid w:val="516902C9"/>
    <w:rsid w:val="51A65B04"/>
    <w:rsid w:val="52386093"/>
    <w:rsid w:val="52E37F64"/>
    <w:rsid w:val="5689497F"/>
    <w:rsid w:val="5765363E"/>
    <w:rsid w:val="5770609A"/>
    <w:rsid w:val="596671F9"/>
    <w:rsid w:val="59D861EA"/>
    <w:rsid w:val="5B6723B6"/>
    <w:rsid w:val="5C055472"/>
    <w:rsid w:val="5D445AA3"/>
    <w:rsid w:val="5D784381"/>
    <w:rsid w:val="5EF62DCD"/>
    <w:rsid w:val="5F3538F6"/>
    <w:rsid w:val="626B762E"/>
    <w:rsid w:val="63690012"/>
    <w:rsid w:val="63BD3EBA"/>
    <w:rsid w:val="63E458EA"/>
    <w:rsid w:val="63ED29F1"/>
    <w:rsid w:val="64D616D7"/>
    <w:rsid w:val="65CA2FE0"/>
    <w:rsid w:val="664A7C87"/>
    <w:rsid w:val="66560709"/>
    <w:rsid w:val="66D25ECE"/>
    <w:rsid w:val="6756220D"/>
    <w:rsid w:val="67A24F14"/>
    <w:rsid w:val="67D85766"/>
    <w:rsid w:val="6829511B"/>
    <w:rsid w:val="69DA0FD5"/>
    <w:rsid w:val="69FA5E67"/>
    <w:rsid w:val="6A8F4802"/>
    <w:rsid w:val="6AF74155"/>
    <w:rsid w:val="6B497AD5"/>
    <w:rsid w:val="6C1D31AD"/>
    <w:rsid w:val="6C7C1180"/>
    <w:rsid w:val="6D342CEA"/>
    <w:rsid w:val="6DD72A55"/>
    <w:rsid w:val="6EA2087C"/>
    <w:rsid w:val="6EAD16FA"/>
    <w:rsid w:val="6EDC2EC3"/>
    <w:rsid w:val="70657DB3"/>
    <w:rsid w:val="73BF77DA"/>
    <w:rsid w:val="75495A1C"/>
    <w:rsid w:val="76353E4B"/>
    <w:rsid w:val="76BF021D"/>
    <w:rsid w:val="77477E67"/>
    <w:rsid w:val="77774B1B"/>
    <w:rsid w:val="7839517D"/>
    <w:rsid w:val="7A2B3E1B"/>
    <w:rsid w:val="7AC322A6"/>
    <w:rsid w:val="7B2965AD"/>
    <w:rsid w:val="7B4056A4"/>
    <w:rsid w:val="7C00232A"/>
    <w:rsid w:val="7C6C1818"/>
    <w:rsid w:val="7CD73DE6"/>
    <w:rsid w:val="7D5B67C5"/>
    <w:rsid w:val="7E0150C3"/>
    <w:rsid w:val="7ED405DD"/>
    <w:rsid w:val="7FBD72C3"/>
    <w:rsid w:val="7FEE39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pPr>
      <w:widowControl/>
      <w:spacing w:after="120"/>
      <w:jc w:val="left"/>
    </w:pPr>
    <w:rPr>
      <w:kern w:val="0"/>
      <w:sz w:val="20"/>
      <w:szCs w:val="20"/>
      <w:lang w:eastAsia="en-US"/>
    </w:rPr>
  </w:style>
  <w:style w:type="paragraph" w:styleId="3">
    <w:name w:val="Balloon Text"/>
    <w:basedOn w:val="1"/>
    <w:link w:val="13"/>
    <w:autoRedefine/>
    <w:qFormat/>
    <w:uiPriority w:val="0"/>
    <w:rPr>
      <w:rFonts w:ascii="Times New Roman" w:hAnsi="Times New Roman" w:eastAsia="宋体" w:cs="Times New Roman"/>
      <w:sz w:val="18"/>
      <w:szCs w:val="18"/>
    </w:rPr>
  </w:style>
  <w:style w:type="paragraph" w:styleId="4">
    <w:name w:val="footer"/>
    <w:basedOn w:val="1"/>
    <w:link w:val="11"/>
    <w:autoRedefine/>
    <w:qFormat/>
    <w:uiPriority w:val="0"/>
    <w:pPr>
      <w:tabs>
        <w:tab w:val="center" w:pos="4153"/>
        <w:tab w:val="right" w:pos="8306"/>
      </w:tabs>
      <w:snapToGrid w:val="0"/>
      <w:jc w:val="left"/>
    </w:pPr>
    <w:rPr>
      <w:sz w:val="18"/>
    </w:rPr>
  </w:style>
  <w:style w:type="paragraph" w:styleId="5">
    <w:name w:val="header"/>
    <w:basedOn w:val="1"/>
    <w:link w:val="1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autoRedefine/>
    <w:qFormat/>
    <w:uiPriority w:val="0"/>
    <w:rPr>
      <w:color w:val="0000FF"/>
      <w:u w:val="single"/>
    </w:rPr>
  </w:style>
  <w:style w:type="character" w:customStyle="1" w:styleId="11">
    <w:name w:val="页脚 Char"/>
    <w:link w:val="4"/>
    <w:autoRedefine/>
    <w:qFormat/>
    <w:uiPriority w:val="0"/>
    <w:rPr>
      <w:rFonts w:ascii="Times New Roman" w:hAnsi="Times New Roman" w:eastAsia="宋体" w:cs="Times New Roman"/>
      <w:sz w:val="18"/>
    </w:rPr>
  </w:style>
  <w:style w:type="character" w:customStyle="1" w:styleId="12">
    <w:name w:val="页眉 Char"/>
    <w:link w:val="5"/>
    <w:autoRedefine/>
    <w:qFormat/>
    <w:uiPriority w:val="0"/>
    <w:rPr>
      <w:rFonts w:ascii="Times New Roman" w:hAnsi="Times New Roman" w:eastAsia="宋体" w:cs="Times New Roman"/>
      <w:sz w:val="18"/>
    </w:rPr>
  </w:style>
  <w:style w:type="character" w:customStyle="1" w:styleId="13">
    <w:name w:val="批注框文本 Char"/>
    <w:link w:val="3"/>
    <w:autoRedefine/>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商务风财务工作计划"/>
      <sectRole val="1"/>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6653</Words>
  <Characters>6831</Characters>
  <Lines>0</Lines>
  <Paragraphs>0</Paragraphs>
  <TotalTime>3</TotalTime>
  <ScaleCrop>false</ScaleCrop>
  <LinksUpToDate>false</LinksUpToDate>
  <CharactersWithSpaces>6846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2023-08-14T07:53:00Z</dcterms:created>
  <dc:creator>王奕文</dc:creator>
  <cp:lastModifiedBy>闫莉媛</cp:lastModifiedBy>
  <cp:lastPrinted>2024-04-30T05:21:00Z</cp:lastPrinted>
  <dcterms:modified xsi:type="dcterms:W3CDTF">2025-03-17T08:32:21Z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9824458EBA084B66A76A8FB1A2AA30DF_13</vt:lpwstr>
  </property>
  <property fmtid="{D5CDD505-2E9C-101B-9397-08002B2CF9AE}" pid="4" name="KSOTemplateDocerSaveRecord">
    <vt:lpwstr>eyJoZGlkIjoiMjI1ZDc0YTU0NDUxMjgyMWQ5ZTA1ZGJiMjk0NDE0OTkiLCJ1c2VySWQiOiIyMTA5OTI3NTQifQ==</vt:lpwstr>
  </property>
</Properties>
</file>