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218183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color w:val="FF0000"/>
          <w:w w:val="100"/>
          <w:sz w:val="72"/>
          <w:szCs w:val="112"/>
          <w:highlight w:val="none"/>
          <w:lang w:val="en-US" w:eastAsia="zh-CN"/>
        </w:rPr>
      </w:pPr>
      <w:r>
        <w:rPr>
          <w:sz w:val="72"/>
          <w:highlight w:val="none"/>
        </w:rPr>
        <mc:AlternateContent>
          <mc:Choice Requires="wps">
            <w:drawing>
              <wp:anchor distT="0" distB="0" distL="114300" distR="114300" simplePos="0" relativeHeight="251660288" behindDoc="0" locked="0" layoutInCell="1" allowOverlap="1">
                <wp:simplePos x="0" y="0"/>
                <wp:positionH relativeFrom="column">
                  <wp:posOffset>64770</wp:posOffset>
                </wp:positionH>
                <wp:positionV relativeFrom="paragraph">
                  <wp:posOffset>791845</wp:posOffset>
                </wp:positionV>
                <wp:extent cx="5153025" cy="635"/>
                <wp:effectExtent l="0" t="6350" r="3175" b="12065"/>
                <wp:wrapNone/>
                <wp:docPr id="2" name="直接连接符 2"/>
                <wp:cNvGraphicFramePr/>
                <a:graphic xmlns:a="http://schemas.openxmlformats.org/drawingml/2006/main">
                  <a:graphicData uri="http://schemas.microsoft.com/office/word/2010/wordprocessingShape">
                    <wps:wsp>
                      <wps:cNvCnPr/>
                      <wps:spPr>
                        <a:xfrm flipV="1">
                          <a:off x="1198880" y="1697355"/>
                          <a:ext cx="5153025" cy="635"/>
                        </a:xfrm>
                        <a:prstGeom prst="line">
                          <a:avLst/>
                        </a:prstGeom>
                        <a:ln>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5.1pt;margin-top:62.35pt;height:0.05pt;width:405.75pt;z-index:251660288;mso-width-relative:page;mso-height-relative:page;" filled="f" stroked="t" coordsize="21600,21600" o:gfxdata="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CKbPj11wAAAAoBAAAPAAAAAAAAAAEAIAAAACIAAABkcnMvZG93bnJl&#10;di54bWxQSwECFAAUAAAACACHTuJAcllXa/4BAADKAwAADgAAAAAAAAABACAAAAAmAQAAZHJzL2Uy&#10;b0RvYy54bWxQSwUGAAAAAAYABgBZAQAAlgUAAAAA&#10;">
                <v:fill on="f" focussize="0,0"/>
                <v:stroke weight="1pt" color="#FF0000 [3204]" miterlimit="8" joinstyle="miter"/>
                <v:imagedata o:title=""/>
                <o:lock v:ext="edit" aspectratio="f"/>
              </v:line>
            </w:pict>
          </mc:Fallback>
        </mc:AlternateContent>
      </w:r>
      <w:r>
        <w:rPr>
          <w:rFonts w:hint="eastAsia" w:ascii="方正小标宋简体" w:hAnsi="方正小标宋简体" w:eastAsia="方正小标宋简体" w:cs="方正小标宋简体"/>
          <w:color w:val="FF0000"/>
          <w:spacing w:val="1"/>
          <w:w w:val="65"/>
          <w:kern w:val="0"/>
          <w:sz w:val="72"/>
          <w:szCs w:val="112"/>
          <w:highlight w:val="none"/>
          <w:fitText w:val="8525" w:id="917585199"/>
          <w:lang w:val="en-US" w:eastAsia="zh-CN"/>
        </w:rPr>
        <w:t>贵州谦和房地产开发有限公司管理人文</w:t>
      </w:r>
      <w:r>
        <w:rPr>
          <w:rFonts w:hint="eastAsia" w:ascii="方正小标宋简体" w:hAnsi="方正小标宋简体" w:eastAsia="方正小标宋简体" w:cs="方正小标宋简体"/>
          <w:color w:val="FF0000"/>
          <w:spacing w:val="44"/>
          <w:w w:val="65"/>
          <w:kern w:val="0"/>
          <w:sz w:val="72"/>
          <w:szCs w:val="112"/>
          <w:highlight w:val="none"/>
          <w:fitText w:val="8525" w:id="917585199"/>
          <w:lang w:val="en-US" w:eastAsia="zh-CN"/>
        </w:rPr>
        <w:t>件</w:t>
      </w:r>
    </w:p>
    <w:p w14:paraId="6B469D6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简体" w:hAnsi="方正小标宋简体" w:eastAsia="方正小标宋简体" w:cs="方正小标宋简体"/>
          <w:sz w:val="28"/>
          <w:szCs w:val="36"/>
          <w:highlight w:val="none"/>
          <w:lang w:val="en-US" w:eastAsia="zh-CN"/>
        </w:rPr>
      </w:pPr>
      <w:r>
        <w:rPr>
          <w:sz w:val="72"/>
          <w:highlight w:val="none"/>
        </w:rPr>
        <mc:AlternateContent>
          <mc:Choice Requires="wps">
            <w:drawing>
              <wp:anchor distT="0" distB="0" distL="114300" distR="114300" simplePos="0" relativeHeight="251661312" behindDoc="0" locked="0" layoutInCell="1" allowOverlap="1">
                <wp:simplePos x="0" y="0"/>
                <wp:positionH relativeFrom="column">
                  <wp:posOffset>57150</wp:posOffset>
                </wp:positionH>
                <wp:positionV relativeFrom="paragraph">
                  <wp:posOffset>107315</wp:posOffset>
                </wp:positionV>
                <wp:extent cx="5153025" cy="635"/>
                <wp:effectExtent l="0" t="20320" r="3175" b="29845"/>
                <wp:wrapNone/>
                <wp:docPr id="4" name="直接连接符 4"/>
                <wp:cNvGraphicFramePr/>
                <a:graphic xmlns:a="http://schemas.openxmlformats.org/drawingml/2006/main">
                  <a:graphicData uri="http://schemas.microsoft.com/office/word/2010/wordprocessingShape">
                    <wps:wsp>
                      <wps:cNvCnPr/>
                      <wps:spPr>
                        <a:xfrm flipV="1">
                          <a:off x="0" y="0"/>
                          <a:ext cx="5153025" cy="635"/>
                        </a:xfrm>
                        <a:prstGeom prst="line">
                          <a:avLst/>
                        </a:prstGeom>
                        <a:ln w="41275">
                          <a:solidFill>
                            <a:srgbClr val="FF0000"/>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4.5pt;margin-top:8.45pt;height:0.05pt;width:405.75pt;z-index:251661312;mso-width-relative:page;mso-height-relative:page;" filled="f" stroked="t" coordsize="21600,21600" o:gfxdata="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B2TzN9YAAAAHAQAADwAAAAAAAAABACAAAAAiAAAAZHJzL2Rvd25yZXYueG1sUEsBAhQAFAAA&#10;AAgAh07iQNySIn3xAQAAvgMAAA4AAAAAAAAAAQAgAAAAJQEAAGRycy9lMm9Eb2MueG1sUEsFBgAA&#10;AAAGAAYAWQEAAIgFAAAAAA==&#10;">
                <v:fill on="f" focussize="0,0"/>
                <v:stroke weight="3.25pt" color="#FF0000 [3204]" miterlimit="8" joinstyle="miter"/>
                <v:imagedata o:title=""/>
                <o:lock v:ext="edit" aspectratio="f"/>
              </v:line>
            </w:pict>
          </mc:Fallback>
        </mc:AlternateContent>
      </w:r>
    </w:p>
    <w:p w14:paraId="28A4398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方正小标宋简体" w:hAnsi="方正小标宋简体" w:eastAsia="方正小标宋简体" w:cs="方正小标宋简体"/>
          <w:b/>
          <w:bCs/>
          <w:sz w:val="44"/>
          <w:szCs w:val="52"/>
          <w:highlight w:val="none"/>
          <w:lang w:val="en-US" w:eastAsia="zh-CN"/>
        </w:rPr>
      </w:pPr>
      <w:bookmarkStart w:id="0" w:name="_GoBack"/>
      <w:r>
        <w:rPr>
          <w:rFonts w:hint="eastAsia" w:ascii="方正小标宋简体" w:hAnsi="方正小标宋简体" w:eastAsia="方正小标宋简体" w:cs="方正小标宋简体"/>
          <w:b/>
          <w:bCs/>
          <w:sz w:val="44"/>
          <w:szCs w:val="52"/>
          <w:highlight w:val="none"/>
          <w:lang w:val="en-US" w:eastAsia="zh-CN"/>
        </w:rPr>
        <w:t>关于预招募“新秀城”项目续建施工单位的公 告</w:t>
      </w:r>
    </w:p>
    <w:p w14:paraId="1474B6E1">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 w:hAnsi="仿宋" w:eastAsia="仿宋" w:cs="仿宋"/>
          <w:sz w:val="28"/>
          <w:szCs w:val="36"/>
          <w:highlight w:val="none"/>
          <w:lang w:val="en-US" w:eastAsia="zh-CN"/>
        </w:rPr>
      </w:pPr>
      <w:r>
        <w:rPr>
          <w:rFonts w:hint="eastAsia" w:ascii="仿宋" w:hAnsi="仿宋" w:eastAsia="仿宋" w:cs="仿宋"/>
          <w:sz w:val="28"/>
          <w:szCs w:val="36"/>
          <w:highlight w:val="none"/>
          <w:lang w:val="en-US" w:eastAsia="zh-CN"/>
        </w:rPr>
        <w:t>谦和管理人（2025）第078号</w:t>
      </w:r>
    </w:p>
    <w:p w14:paraId="1D361134">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36"/>
          <w:highlight w:val="none"/>
          <w:lang w:val="en-US" w:eastAsia="zh-CN"/>
        </w:rPr>
      </w:pPr>
      <w:r>
        <w:rPr>
          <w:rFonts w:hint="eastAsia" w:ascii="仿宋" w:hAnsi="仿宋" w:eastAsia="仿宋" w:cs="仿宋"/>
          <w:sz w:val="28"/>
          <w:szCs w:val="36"/>
          <w:highlight w:val="none"/>
          <w:lang w:val="en-US" w:eastAsia="zh-CN"/>
        </w:rPr>
        <w:t>2025年1月6日，贵州省贵阳市南明区人民法院（以下简称南明法院）作出（2024）黔0102破申39号民事裁定，裁定受理贵阳市南明区房屋征收服务中心对贵州谦和房地产开发有限公司（以下简称谦和房开）的破产清算申请。2025年1月9日，南明法院指定国浩律师（贵阳）事务所、北京市企业清算事务所有限公司担任谦和房开的联合管理人（以下简称管理人）。</w:t>
      </w:r>
    </w:p>
    <w:p w14:paraId="1F94B84C">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sz w:val="28"/>
          <w:szCs w:val="36"/>
          <w:highlight w:val="none"/>
          <w:lang w:val="en-US" w:eastAsia="zh-CN"/>
        </w:rPr>
      </w:pPr>
      <w:r>
        <w:rPr>
          <w:rFonts w:hint="eastAsia" w:ascii="仿宋" w:hAnsi="仿宋" w:eastAsia="仿宋" w:cs="仿宋"/>
          <w:color w:val="auto"/>
          <w:sz w:val="28"/>
          <w:szCs w:val="36"/>
          <w:highlight w:val="none"/>
          <w:lang w:val="en-US" w:eastAsia="zh-CN"/>
        </w:rPr>
        <w:t>为确保施工现场安全，避免发生安全事故和地质灾害，维护债权人合法权益，保障债务人财产价值最大化，管理人拟通过公开方式预招募“新秀城”项目续建的施工单位。</w:t>
      </w:r>
      <w:r>
        <w:rPr>
          <w:rFonts w:hint="eastAsia" w:ascii="仿宋" w:hAnsi="仿宋" w:eastAsia="仿宋" w:cs="仿宋"/>
          <w:sz w:val="28"/>
          <w:szCs w:val="36"/>
          <w:highlight w:val="none"/>
          <w:lang w:val="en-US" w:eastAsia="zh-CN"/>
        </w:rPr>
        <w:t>现将预招募相关事项公告如下：</w:t>
      </w:r>
    </w:p>
    <w:p w14:paraId="2AE2C7B5">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黑体" w:hAnsi="黑体" w:eastAsia="黑体" w:cs="黑体"/>
          <w:sz w:val="28"/>
          <w:szCs w:val="36"/>
          <w:highlight w:val="none"/>
          <w:lang w:val="en-US" w:eastAsia="zh-CN"/>
        </w:rPr>
      </w:pPr>
      <w:r>
        <w:rPr>
          <w:rFonts w:hint="eastAsia" w:ascii="黑体" w:hAnsi="黑体" w:eastAsia="黑体" w:cs="黑体"/>
          <w:sz w:val="28"/>
          <w:szCs w:val="36"/>
          <w:highlight w:val="none"/>
          <w:lang w:val="en-US" w:eastAsia="zh-CN"/>
        </w:rPr>
        <w:t>一、“新秀城”项目基本情况</w:t>
      </w:r>
    </w:p>
    <w:p w14:paraId="24507661">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36"/>
          <w:highlight w:val="none"/>
          <w:lang w:val="en-US" w:eastAsia="zh-CN"/>
        </w:rPr>
      </w:pPr>
      <w:r>
        <w:rPr>
          <w:rFonts w:hint="eastAsia" w:ascii="仿宋" w:hAnsi="仿宋" w:eastAsia="仿宋" w:cs="仿宋"/>
          <w:sz w:val="28"/>
          <w:szCs w:val="36"/>
          <w:highlight w:val="none"/>
          <w:lang w:val="en-US" w:eastAsia="zh-CN"/>
        </w:rPr>
        <w:t>谦和房开开发的“省冶金研究所及周边地块棚户区改造项目（新秀城）”位于贵州省贵阳市南明区观水路北侧、宝山南路西侧，项目总用地面积约3.8万平方米，总建筑面积约38万平方米，包括1#、2#、3#、4#及5#商业裙房。2023年2月15日起，项目处于停工状态。停工期间，各参建单位均已退场，原施工单位贵州建工集团第一建筑工程有限责任公司（以下简称建工一公司）安排有驻场管理人员每日对现场进行基坑安全巡视、基坑排水、施工监测以及对现场安全防护进行检查管理，对现场停滞的1台塔吊、1台施工升降机及爬架进行安全维保。</w:t>
      </w:r>
    </w:p>
    <w:p w14:paraId="40B929A6">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仿宋" w:hAnsi="仿宋" w:eastAsia="仿宋" w:cs="仿宋"/>
          <w:color w:val="000000" w:themeColor="text1"/>
          <w:sz w:val="28"/>
          <w:szCs w:val="36"/>
          <w:highlight w:val="none"/>
          <w:lang w:val="en-US" w:eastAsia="zh-CN"/>
          <w14:textFill>
            <w14:solidFill>
              <w14:schemeClr w14:val="tx1"/>
            </w14:solidFill>
          </w14:textFill>
        </w:rPr>
      </w:pPr>
      <w:r>
        <w:rPr>
          <w:rFonts w:hint="eastAsia" w:ascii="仿宋" w:hAnsi="仿宋" w:eastAsia="仿宋" w:cs="仿宋"/>
          <w:sz w:val="28"/>
          <w:szCs w:val="36"/>
          <w:highlight w:val="none"/>
          <w:lang w:val="en-US" w:eastAsia="zh-CN"/>
        </w:rPr>
        <w:t>截止目前，现场已累计完成土石方约72万方，锚索1830根；抗滑桩330根，完成基坑开挖工程量90%；1#楼完成主体2层结构，2#楼完成主体结构25层，完成3、4#楼孔桩基础47个，完成结构面积54783.31㎡，已完成部分占比约14%。项目基坑开挖面积22506.42㎡，开挖深24-33米，项目基坑边坡支护设计为临时边坡，设计使用年限为2年，2023年11月30日已达到设计使用年限。</w:t>
      </w:r>
      <w:r>
        <w:rPr>
          <w:rFonts w:hint="eastAsia" w:ascii="黑体" w:hAnsi="黑体" w:eastAsia="黑体" w:cs="黑体"/>
          <w:color w:val="000000" w:themeColor="text1"/>
          <w:sz w:val="28"/>
          <w:szCs w:val="36"/>
          <w:highlight w:val="none"/>
          <w:lang w:val="en-US" w:eastAsia="zh-CN"/>
          <w14:textFill>
            <w14:solidFill>
              <w14:schemeClr w14:val="tx1"/>
            </w14:solidFill>
          </w14:textFill>
        </w:rPr>
        <w:t>项目现状以参选机构现场踏勘情况为准</w:t>
      </w:r>
      <w:r>
        <w:rPr>
          <w:rFonts w:hint="eastAsia" w:ascii="仿宋" w:hAnsi="仿宋" w:eastAsia="仿宋" w:cs="仿宋"/>
          <w:color w:val="000000" w:themeColor="text1"/>
          <w:sz w:val="28"/>
          <w:szCs w:val="36"/>
          <w:highlight w:val="none"/>
          <w:lang w:val="en-US" w:eastAsia="zh-CN"/>
          <w14:textFill>
            <w14:solidFill>
              <w14:schemeClr w14:val="tx1"/>
            </w14:solidFill>
          </w14:textFill>
        </w:rPr>
        <w:t>。</w:t>
      </w:r>
    </w:p>
    <w:p w14:paraId="1F6C3468">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黑体" w:hAnsi="黑体" w:eastAsia="黑体" w:cs="黑体"/>
          <w:sz w:val="28"/>
          <w:szCs w:val="36"/>
          <w:highlight w:val="none"/>
          <w:lang w:val="en-US" w:eastAsia="zh-CN"/>
        </w:rPr>
      </w:pPr>
      <w:r>
        <w:rPr>
          <w:rFonts w:hint="eastAsia" w:ascii="黑体" w:hAnsi="黑体" w:eastAsia="黑体" w:cs="黑体"/>
          <w:sz w:val="28"/>
          <w:szCs w:val="36"/>
          <w:highlight w:val="none"/>
          <w:lang w:val="en-US" w:eastAsia="zh-CN"/>
        </w:rPr>
        <w:t>二、预招募须知</w:t>
      </w:r>
    </w:p>
    <w:p w14:paraId="2E1B797B">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1.本次预招募以公平、公正、公开为原则，面向社会公开预招募，本公告内容对全体有意向的潜在响应方同等适用。</w:t>
      </w:r>
    </w:p>
    <w:p w14:paraId="0BA37D2C">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2.本公告所列明的“新秀城”项目有关情况仅供参考，响应机构应自行深入了解项目详情及潜在风险。</w:t>
      </w:r>
    </w:p>
    <w:p w14:paraId="322176BC">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由于谦和房开自身资金链断裂、企业融资能力较差，根据《中华人民共和国企业破产法》《最高人民法院关于适用&lt;中华人民共和国企业破产法&gt;若干问题的规定（三）》等规定，需要响应机构垫资进行施工，施工单位垫付的施工费用作为共益债务参照《中华人民共和国企业破产法》第四十二条、第四十三条、第一百一十三条之规定处理（最终以人民法院批准或者债权人会议表决的为准）。</w:t>
      </w:r>
    </w:p>
    <w:p w14:paraId="2886E79D">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本次仅为“预招募”程序，目的在于尽快推动项目复工复建，确定中选机构后仍需报请人民法院许可（一债会前）或提请债权人会议表决，征得法院许可或债权人会议决议通过后方可签订涉及共益债务的施工合同。</w:t>
      </w:r>
    </w:p>
    <w:p w14:paraId="48C9D4FA">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5.本公告非要约文件，只作参考使用，不构成管理人对响应机构的任何承诺或保障，相关权利义务应以经南明法院批准并最终签订的合同为准。</w:t>
      </w:r>
    </w:p>
    <w:p w14:paraId="620611CE">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6.本公告最终解释权归管理人所有。</w:t>
      </w:r>
    </w:p>
    <w:p w14:paraId="1145FEE3">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ascii="黑体" w:hAnsi="黑体" w:eastAsia="黑体" w:cs="黑体"/>
          <w:sz w:val="28"/>
          <w:szCs w:val="36"/>
          <w:highlight w:val="none"/>
          <w:lang w:val="en-US" w:eastAsia="zh-CN"/>
        </w:rPr>
      </w:pPr>
      <w:r>
        <w:rPr>
          <w:rFonts w:hint="eastAsia" w:ascii="黑体" w:hAnsi="黑体" w:eastAsia="黑体" w:cs="黑体"/>
          <w:sz w:val="28"/>
          <w:szCs w:val="36"/>
          <w:highlight w:val="none"/>
          <w:lang w:val="en-US" w:eastAsia="zh-CN"/>
        </w:rPr>
        <w:t>三、预招募范围</w:t>
      </w:r>
    </w:p>
    <w:p w14:paraId="74982774">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本次预招募的范围为“新秀城”项目±0以下部分（含边坡支护、基坑治理、地下室施工等）的施工。±0以上的部分暂不列入本次预招募范围，后续将按照法律法规规定处理。具体工程内容以最终签订的施工合同以及审核后的施工图纸为准。</w:t>
      </w:r>
    </w:p>
    <w:p w14:paraId="35A709E1">
      <w:pPr>
        <w:keepNext w:val="0"/>
        <w:keepLines w:val="0"/>
        <w:pageBreakBefore w:val="0"/>
        <w:widowControl w:val="0"/>
        <w:kinsoku/>
        <w:wordWrap/>
        <w:overflowPunct/>
        <w:topLinePunct w:val="0"/>
        <w:autoSpaceDE/>
        <w:autoSpaceDN/>
        <w:bidi w:val="0"/>
        <w:adjustRightInd/>
        <w:snapToGrid/>
        <w:spacing w:line="560" w:lineRule="exact"/>
        <w:ind w:firstLine="0"/>
        <w:textAlignment w:val="auto"/>
        <w:rPr>
          <w:rFonts w:hint="eastAsia" w:ascii="仿宋" w:hAnsi="仿宋" w:eastAsia="仿宋" w:cs="仿宋"/>
          <w:sz w:val="28"/>
          <w:szCs w:val="28"/>
          <w:highlight w:val="none"/>
          <w:lang w:val="en-US" w:eastAsia="zh-CN"/>
        </w:rPr>
      </w:pPr>
      <w:r>
        <w:rPr>
          <w:rFonts w:hint="eastAsia" w:ascii="楷体" w:hAnsi="楷体" w:eastAsia="楷体" w:cs="楷体"/>
          <w:b/>
          <w:bCs/>
          <w:kern w:val="2"/>
          <w:sz w:val="28"/>
          <w:szCs w:val="36"/>
          <w:highlight w:val="none"/>
          <w:lang w:val="en-US" w:eastAsia="zh-CN" w:bidi="ar-SA"/>
        </w:rPr>
        <w:t xml:space="preserve"> </w:t>
      </w:r>
      <w:r>
        <w:rPr>
          <w:rFonts w:hint="eastAsia" w:ascii="黑体" w:hAnsi="黑体" w:eastAsia="黑体" w:cs="黑体"/>
          <w:b w:val="0"/>
          <w:bCs w:val="0"/>
          <w:kern w:val="2"/>
          <w:sz w:val="28"/>
          <w:szCs w:val="36"/>
          <w:highlight w:val="none"/>
          <w:lang w:val="en-US" w:eastAsia="zh-CN" w:bidi="ar-SA"/>
        </w:rPr>
        <w:t xml:space="preserve">   四、预招募条件</w:t>
      </w:r>
    </w:p>
    <w:p w14:paraId="5962AB14">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响应机构应当具备建设行政主管部门核发的建筑工程施工总承包特级资质，有效的安全生产许可证，并在人员、设备等方面具有相应的施工能力。近三年没有受到刑事处罚、未被列入国家企业信用信息公示系统经营异常名录及严重违法失信名单，资信情况良好。</w:t>
      </w:r>
    </w:p>
    <w:p w14:paraId="7D2EE12D">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2.响应机构应做好垫资施工的准备并具备相应的资金实力，作为保障，管理人拟将施工方垫付的施工费用作为共益债务进行清偿（</w:t>
      </w:r>
      <w:r>
        <w:rPr>
          <w:rFonts w:hint="eastAsia" w:ascii="黑体" w:hAnsi="黑体" w:eastAsia="黑体" w:cs="黑体"/>
          <w:sz w:val="28"/>
          <w:szCs w:val="28"/>
          <w:highlight w:val="none"/>
          <w:lang w:val="en-US" w:eastAsia="zh-CN"/>
        </w:rPr>
        <w:t>特别说明：根据相关法律规定，管理人为继续营业而借款需由债权人会议决议通过或第一次债权人会议召开前经人民法院许可。请响应机构根据自身情况，充分考虑有关法律风险</w:t>
      </w:r>
      <w:r>
        <w:rPr>
          <w:rFonts w:hint="eastAsia" w:ascii="仿宋" w:hAnsi="仿宋" w:eastAsia="仿宋" w:cs="仿宋"/>
          <w:sz w:val="28"/>
          <w:szCs w:val="28"/>
          <w:highlight w:val="none"/>
          <w:lang w:val="en-US" w:eastAsia="zh-CN"/>
        </w:rPr>
        <w:t>）。</w:t>
      </w:r>
    </w:p>
    <w:p w14:paraId="09293808">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3.响应机构应向管理人提交详细的施工方案、资金方案等，承诺愿意成为“新秀城”项目±0以下部分的施工单位并自愿依照招募公告及相关文件参与比选，承担相应的法律责任。</w:t>
      </w:r>
    </w:p>
    <w:p w14:paraId="638C0FB4">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4.拟委派的项目负责人（项目经理）、技术人员应当是响应机构本单位人员，具备符合本项目施工需要的条件。</w:t>
      </w:r>
    </w:p>
    <w:p w14:paraId="21EE2B48">
      <w:pPr>
        <w:keepNext w:val="0"/>
        <w:keepLines w:val="0"/>
        <w:pageBreakBefore w:val="0"/>
        <w:widowControl w:val="0"/>
        <w:kinsoku/>
        <w:wordWrap/>
        <w:overflowPunct/>
        <w:topLinePunct w:val="0"/>
        <w:autoSpaceDE/>
        <w:autoSpaceDN/>
        <w:bidi w:val="0"/>
        <w:adjustRightInd/>
        <w:snapToGrid/>
        <w:spacing w:line="560" w:lineRule="exact"/>
        <w:ind w:firstLine="560" w:firstLineChars="200"/>
        <w:textAlignment w:val="auto"/>
        <w:rPr>
          <w:rFonts w:hint="default" w:ascii="黑体" w:hAnsi="黑体" w:eastAsia="黑体" w:cs="黑体"/>
          <w:b w:val="0"/>
          <w:bCs w:val="0"/>
          <w:kern w:val="2"/>
          <w:sz w:val="28"/>
          <w:szCs w:val="36"/>
          <w:highlight w:val="none"/>
          <w:lang w:val="en-US" w:eastAsia="zh-CN" w:bidi="ar-SA"/>
        </w:rPr>
      </w:pPr>
      <w:r>
        <w:rPr>
          <w:rFonts w:hint="eastAsia" w:ascii="黑体" w:hAnsi="黑体" w:eastAsia="黑体" w:cs="黑体"/>
          <w:b w:val="0"/>
          <w:bCs w:val="0"/>
          <w:kern w:val="2"/>
          <w:sz w:val="28"/>
          <w:szCs w:val="36"/>
          <w:highlight w:val="none"/>
          <w:lang w:val="en-US" w:eastAsia="zh-CN" w:bidi="ar-SA"/>
        </w:rPr>
        <w:t>五、预招募流程</w:t>
      </w:r>
    </w:p>
    <w:p w14:paraId="71172C8D">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楷体" w:hAnsi="楷体" w:eastAsia="楷体" w:cs="楷体"/>
          <w:b/>
          <w:bCs/>
          <w:sz w:val="28"/>
          <w:szCs w:val="28"/>
          <w:highlight w:val="none"/>
          <w:lang w:val="en-US" w:eastAsia="zh-CN"/>
        </w:rPr>
      </w:pPr>
      <w:r>
        <w:rPr>
          <w:rFonts w:hint="eastAsia" w:ascii="楷体" w:hAnsi="楷体" w:eastAsia="楷体" w:cs="楷体"/>
          <w:b/>
          <w:bCs/>
          <w:sz w:val="28"/>
          <w:szCs w:val="28"/>
          <w:highlight w:val="none"/>
          <w:lang w:val="en-US" w:eastAsia="zh-CN"/>
        </w:rPr>
        <w:t>（一）报名阶段</w:t>
      </w:r>
    </w:p>
    <w:p w14:paraId="711D74AE">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1.报名材料</w:t>
      </w:r>
    </w:p>
    <w:p w14:paraId="2191301E">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参选机构应保证所提供的全部资料真实、准确以及完整。报名材料应包括但不限于以下内容：</w:t>
      </w:r>
    </w:p>
    <w:p w14:paraId="04B093E5">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（1）报名意向书（加盖公章，格式自拟，内容包括但不限于响应机构基本情况介绍、资质介绍、施工能力说明、成功案例等）；</w:t>
      </w:r>
    </w:p>
    <w:p w14:paraId="68C2D8ED">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2）企业主体资格信息。企业法人营业执照（复印件加盖公章）、相关资质证书（复印件加盖公章）、法定代表人身份证明书、法定代表人身份证复印件（加盖公章）、授权委托书、受托人身份证复印件（加盖公章）;</w:t>
      </w:r>
    </w:p>
    <w:p w14:paraId="486DC572">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（3）施工方案（加盖公章，格式自拟，内容包括但不限于工期、施工计划等）；</w:t>
      </w:r>
    </w:p>
    <w:p w14:paraId="22B0006D">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（4）资金方案（加盖公章，格式自拟，内容包括但不限于工程款计价方式、付款周期比例、垫资计划、垫资利息计算方式等）；</w:t>
      </w:r>
    </w:p>
    <w:p w14:paraId="0A2E715D">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（5）工作优势（加盖公章，格式自拟。重点考虑在类似项目上的经验、对本项目的了解程度、工作预案的可行性等）；</w:t>
      </w:r>
    </w:p>
    <w:p w14:paraId="3D3A7E16">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（6）承诺函（加盖公章，格式参照附件1）；</w:t>
      </w:r>
    </w:p>
    <w:p w14:paraId="1D39DF69">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（7）响应机构应一并提交拟用于谈判的施工合同文本（格式自拟，应当包括施工合同应当具备的主要条款、响应本项目的具体商务条件等）；</w:t>
      </w:r>
    </w:p>
    <w:p w14:paraId="42AA7405">
      <w:pPr>
        <w:pStyle w:val="2"/>
        <w:keepNext w:val="0"/>
        <w:keepLines w:val="0"/>
        <w:pageBreakBefore w:val="0"/>
        <w:widowControl w:val="0"/>
        <w:kinsoku/>
        <w:wordWrap/>
        <w:overflowPunct/>
        <w:topLinePunct w:val="0"/>
        <w:autoSpaceDE/>
        <w:autoSpaceDN/>
        <w:bidi w:val="0"/>
        <w:adjustRightInd/>
        <w:snapToGrid/>
        <w:spacing w:line="560" w:lineRule="exact"/>
        <w:ind w:left="0" w:leftChars="0" w:firstLine="560" w:firstLineChars="200"/>
        <w:textAlignment w:val="auto"/>
        <w:rPr>
          <w:rFonts w:hint="default" w:ascii="仿宋" w:hAnsi="仿宋" w:eastAsia="仿宋" w:cs="仿宋"/>
          <w:kern w:val="2"/>
          <w:sz w:val="28"/>
          <w:szCs w:val="28"/>
          <w:highlight w:val="none"/>
          <w:lang w:val="en-US" w:eastAsia="zh-CN" w:bidi="ar-SA"/>
        </w:rPr>
      </w:pPr>
      <w:r>
        <w:rPr>
          <w:rFonts w:hint="eastAsia" w:ascii="仿宋" w:hAnsi="仿宋" w:eastAsia="仿宋" w:cs="仿宋"/>
          <w:sz w:val="28"/>
          <w:szCs w:val="28"/>
          <w:highlight w:val="none"/>
          <w:lang w:val="en-US" w:eastAsia="zh-CN"/>
        </w:rPr>
        <w:t>（8）</w:t>
      </w:r>
      <w:r>
        <w:rPr>
          <w:rFonts w:hint="eastAsia" w:ascii="仿宋" w:hAnsi="仿宋" w:eastAsia="仿宋" w:cs="仿宋"/>
          <w:kern w:val="2"/>
          <w:sz w:val="28"/>
          <w:szCs w:val="28"/>
          <w:highlight w:val="none"/>
          <w:lang w:val="en-US" w:eastAsia="zh-CN" w:bidi="ar-SA"/>
        </w:rPr>
        <w:t>响应机构认为需要提交的其他材料。</w:t>
      </w:r>
    </w:p>
    <w:p w14:paraId="1700FF9C">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2.报名方式</w:t>
      </w:r>
    </w:p>
    <w:p w14:paraId="77A3F194">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黑体" w:hAnsi="黑体" w:eastAsia="黑体" w:cs="黑体"/>
          <w:sz w:val="28"/>
          <w:szCs w:val="28"/>
          <w:highlight w:val="none"/>
          <w:lang w:val="en-US" w:eastAsia="zh-CN"/>
        </w:rPr>
        <w:t>请有意参选的施工单位于</w:t>
      </w:r>
      <w:r>
        <w:rPr>
          <w:rFonts w:hint="eastAsia" w:ascii="黑体" w:hAnsi="黑体" w:eastAsia="黑体" w:cs="黑体"/>
          <w:color w:val="auto"/>
          <w:sz w:val="28"/>
          <w:szCs w:val="28"/>
          <w:highlight w:val="none"/>
          <w:lang w:val="en-US" w:eastAsia="zh-CN"/>
        </w:rPr>
        <w:t>本公告发布之日起5日内（即2025年3月17日下午16：00前）</w:t>
      </w:r>
      <w:r>
        <w:rPr>
          <w:rFonts w:hint="eastAsia" w:ascii="仿宋" w:hAnsi="仿宋" w:eastAsia="仿宋" w:cs="仿宋"/>
          <w:sz w:val="28"/>
          <w:szCs w:val="28"/>
          <w:highlight w:val="none"/>
          <w:lang w:val="en-US" w:eastAsia="zh-CN"/>
        </w:rPr>
        <w:t>按照本公告所列要求准备并提交材料。报名材料一式五份，不区分正副本，密封并加盖公章，报名材料封面应注明报名机构名称、联系人、联系电话等信息，邮寄送达的还应在邮寄底单上注明响应机构名称。</w:t>
      </w:r>
    </w:p>
    <w:p w14:paraId="5AD0C187">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eastAsia" w:ascii="仿宋" w:hAnsi="仿宋" w:eastAsia="仿宋" w:cs="仿宋"/>
          <w:color w:val="auto"/>
          <w:kern w:val="2"/>
          <w:sz w:val="28"/>
          <w:szCs w:val="28"/>
          <w:highlight w:val="none"/>
          <w:lang w:val="en-US" w:eastAsia="zh-CN" w:bidi="ar-SA"/>
        </w:rPr>
      </w:pPr>
      <w:r>
        <w:rPr>
          <w:rFonts w:hint="eastAsia" w:ascii="仿宋" w:hAnsi="仿宋" w:eastAsia="仿宋" w:cs="仿宋"/>
          <w:sz w:val="28"/>
          <w:szCs w:val="28"/>
          <w:highlight w:val="none"/>
          <w:lang w:val="en-US" w:eastAsia="zh-CN"/>
        </w:rPr>
        <w:t>报名材料可通过现场提交或邮寄的方式送达管理人，邮寄送达时间以管理人签收时间为准，无论采用何种提交方式，响应机构均应提前联系管理人说明情况。收件地址/现场送达地址：</w:t>
      </w:r>
      <w:r>
        <w:rPr>
          <w:rFonts w:hint="eastAsia" w:ascii="仿宋" w:hAnsi="仿宋" w:eastAsia="仿宋" w:cs="仿宋"/>
          <w:color w:val="auto"/>
          <w:kern w:val="2"/>
          <w:sz w:val="28"/>
          <w:szCs w:val="28"/>
          <w:highlight w:val="none"/>
          <w:lang w:val="en-US" w:eastAsia="zh-CN" w:bidi="ar-SA"/>
        </w:rPr>
        <w:t>贵阳市观山湖区金融城MAX-C座20层国浩律师（贵阳）事务所，</w:t>
      </w:r>
      <w:r>
        <w:rPr>
          <w:rFonts w:hint="eastAsia" w:ascii="黑体" w:hAnsi="黑体" w:eastAsia="黑体" w:cs="黑体"/>
          <w:color w:val="auto"/>
          <w:kern w:val="2"/>
          <w:sz w:val="28"/>
          <w:szCs w:val="28"/>
          <w:highlight w:val="none"/>
          <w:lang w:val="en-US" w:eastAsia="zh-CN" w:bidi="ar-SA"/>
        </w:rPr>
        <w:t>联系人：陈思彤，联系电话：18223485553。</w:t>
      </w:r>
    </w:p>
    <w:p w14:paraId="52D2C6BF">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仿宋" w:hAnsi="仿宋" w:eastAsia="仿宋" w:cs="仿宋"/>
          <w:sz w:val="28"/>
          <w:szCs w:val="28"/>
          <w:highlight w:val="none"/>
          <w:lang w:val="en-US" w:eastAsia="zh-CN"/>
        </w:rPr>
      </w:pPr>
      <w:r>
        <w:rPr>
          <w:rFonts w:hint="eastAsia" w:ascii="仿宋" w:hAnsi="仿宋" w:eastAsia="仿宋" w:cs="仿宋"/>
          <w:color w:val="auto"/>
          <w:kern w:val="2"/>
          <w:sz w:val="28"/>
          <w:szCs w:val="28"/>
          <w:highlight w:val="none"/>
          <w:lang w:val="en-US" w:eastAsia="zh-CN" w:bidi="ar-SA"/>
        </w:rPr>
        <w:t>如有疑问，可于工作日9时至1</w:t>
      </w:r>
      <w:r>
        <w:rPr>
          <w:rFonts w:hint="eastAsia" w:ascii="仿宋" w:hAnsi="仿宋" w:eastAsia="仿宋" w:cs="仿宋"/>
          <w:sz w:val="28"/>
          <w:szCs w:val="28"/>
          <w:highlight w:val="none"/>
          <w:lang w:val="en-US" w:eastAsia="zh-CN"/>
        </w:rPr>
        <w:t>7时致电咨询管理人工作人员。</w:t>
      </w:r>
    </w:p>
    <w:p w14:paraId="7CD0758C">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hint="default" w:ascii="楷体" w:hAnsi="楷体" w:eastAsia="楷体" w:cs="楷体"/>
          <w:b/>
          <w:bCs/>
          <w:sz w:val="28"/>
          <w:szCs w:val="28"/>
          <w:highlight w:val="none"/>
          <w:lang w:val="en-US" w:eastAsia="zh-CN"/>
        </w:rPr>
      </w:pPr>
      <w:r>
        <w:rPr>
          <w:rFonts w:hint="eastAsia" w:ascii="楷体" w:hAnsi="楷体" w:eastAsia="楷体" w:cs="楷体"/>
          <w:b/>
          <w:bCs/>
          <w:sz w:val="28"/>
          <w:szCs w:val="28"/>
          <w:highlight w:val="none"/>
          <w:lang w:val="en-US" w:eastAsia="zh-CN"/>
        </w:rPr>
        <w:t>（二）评选阶段</w:t>
      </w:r>
    </w:p>
    <w:p w14:paraId="26340A6F">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响应时间截止后，管理人将对已接收的响应文件进行初审，未按本公告所列要求提交材料或超时提交材料的按废标处理。初审通过的视为报名成功，管理人将根据报名材料封面预留的联系人及联系电话另行通知评选时间、地点、方式等信息。</w:t>
      </w:r>
    </w:p>
    <w:p w14:paraId="61933A62">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eastAsia" w:cs="仿宋"/>
          <w:color w:val="auto"/>
          <w:kern w:val="2"/>
          <w:sz w:val="28"/>
          <w:szCs w:val="28"/>
          <w:highlight w:val="none"/>
          <w:lang w:val="en-US" w:eastAsia="zh-CN" w:bidi="ar-SA"/>
        </w:rPr>
      </w:pPr>
      <w:r>
        <w:rPr>
          <w:rFonts w:hint="default" w:ascii="仿宋" w:hAnsi="仿宋" w:eastAsia="仿宋" w:cs="仿宋"/>
          <w:color w:val="auto"/>
          <w:kern w:val="2"/>
          <w:sz w:val="28"/>
          <w:szCs w:val="28"/>
          <w:highlight w:val="none"/>
          <w:lang w:val="en-US" w:eastAsia="zh-CN" w:bidi="ar-SA"/>
        </w:rPr>
        <w:t>管理人</w:t>
      </w:r>
      <w:r>
        <w:rPr>
          <w:rFonts w:hint="eastAsia" w:cs="仿宋"/>
          <w:color w:val="auto"/>
          <w:kern w:val="2"/>
          <w:sz w:val="28"/>
          <w:szCs w:val="28"/>
          <w:highlight w:val="none"/>
          <w:lang w:val="en-US" w:eastAsia="zh-CN" w:bidi="ar-SA"/>
        </w:rPr>
        <w:t>将</w:t>
      </w:r>
      <w:r>
        <w:rPr>
          <w:rFonts w:hint="eastAsia" w:cs="仿宋"/>
          <w:sz w:val="28"/>
          <w:szCs w:val="36"/>
          <w:highlight w:val="none"/>
          <w:lang w:val="en-US" w:eastAsia="zh-CN"/>
        </w:rPr>
        <w:t>组织债权人代表、债务人代表等组成评选小组，</w:t>
      </w:r>
      <w:r>
        <w:rPr>
          <w:rFonts w:hint="eastAsia" w:cs="仿宋"/>
          <w:color w:val="auto"/>
          <w:kern w:val="2"/>
          <w:sz w:val="28"/>
          <w:szCs w:val="28"/>
          <w:highlight w:val="none"/>
          <w:lang w:val="en-US" w:eastAsia="zh-CN" w:bidi="ar-SA"/>
        </w:rPr>
        <w:t>并在法院、专班的指导、监督下</w:t>
      </w:r>
      <w:r>
        <w:rPr>
          <w:rFonts w:hint="default" w:ascii="仿宋" w:hAnsi="仿宋" w:eastAsia="仿宋" w:cs="仿宋"/>
          <w:color w:val="auto"/>
          <w:kern w:val="2"/>
          <w:sz w:val="28"/>
          <w:szCs w:val="28"/>
          <w:highlight w:val="none"/>
          <w:lang w:val="en-US" w:eastAsia="zh-CN" w:bidi="ar-SA"/>
        </w:rPr>
        <w:t>组织</w:t>
      </w:r>
      <w:r>
        <w:rPr>
          <w:rFonts w:hint="eastAsia" w:cs="仿宋"/>
          <w:color w:val="auto"/>
          <w:kern w:val="2"/>
          <w:sz w:val="28"/>
          <w:szCs w:val="28"/>
          <w:highlight w:val="none"/>
          <w:lang w:val="en-US" w:eastAsia="zh-CN" w:bidi="ar-SA"/>
        </w:rPr>
        <w:t>符合报名条件的机构</w:t>
      </w:r>
      <w:r>
        <w:rPr>
          <w:rFonts w:hint="default" w:ascii="仿宋" w:hAnsi="仿宋" w:eastAsia="仿宋" w:cs="仿宋"/>
          <w:color w:val="auto"/>
          <w:kern w:val="2"/>
          <w:sz w:val="28"/>
          <w:szCs w:val="28"/>
          <w:highlight w:val="none"/>
          <w:lang w:val="en-US" w:eastAsia="zh-CN" w:bidi="ar-SA"/>
        </w:rPr>
        <w:t>进行评选</w:t>
      </w:r>
      <w:r>
        <w:rPr>
          <w:rFonts w:hint="eastAsia" w:cs="仿宋"/>
          <w:color w:val="auto"/>
          <w:kern w:val="2"/>
          <w:sz w:val="28"/>
          <w:szCs w:val="28"/>
          <w:highlight w:val="none"/>
          <w:lang w:val="en-US" w:eastAsia="zh-CN" w:bidi="ar-SA"/>
        </w:rPr>
        <w:t>。评选小组将综合考虑各申报机构的资质规模、施工方案、商务条件等因素进行评选，</w:t>
      </w:r>
      <w:r>
        <w:rPr>
          <w:rFonts w:hint="eastAsia" w:cs="仿宋"/>
          <w:sz w:val="28"/>
          <w:szCs w:val="36"/>
          <w:highlight w:val="none"/>
          <w:lang w:val="en-US" w:eastAsia="zh-CN"/>
        </w:rPr>
        <w:t>确定较优方案后报法院、政府审定</w:t>
      </w:r>
      <w:r>
        <w:rPr>
          <w:rFonts w:hint="eastAsia" w:cs="仿宋"/>
          <w:color w:val="auto"/>
          <w:kern w:val="2"/>
          <w:sz w:val="28"/>
          <w:szCs w:val="28"/>
          <w:highlight w:val="none"/>
          <w:lang w:val="en-US" w:eastAsia="zh-CN" w:bidi="ar-SA"/>
        </w:rPr>
        <w:t>。如响应机构少于三家，但评选小组认为仍具有竞争性或报价合理且有利于项目推进，可以继续进行评选。</w:t>
      </w:r>
    </w:p>
    <w:p w14:paraId="066E05B2">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管理人将以书面方式通知中选施工单位评选结果，其余未中选单位不再通知，已提交的报名材料不再退回。根据实际情况，可能安排多轮次洽商和报价。</w:t>
      </w:r>
    </w:p>
    <w:p w14:paraId="40A47400">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default" w:ascii="楷体" w:hAnsi="楷体" w:eastAsia="楷体" w:cs="楷体"/>
          <w:b/>
          <w:bCs/>
          <w:kern w:val="2"/>
          <w:sz w:val="28"/>
          <w:szCs w:val="28"/>
          <w:highlight w:val="none"/>
          <w:lang w:val="en-US" w:eastAsia="zh-CN" w:bidi="ar-SA"/>
        </w:rPr>
      </w:pPr>
      <w:r>
        <w:rPr>
          <w:rFonts w:hint="eastAsia" w:ascii="楷体" w:hAnsi="楷体" w:eastAsia="楷体" w:cs="楷体"/>
          <w:b/>
          <w:bCs/>
          <w:kern w:val="2"/>
          <w:sz w:val="28"/>
          <w:szCs w:val="28"/>
          <w:highlight w:val="none"/>
          <w:lang w:val="en-US" w:eastAsia="zh-CN" w:bidi="ar-SA"/>
        </w:rPr>
        <w:t>（三）评选后的流程</w:t>
      </w:r>
    </w:p>
    <w:p w14:paraId="25C74CCD">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eastAsia" w:cs="仿宋"/>
          <w:color w:val="auto"/>
          <w:sz w:val="28"/>
          <w:szCs w:val="36"/>
          <w:highlight w:val="none"/>
          <w:lang w:val="en-US" w:eastAsia="zh-CN"/>
        </w:rPr>
      </w:pPr>
      <w:r>
        <w:rPr>
          <w:rFonts w:hint="eastAsia" w:cs="仿宋"/>
          <w:color w:val="auto"/>
          <w:kern w:val="2"/>
          <w:sz w:val="28"/>
          <w:szCs w:val="28"/>
          <w:highlight w:val="none"/>
          <w:lang w:val="en-US" w:eastAsia="zh-CN" w:bidi="ar-SA"/>
        </w:rPr>
        <w:t>管理人将汇总各响应机构提交的报名材料并将评选小组意见报批，最终根据审批意见确定。根据</w:t>
      </w:r>
      <w:r>
        <w:rPr>
          <w:rFonts w:hint="eastAsia" w:ascii="仿宋" w:hAnsi="仿宋" w:eastAsia="仿宋" w:cs="仿宋"/>
          <w:sz w:val="28"/>
          <w:szCs w:val="28"/>
          <w:highlight w:val="none"/>
          <w:lang w:val="en-US" w:eastAsia="zh-CN"/>
        </w:rPr>
        <w:t>《最高人民法院关于适用&lt;中华人民共和国企业破产法&gt;若干问题的规定（三）》第二条</w:t>
      </w:r>
      <w:r>
        <w:rPr>
          <w:rFonts w:hint="eastAsia" w:cs="仿宋"/>
          <w:sz w:val="28"/>
          <w:szCs w:val="28"/>
          <w:highlight w:val="none"/>
          <w:lang w:val="en-US" w:eastAsia="zh-CN"/>
        </w:rPr>
        <w:t>第一款</w:t>
      </w:r>
      <w:r>
        <w:rPr>
          <w:rFonts w:hint="eastAsia" w:ascii="仿宋" w:hAnsi="仿宋" w:eastAsia="仿宋" w:cs="仿宋"/>
          <w:sz w:val="28"/>
          <w:szCs w:val="28"/>
          <w:highlight w:val="none"/>
          <w:lang w:val="en-US" w:eastAsia="zh-CN"/>
        </w:rPr>
        <w:t>之规定</w:t>
      </w:r>
      <w:r>
        <w:rPr>
          <w:rFonts w:hint="eastAsia" w:cs="仿宋"/>
          <w:sz w:val="28"/>
          <w:szCs w:val="28"/>
          <w:highlight w:val="none"/>
          <w:lang w:val="en-US" w:eastAsia="zh-CN"/>
        </w:rPr>
        <w:t>，</w:t>
      </w:r>
      <w:r>
        <w:rPr>
          <w:rFonts w:hint="eastAsia" w:cs="仿宋"/>
          <w:color w:val="auto"/>
          <w:sz w:val="28"/>
          <w:szCs w:val="36"/>
          <w:highlight w:val="none"/>
          <w:lang w:val="en-US" w:eastAsia="zh-CN"/>
        </w:rPr>
        <w:t>确定中选施工单位后管理人仍需报请法院许可（一债会前）或提请债权人会议表决，征得法院许可或债权人会议决议通过后方可签订涉及共益债务的施工合同。</w:t>
      </w:r>
    </w:p>
    <w:p w14:paraId="2845ED1F">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特此公告。</w:t>
      </w:r>
    </w:p>
    <w:p w14:paraId="02DA9CDF">
      <w:pPr>
        <w:pStyle w:val="3"/>
        <w:keepNext w:val="0"/>
        <w:keepLines w:val="0"/>
        <w:pageBreakBefore w:val="0"/>
        <w:widowControl w:val="0"/>
        <w:kinsoku/>
        <w:wordWrap/>
        <w:overflowPunct/>
        <w:topLinePunct w:val="0"/>
        <w:autoSpaceDE/>
        <w:autoSpaceDN/>
        <w:bidi w:val="0"/>
        <w:adjustRightInd/>
        <w:snapToGrid/>
        <w:spacing w:line="560" w:lineRule="exact"/>
        <w:ind w:firstLine="589"/>
        <w:textAlignment w:val="auto"/>
        <w:rPr>
          <w:rFonts w:hint="default" w:cs="仿宋"/>
          <w:color w:val="auto"/>
          <w:kern w:val="2"/>
          <w:sz w:val="28"/>
          <w:szCs w:val="28"/>
          <w:highlight w:val="none"/>
          <w:lang w:val="en-US" w:eastAsia="zh-CN" w:bidi="ar-SA"/>
        </w:rPr>
      </w:pPr>
    </w:p>
    <w:p w14:paraId="46436756">
      <w:pPr>
        <w:pStyle w:val="3"/>
        <w:keepNext w:val="0"/>
        <w:keepLines w:val="0"/>
        <w:pageBreakBefore w:val="0"/>
        <w:widowControl w:val="0"/>
        <w:kinsoku/>
        <w:wordWrap/>
        <w:overflowPunct/>
        <w:topLinePunct w:val="0"/>
        <w:autoSpaceDE/>
        <w:autoSpaceDN/>
        <w:bidi w:val="0"/>
        <w:adjustRightInd/>
        <w:snapToGrid/>
        <w:spacing w:line="560" w:lineRule="exact"/>
        <w:ind w:firstLine="589"/>
        <w:jc w:val="right"/>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贵州谦和房地产开发有限公司管理人</w:t>
      </w:r>
    </w:p>
    <w:p w14:paraId="0AE40CDB">
      <w:pPr>
        <w:pStyle w:val="3"/>
        <w:keepNext w:val="0"/>
        <w:keepLines w:val="0"/>
        <w:pageBreakBefore w:val="0"/>
        <w:widowControl w:val="0"/>
        <w:kinsoku/>
        <w:wordWrap/>
        <w:overflowPunct/>
        <w:topLinePunct w:val="0"/>
        <w:autoSpaceDE/>
        <w:autoSpaceDN/>
        <w:bidi w:val="0"/>
        <w:adjustRightInd/>
        <w:snapToGrid/>
        <w:spacing w:line="560" w:lineRule="exact"/>
        <w:ind w:firstLine="589"/>
        <w:jc w:val="right"/>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2025年3月12日</w:t>
      </w:r>
    </w:p>
    <w:p w14:paraId="5AF6282D">
      <w:pPr>
        <w:pStyle w:val="3"/>
        <w:keepNext w:val="0"/>
        <w:keepLines w:val="0"/>
        <w:pageBreakBefore w:val="0"/>
        <w:widowControl w:val="0"/>
        <w:kinsoku/>
        <w:wordWrap/>
        <w:overflowPunct/>
        <w:topLinePunct w:val="0"/>
        <w:autoSpaceDE/>
        <w:autoSpaceDN/>
        <w:bidi w:val="0"/>
        <w:adjustRightInd/>
        <w:snapToGrid/>
        <w:spacing w:line="560" w:lineRule="exact"/>
        <w:ind w:firstLine="560"/>
        <w:jc w:val="both"/>
        <w:textAlignment w:val="auto"/>
        <w:rPr>
          <w:rFonts w:hint="default" w:cs="仿宋"/>
          <w:color w:val="auto"/>
          <w:kern w:val="2"/>
          <w:sz w:val="28"/>
          <w:szCs w:val="28"/>
          <w:highlight w:val="none"/>
          <w:lang w:val="en-US" w:eastAsia="zh-CN" w:bidi="ar-SA"/>
        </w:rPr>
        <w:sectPr>
          <w:footerReference r:id="rId3" w:type="default"/>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pPr>
    </w:p>
    <w:p w14:paraId="19645515">
      <w:pPr>
        <w:pStyle w:val="3"/>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附件1：</w:t>
      </w:r>
    </w:p>
    <w:p w14:paraId="55D5B13B">
      <w:pPr>
        <w:pStyle w:val="3"/>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黑体" w:hAnsi="黑体" w:eastAsia="黑体" w:cs="黑体"/>
          <w:color w:val="auto"/>
          <w:kern w:val="2"/>
          <w:sz w:val="36"/>
          <w:szCs w:val="36"/>
          <w:highlight w:val="none"/>
          <w:lang w:val="en-US" w:eastAsia="zh-CN" w:bidi="ar-SA"/>
        </w:rPr>
      </w:pPr>
      <w:r>
        <w:rPr>
          <w:rFonts w:hint="eastAsia" w:ascii="黑体" w:hAnsi="黑体" w:eastAsia="黑体" w:cs="黑体"/>
          <w:color w:val="auto"/>
          <w:kern w:val="2"/>
          <w:sz w:val="36"/>
          <w:szCs w:val="36"/>
          <w:highlight w:val="none"/>
          <w:lang w:val="en-US" w:eastAsia="zh-CN" w:bidi="ar-SA"/>
        </w:rPr>
        <w:t>承诺函</w:t>
      </w:r>
    </w:p>
    <w:p w14:paraId="718E801C">
      <w:pPr>
        <w:pStyle w:val="3"/>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贵州谦和房地产开发有限公司管理人：</w:t>
      </w:r>
    </w:p>
    <w:p w14:paraId="7513BC92">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default"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我方已阅读并同意《关于预招募“新秀城”项目续建施工单位的公告》[谦和管理人（2025）第078号]全部内容，现郑重承诺以下事项：</w:t>
      </w:r>
    </w:p>
    <w:p w14:paraId="6D0A194B">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一、我方提交的响应文件均真实、准确、完整，且合法、有效，未隐瞒可能影响本次参选的重大事项，否则自动丧失参选资格；</w:t>
      </w:r>
    </w:p>
    <w:p w14:paraId="27C12E8B">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color w:val="auto"/>
          <w:kern w:val="2"/>
          <w:sz w:val="28"/>
          <w:szCs w:val="28"/>
          <w:highlight w:val="none"/>
          <w:lang w:val="en-US" w:eastAsia="zh-CN" w:bidi="ar-SA"/>
        </w:rPr>
      </w:pPr>
      <w:r>
        <w:rPr>
          <w:rFonts w:hint="eastAsia" w:cs="仿宋"/>
          <w:color w:val="auto"/>
          <w:kern w:val="2"/>
          <w:sz w:val="28"/>
          <w:szCs w:val="28"/>
          <w:highlight w:val="none"/>
          <w:lang w:val="en-US" w:eastAsia="zh-CN" w:bidi="ar-SA"/>
        </w:rPr>
        <w:t>二、未经管理人同意，我方不得以任何方式为其他目的擅自使用本项目所获取的保密信息，或公布、披露给任何第三方，或许可任何第三方使用上述保密信息；</w:t>
      </w:r>
    </w:p>
    <w:p w14:paraId="27DF8F91">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r>
        <w:rPr>
          <w:rFonts w:hint="eastAsia" w:cs="仿宋"/>
          <w:color w:val="auto"/>
          <w:kern w:val="2"/>
          <w:sz w:val="28"/>
          <w:szCs w:val="28"/>
          <w:highlight w:val="none"/>
          <w:lang w:val="en-US" w:eastAsia="zh-CN" w:bidi="ar-SA"/>
        </w:rPr>
        <w:t>三、我方</w:t>
      </w:r>
      <w:r>
        <w:rPr>
          <w:rFonts w:hint="eastAsia" w:ascii="仿宋" w:hAnsi="仿宋" w:eastAsia="仿宋" w:cs="仿宋"/>
          <w:kern w:val="2"/>
          <w:sz w:val="28"/>
          <w:szCs w:val="36"/>
          <w:highlight w:val="none"/>
          <w:lang w:val="en-US" w:eastAsia="zh-CN" w:bidi="ar-SA"/>
        </w:rPr>
        <w:t>近三年内没有</w:t>
      </w:r>
      <w:r>
        <w:rPr>
          <w:rFonts w:hint="eastAsia" w:cs="仿宋"/>
          <w:kern w:val="2"/>
          <w:sz w:val="28"/>
          <w:szCs w:val="36"/>
          <w:highlight w:val="none"/>
          <w:lang w:val="en-US" w:eastAsia="zh-CN" w:bidi="ar-SA"/>
        </w:rPr>
        <w:t>受到刑事处罚、未在国家企业信用信息公示系统中被列入严重违法失信企业名单和经营异常目录；</w:t>
      </w:r>
    </w:p>
    <w:p w14:paraId="267281B9">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r>
        <w:rPr>
          <w:rFonts w:hint="eastAsia" w:cs="仿宋"/>
          <w:kern w:val="2"/>
          <w:sz w:val="28"/>
          <w:szCs w:val="36"/>
          <w:highlight w:val="none"/>
          <w:lang w:val="en-US" w:eastAsia="zh-CN" w:bidi="ar-SA"/>
        </w:rPr>
        <w:t>四、我方</w:t>
      </w:r>
      <w:r>
        <w:rPr>
          <w:rFonts w:hint="eastAsia" w:ascii="仿宋" w:hAnsi="仿宋" w:eastAsia="仿宋" w:cs="仿宋"/>
          <w:sz w:val="28"/>
          <w:szCs w:val="28"/>
          <w:highlight w:val="none"/>
          <w:lang w:val="en-US" w:eastAsia="zh-CN"/>
        </w:rPr>
        <w:t>承诺愿意成为“新秀城”项目±0以下部分的施工单位并自愿依照招募公告及相关文件参与比选，承担相应的法律责任</w:t>
      </w:r>
      <w:r>
        <w:rPr>
          <w:rFonts w:hint="eastAsia" w:cs="仿宋"/>
          <w:sz w:val="28"/>
          <w:szCs w:val="28"/>
          <w:highlight w:val="none"/>
          <w:lang w:val="en-US" w:eastAsia="zh-CN"/>
        </w:rPr>
        <w:t>；</w:t>
      </w:r>
    </w:p>
    <w:p w14:paraId="3C5C90F8">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r>
        <w:rPr>
          <w:rFonts w:hint="eastAsia" w:cs="仿宋"/>
          <w:kern w:val="2"/>
          <w:sz w:val="28"/>
          <w:szCs w:val="36"/>
          <w:highlight w:val="none"/>
          <w:lang w:val="en-US" w:eastAsia="zh-CN" w:bidi="ar-SA"/>
        </w:rPr>
        <w:t>五、如我方中选后主动放弃选定资格，愿意承担相应法律后果，对谦和房开破产案件的推进造成不利影响的，愿意承担赔偿责任。</w:t>
      </w:r>
    </w:p>
    <w:p w14:paraId="0A2DFB84">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cs="仿宋"/>
          <w:kern w:val="2"/>
          <w:sz w:val="28"/>
          <w:szCs w:val="36"/>
          <w:highlight w:val="none"/>
          <w:lang w:val="en-US" w:eastAsia="zh-CN" w:bidi="ar-SA"/>
        </w:rPr>
      </w:pPr>
    </w:p>
    <w:p w14:paraId="1E0A15D9">
      <w:pPr>
        <w:keepNext w:val="0"/>
        <w:keepLines w:val="0"/>
        <w:pageBreakBefore w:val="0"/>
        <w:widowControl w:val="0"/>
        <w:kinsoku/>
        <w:wordWrap/>
        <w:overflowPunct/>
        <w:topLinePunct w:val="0"/>
        <w:autoSpaceDE/>
        <w:autoSpaceDN/>
        <w:bidi w:val="0"/>
        <w:adjustRightInd/>
        <w:snapToGrid/>
        <w:spacing w:line="560" w:lineRule="exact"/>
        <w:ind w:firstLine="2520" w:firstLineChars="900"/>
        <w:jc w:val="left"/>
        <w:textAlignment w:val="auto"/>
        <w:rPr>
          <w:rFonts w:hint="eastAsia" w:eastAsia="仿宋_GB2312"/>
          <w:sz w:val="28"/>
          <w:szCs w:val="28"/>
          <w:highlight w:val="none"/>
          <w:lang w:val="en-US" w:eastAsia="zh-CN"/>
        </w:rPr>
      </w:pPr>
    </w:p>
    <w:p w14:paraId="73F80E9A">
      <w:pPr>
        <w:keepNext w:val="0"/>
        <w:keepLines w:val="0"/>
        <w:pageBreakBefore w:val="0"/>
        <w:widowControl w:val="0"/>
        <w:kinsoku/>
        <w:wordWrap/>
        <w:overflowPunct/>
        <w:topLinePunct w:val="0"/>
        <w:autoSpaceDE/>
        <w:autoSpaceDN/>
        <w:bidi w:val="0"/>
        <w:adjustRightInd/>
        <w:snapToGrid/>
        <w:spacing w:line="560" w:lineRule="exact"/>
        <w:ind w:firstLine="2520" w:firstLineChars="900"/>
        <w:jc w:val="left"/>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响应机构名称（盖章）：</w:t>
      </w:r>
    </w:p>
    <w:p w14:paraId="0C35FCAB">
      <w:pPr>
        <w:keepNext w:val="0"/>
        <w:keepLines w:val="0"/>
        <w:pageBreakBefore w:val="0"/>
        <w:widowControl w:val="0"/>
        <w:kinsoku/>
        <w:wordWrap/>
        <w:overflowPunct/>
        <w:topLinePunct w:val="0"/>
        <w:autoSpaceDE/>
        <w:autoSpaceDN/>
        <w:bidi w:val="0"/>
        <w:adjustRightInd/>
        <w:snapToGrid/>
        <w:spacing w:line="560" w:lineRule="exact"/>
        <w:ind w:right="1680" w:rightChars="800"/>
        <w:jc w:val="center"/>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lang w:val="en-US" w:eastAsia="zh-CN"/>
        </w:rPr>
        <w:t xml:space="preserve">             </w:t>
      </w:r>
    </w:p>
    <w:p w14:paraId="6DD49A16">
      <w:pPr>
        <w:keepNext w:val="0"/>
        <w:keepLines w:val="0"/>
        <w:pageBreakBefore w:val="0"/>
        <w:widowControl w:val="0"/>
        <w:kinsoku/>
        <w:wordWrap/>
        <w:overflowPunct/>
        <w:topLinePunct w:val="0"/>
        <w:autoSpaceDE/>
        <w:autoSpaceDN/>
        <w:bidi w:val="0"/>
        <w:adjustRightInd/>
        <w:snapToGrid/>
        <w:spacing w:line="560" w:lineRule="exact"/>
        <w:ind w:right="1680" w:rightChars="800"/>
        <w:jc w:val="center"/>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法定代表人或负责人签字：</w:t>
      </w:r>
    </w:p>
    <w:p w14:paraId="3C040444">
      <w:pPr>
        <w:keepNext w:val="0"/>
        <w:keepLines w:val="0"/>
        <w:pageBreakBefore w:val="0"/>
        <w:widowControl w:val="0"/>
        <w:kinsoku/>
        <w:wordWrap/>
        <w:overflowPunct/>
        <w:topLinePunct w:val="0"/>
        <w:autoSpaceDE/>
        <w:autoSpaceDN/>
        <w:bidi w:val="0"/>
        <w:adjustRightInd/>
        <w:snapToGrid/>
        <w:spacing w:line="560" w:lineRule="exact"/>
        <w:ind w:right="1680" w:rightChars="800"/>
        <w:jc w:val="right"/>
        <w:textAlignment w:val="auto"/>
        <w:rPr>
          <w:rFonts w:hint="eastAsia" w:ascii="仿宋" w:hAnsi="仿宋" w:eastAsia="仿宋" w:cs="仿宋"/>
          <w:sz w:val="28"/>
          <w:szCs w:val="28"/>
          <w:highlight w:val="none"/>
        </w:rPr>
      </w:pPr>
    </w:p>
    <w:p w14:paraId="1EEF9B14">
      <w:pPr>
        <w:pStyle w:val="3"/>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rPr>
        <w:t xml:space="preserve">年    月    日  </w:t>
      </w:r>
      <w:bookmarkEnd w:id="0"/>
    </w:p>
    <w:sectPr>
      <w:pgSz w:w="11906" w:h="16838"/>
      <w:pgMar w:top="1440" w:right="1803" w:bottom="1440" w:left="1803" w:header="851" w:footer="992" w:gutter="0"/>
      <w:pgBorders>
        <w:top w:val="none" w:sz="0" w:space="0"/>
        <w:left w:val="none" w:sz="0" w:space="0"/>
        <w:bottom w:val="none" w:sz="0" w:space="0"/>
        <w:right w:val="none" w:sz="0" w:space="0"/>
      </w:pgBorders>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B325902-ED0B-4F00-A8BD-4C52002A7B0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embedRegular r:id="rId2" w:fontKey="{844C36F3-3997-493E-8A70-2C86774AFDA6}"/>
  </w:font>
  <w:font w:name="楷体">
    <w:panose1 w:val="02010609060101010101"/>
    <w:charset w:val="86"/>
    <w:family w:val="auto"/>
    <w:pitch w:val="default"/>
    <w:sig w:usb0="800002BF" w:usb1="38CF7CFA" w:usb2="00000016" w:usb3="00000000" w:csb0="00040001" w:csb1="00000000"/>
    <w:embedRegular r:id="rId3" w:fontKey="{AE5FADB8-79AE-48C9-8E1C-46147F2FBB19}"/>
  </w:font>
  <w:font w:name="方正小标宋简体">
    <w:panose1 w:val="02000000000000000000"/>
    <w:charset w:val="86"/>
    <w:family w:val="auto"/>
    <w:pitch w:val="default"/>
    <w:sig w:usb0="00000001" w:usb1="080E0000" w:usb2="00000000" w:usb3="00000000" w:csb0="00040000" w:csb1="00000000"/>
    <w:embedRegular r:id="rId4" w:fontKey="{D4390E7C-4916-4951-8C62-E2BFAE448880}"/>
  </w:font>
  <w:font w:name="仿宋_GB2312">
    <w:panose1 w:val="02010609030101010101"/>
    <w:charset w:val="86"/>
    <w:family w:val="modern"/>
    <w:pitch w:val="default"/>
    <w:sig w:usb0="00000001" w:usb1="080E0000" w:usb2="00000000" w:usb3="00000000" w:csb0="00040000" w:csb1="00000000"/>
    <w:embedRegular r:id="rId5" w:fontKey="{D1BCBB9B-99F4-4815-A14D-71BB94921CE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73682">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4816D54">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4816D54">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doNotDisplayPageBoundaries w:val="1"/>
  <w:embedTrueTypeFonts/>
  <w:saveSubset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5F43166"/>
    <w:rsid w:val="0002561E"/>
    <w:rsid w:val="00204E20"/>
    <w:rsid w:val="004A3AE0"/>
    <w:rsid w:val="005D4603"/>
    <w:rsid w:val="00F1191B"/>
    <w:rsid w:val="0127533C"/>
    <w:rsid w:val="01276727"/>
    <w:rsid w:val="023532A0"/>
    <w:rsid w:val="025B0927"/>
    <w:rsid w:val="02CB7F49"/>
    <w:rsid w:val="03A217AE"/>
    <w:rsid w:val="04034B95"/>
    <w:rsid w:val="04640482"/>
    <w:rsid w:val="051E1249"/>
    <w:rsid w:val="05726DA2"/>
    <w:rsid w:val="05F43166"/>
    <w:rsid w:val="06417756"/>
    <w:rsid w:val="06772003"/>
    <w:rsid w:val="06A411DD"/>
    <w:rsid w:val="06D03D80"/>
    <w:rsid w:val="06D96F7C"/>
    <w:rsid w:val="080F6B2A"/>
    <w:rsid w:val="08D15B8E"/>
    <w:rsid w:val="09175C96"/>
    <w:rsid w:val="0946657C"/>
    <w:rsid w:val="09BC683E"/>
    <w:rsid w:val="09C40362"/>
    <w:rsid w:val="0A00672A"/>
    <w:rsid w:val="0A261F09"/>
    <w:rsid w:val="0A4D7D72"/>
    <w:rsid w:val="0A662B5F"/>
    <w:rsid w:val="0A7964DD"/>
    <w:rsid w:val="0B5D195B"/>
    <w:rsid w:val="0BF64289"/>
    <w:rsid w:val="0D305579"/>
    <w:rsid w:val="0D813912"/>
    <w:rsid w:val="0DF14556"/>
    <w:rsid w:val="0E067FAA"/>
    <w:rsid w:val="0E3746E5"/>
    <w:rsid w:val="0E3E5A73"/>
    <w:rsid w:val="0ED4462A"/>
    <w:rsid w:val="0F0431EB"/>
    <w:rsid w:val="0F386966"/>
    <w:rsid w:val="104D6BC6"/>
    <w:rsid w:val="109A0F5B"/>
    <w:rsid w:val="10AF51FC"/>
    <w:rsid w:val="11050ACA"/>
    <w:rsid w:val="1107104B"/>
    <w:rsid w:val="11645B40"/>
    <w:rsid w:val="11DE344D"/>
    <w:rsid w:val="131A7C34"/>
    <w:rsid w:val="13545D39"/>
    <w:rsid w:val="144638D4"/>
    <w:rsid w:val="14537D9F"/>
    <w:rsid w:val="14A54F50"/>
    <w:rsid w:val="14FE7D0A"/>
    <w:rsid w:val="178F10EE"/>
    <w:rsid w:val="17CF598E"/>
    <w:rsid w:val="180A2E6A"/>
    <w:rsid w:val="185F6D12"/>
    <w:rsid w:val="18BC4164"/>
    <w:rsid w:val="19623EB8"/>
    <w:rsid w:val="1ABF237A"/>
    <w:rsid w:val="1AE259A0"/>
    <w:rsid w:val="1AEA52EC"/>
    <w:rsid w:val="1B083691"/>
    <w:rsid w:val="1BAA3640"/>
    <w:rsid w:val="1CFB1FF0"/>
    <w:rsid w:val="1D451C6A"/>
    <w:rsid w:val="1E875215"/>
    <w:rsid w:val="1EB904D1"/>
    <w:rsid w:val="1ED8781E"/>
    <w:rsid w:val="1F1220B1"/>
    <w:rsid w:val="1F236880"/>
    <w:rsid w:val="1F2962CC"/>
    <w:rsid w:val="1F390CCB"/>
    <w:rsid w:val="1F4705A6"/>
    <w:rsid w:val="1FC9433E"/>
    <w:rsid w:val="1FD323F2"/>
    <w:rsid w:val="1FD46237"/>
    <w:rsid w:val="20054643"/>
    <w:rsid w:val="209B6444"/>
    <w:rsid w:val="21104A68"/>
    <w:rsid w:val="21244F9D"/>
    <w:rsid w:val="21B26104"/>
    <w:rsid w:val="22AB3F35"/>
    <w:rsid w:val="244A4D1A"/>
    <w:rsid w:val="249A5FF7"/>
    <w:rsid w:val="24DC60E8"/>
    <w:rsid w:val="24F54604"/>
    <w:rsid w:val="2705317A"/>
    <w:rsid w:val="276A7481"/>
    <w:rsid w:val="279A12BC"/>
    <w:rsid w:val="289E44FE"/>
    <w:rsid w:val="28B200FB"/>
    <w:rsid w:val="28C11323"/>
    <w:rsid w:val="297D332D"/>
    <w:rsid w:val="298E7457"/>
    <w:rsid w:val="2A30050E"/>
    <w:rsid w:val="2A331DAD"/>
    <w:rsid w:val="2AA66A22"/>
    <w:rsid w:val="2B860FAC"/>
    <w:rsid w:val="2BCF1FA9"/>
    <w:rsid w:val="2C334AE4"/>
    <w:rsid w:val="2C3F0EDD"/>
    <w:rsid w:val="2C9A5ACC"/>
    <w:rsid w:val="2CF972DD"/>
    <w:rsid w:val="2D4E2B2D"/>
    <w:rsid w:val="2DB11702"/>
    <w:rsid w:val="2DC25921"/>
    <w:rsid w:val="2DDD4419"/>
    <w:rsid w:val="2E56075F"/>
    <w:rsid w:val="2F4735C6"/>
    <w:rsid w:val="30555511"/>
    <w:rsid w:val="305E61F3"/>
    <w:rsid w:val="307422C7"/>
    <w:rsid w:val="30E6401D"/>
    <w:rsid w:val="321D3A6E"/>
    <w:rsid w:val="32690A61"/>
    <w:rsid w:val="328152D2"/>
    <w:rsid w:val="328C29A2"/>
    <w:rsid w:val="32C91836"/>
    <w:rsid w:val="33707BCD"/>
    <w:rsid w:val="33A25436"/>
    <w:rsid w:val="34B91DAD"/>
    <w:rsid w:val="35444CEF"/>
    <w:rsid w:val="35A61FCC"/>
    <w:rsid w:val="36201D7F"/>
    <w:rsid w:val="367D2D2D"/>
    <w:rsid w:val="36F6488E"/>
    <w:rsid w:val="371D006C"/>
    <w:rsid w:val="37621F23"/>
    <w:rsid w:val="37C30497"/>
    <w:rsid w:val="37C659A4"/>
    <w:rsid w:val="37EA43F2"/>
    <w:rsid w:val="37FC4C94"/>
    <w:rsid w:val="3810372D"/>
    <w:rsid w:val="385C2E16"/>
    <w:rsid w:val="38F60B75"/>
    <w:rsid w:val="39924D42"/>
    <w:rsid w:val="39FC21BB"/>
    <w:rsid w:val="3A895A73"/>
    <w:rsid w:val="3A8C6337"/>
    <w:rsid w:val="3B4E4C98"/>
    <w:rsid w:val="3CA14B7E"/>
    <w:rsid w:val="3CAF0F10"/>
    <w:rsid w:val="3D6D517E"/>
    <w:rsid w:val="3DF26221"/>
    <w:rsid w:val="3E1E2ADA"/>
    <w:rsid w:val="3E630A5B"/>
    <w:rsid w:val="3EC534C3"/>
    <w:rsid w:val="3F283A52"/>
    <w:rsid w:val="3F7A51E7"/>
    <w:rsid w:val="40E340D5"/>
    <w:rsid w:val="41FE209C"/>
    <w:rsid w:val="42562163"/>
    <w:rsid w:val="42E3660E"/>
    <w:rsid w:val="430F7403"/>
    <w:rsid w:val="43374264"/>
    <w:rsid w:val="43822B35"/>
    <w:rsid w:val="43996159"/>
    <w:rsid w:val="43B17119"/>
    <w:rsid w:val="43F5418D"/>
    <w:rsid w:val="446A461F"/>
    <w:rsid w:val="457D6C89"/>
    <w:rsid w:val="45E33B18"/>
    <w:rsid w:val="46704322"/>
    <w:rsid w:val="46821C9A"/>
    <w:rsid w:val="46D267CC"/>
    <w:rsid w:val="479C4D32"/>
    <w:rsid w:val="47BD5CBB"/>
    <w:rsid w:val="47E2796E"/>
    <w:rsid w:val="48F0738F"/>
    <w:rsid w:val="498A3508"/>
    <w:rsid w:val="49EF7646"/>
    <w:rsid w:val="4AB60164"/>
    <w:rsid w:val="4AF126BD"/>
    <w:rsid w:val="4BDF62E4"/>
    <w:rsid w:val="4C1E2465"/>
    <w:rsid w:val="4C380899"/>
    <w:rsid w:val="4CF60CEC"/>
    <w:rsid w:val="4D5F3B5F"/>
    <w:rsid w:val="4F4246BC"/>
    <w:rsid w:val="4F6F4D85"/>
    <w:rsid w:val="4FDF7CC3"/>
    <w:rsid w:val="50811214"/>
    <w:rsid w:val="516C5A20"/>
    <w:rsid w:val="52B551A5"/>
    <w:rsid w:val="53723CD6"/>
    <w:rsid w:val="53BD07B5"/>
    <w:rsid w:val="53F96CBF"/>
    <w:rsid w:val="541B2296"/>
    <w:rsid w:val="548117E3"/>
    <w:rsid w:val="55201681"/>
    <w:rsid w:val="562E599A"/>
    <w:rsid w:val="574962EB"/>
    <w:rsid w:val="57671164"/>
    <w:rsid w:val="585F0D50"/>
    <w:rsid w:val="589F1F98"/>
    <w:rsid w:val="597E09E7"/>
    <w:rsid w:val="5B307ABF"/>
    <w:rsid w:val="5B647768"/>
    <w:rsid w:val="5C8D2968"/>
    <w:rsid w:val="5DF3370F"/>
    <w:rsid w:val="5E275239"/>
    <w:rsid w:val="5E2C3CCA"/>
    <w:rsid w:val="5E6F08FE"/>
    <w:rsid w:val="5E736640"/>
    <w:rsid w:val="5E9D546B"/>
    <w:rsid w:val="5F061E42"/>
    <w:rsid w:val="60B44CEE"/>
    <w:rsid w:val="60F872D1"/>
    <w:rsid w:val="6104509D"/>
    <w:rsid w:val="619F47D2"/>
    <w:rsid w:val="61C13B66"/>
    <w:rsid w:val="636D2BD5"/>
    <w:rsid w:val="63856519"/>
    <w:rsid w:val="63EA73A4"/>
    <w:rsid w:val="64430863"/>
    <w:rsid w:val="65362175"/>
    <w:rsid w:val="653D52B2"/>
    <w:rsid w:val="655B7E2E"/>
    <w:rsid w:val="67F325A0"/>
    <w:rsid w:val="68077DF9"/>
    <w:rsid w:val="687436E1"/>
    <w:rsid w:val="68863414"/>
    <w:rsid w:val="68D27036"/>
    <w:rsid w:val="69216EC0"/>
    <w:rsid w:val="6933534A"/>
    <w:rsid w:val="69702280"/>
    <w:rsid w:val="69DF4B8A"/>
    <w:rsid w:val="6A3824EC"/>
    <w:rsid w:val="6AC41FD2"/>
    <w:rsid w:val="6ACF2E50"/>
    <w:rsid w:val="6AE508C6"/>
    <w:rsid w:val="6B826114"/>
    <w:rsid w:val="6B8A4FC9"/>
    <w:rsid w:val="6C2C4A44"/>
    <w:rsid w:val="6C8B0FF9"/>
    <w:rsid w:val="6D21161F"/>
    <w:rsid w:val="6D5E2269"/>
    <w:rsid w:val="6DBB3B60"/>
    <w:rsid w:val="6DCC0111"/>
    <w:rsid w:val="6E377065"/>
    <w:rsid w:val="6E8C1058"/>
    <w:rsid w:val="6F4F4AAA"/>
    <w:rsid w:val="6F59718C"/>
    <w:rsid w:val="6FB6638D"/>
    <w:rsid w:val="70473489"/>
    <w:rsid w:val="70D32F6E"/>
    <w:rsid w:val="724E6D50"/>
    <w:rsid w:val="72B50B7E"/>
    <w:rsid w:val="73FE47A6"/>
    <w:rsid w:val="76C21ABB"/>
    <w:rsid w:val="76EC3A6E"/>
    <w:rsid w:val="777F5BFE"/>
    <w:rsid w:val="78BB0EB8"/>
    <w:rsid w:val="79595FDA"/>
    <w:rsid w:val="7A4078C7"/>
    <w:rsid w:val="7A4C4F4D"/>
    <w:rsid w:val="7A8D418E"/>
    <w:rsid w:val="7B3F7B7E"/>
    <w:rsid w:val="7B7315E1"/>
    <w:rsid w:val="7BC509B8"/>
    <w:rsid w:val="7BF30969"/>
    <w:rsid w:val="7BFC781D"/>
    <w:rsid w:val="7C725D31"/>
    <w:rsid w:val="7C80470D"/>
    <w:rsid w:val="7D0270B5"/>
    <w:rsid w:val="7D6B786F"/>
    <w:rsid w:val="7F865D7E"/>
    <w:rsid w:val="A7FF2F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table of authorities"/>
    <w:basedOn w:val="1"/>
    <w:next w:val="1"/>
    <w:qFormat/>
    <w:uiPriority w:val="0"/>
    <w:pPr>
      <w:ind w:left="200" w:leftChars="200"/>
    </w:pPr>
    <w:rPr>
      <w:rFonts w:ascii="Times New Roman" w:hAnsi="Times New Roman"/>
      <w:szCs w:val="22"/>
    </w:rPr>
  </w:style>
  <w:style w:type="paragraph" w:styleId="3">
    <w:name w:val="Body Text"/>
    <w:basedOn w:val="1"/>
    <w:semiHidden/>
    <w:qFormat/>
    <w:uiPriority w:val="0"/>
    <w:rPr>
      <w:rFonts w:ascii="仿宋" w:hAnsi="仿宋" w:eastAsia="仿宋" w:cs="仿宋"/>
      <w:sz w:val="30"/>
      <w:szCs w:val="30"/>
      <w:lang w:val="en-US" w:eastAsia="en-US" w:bidi="ar-SA"/>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11"/>
    <w:basedOn w:val="9"/>
    <w:qFormat/>
    <w:uiPriority w:val="0"/>
    <w:rPr>
      <w:rFonts w:hint="eastAsia" w:ascii="楷体" w:hAnsi="楷体" w:eastAsia="楷体" w:cs="楷体"/>
      <w:b/>
      <w:bCs/>
      <w:color w:val="000000"/>
      <w:sz w:val="20"/>
      <w:szCs w:val="20"/>
      <w:u w:val="none"/>
    </w:rPr>
  </w:style>
  <w:style w:type="character" w:customStyle="1" w:styleId="12">
    <w:name w:val="font41"/>
    <w:basedOn w:val="9"/>
    <w:qFormat/>
    <w:uiPriority w:val="0"/>
    <w:rPr>
      <w:rFonts w:hint="default" w:ascii="Times New Roman" w:hAnsi="Times New Roman" w:cs="Times New Roman"/>
      <w:b/>
      <w:bCs/>
      <w:color w:val="000000"/>
      <w:sz w:val="20"/>
      <w:szCs w:val="20"/>
      <w:u w:val="none"/>
    </w:rPr>
  </w:style>
  <w:style w:type="character" w:customStyle="1" w:styleId="13">
    <w:name w:val="font31"/>
    <w:basedOn w:val="9"/>
    <w:qFormat/>
    <w:uiPriority w:val="0"/>
    <w:rPr>
      <w:rFonts w:hint="eastAsia" w:ascii="楷体" w:hAnsi="楷体" w:eastAsia="楷体" w:cs="楷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3350</Words>
  <Characters>3461</Characters>
  <Lines>0</Lines>
  <Paragraphs>0</Paragraphs>
  <TotalTime>16</TotalTime>
  <ScaleCrop>false</ScaleCrop>
  <LinksUpToDate>false</LinksUpToDate>
  <CharactersWithSpaces>3541</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2025-01-15T03:35:00Z</dcterms:created>
  <dc:creator>J.</dc:creator>
  <cp:lastModifiedBy>J.</cp:lastModifiedBy>
  <dcterms:modified xsi:type="dcterms:W3CDTF">2025-03-12T11:09:20Z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081F53C8D1DD4CD89C3EDDC5790CA004_13</vt:lpwstr>
  </property>
  <property fmtid="{D5CDD505-2E9C-101B-9397-08002B2CF9AE}" pid="4" name="KSOTemplateDocerSaveRecord">
    <vt:lpwstr>eyJoZGlkIjoiNWY3ZDY0MGY4YWMwNjVmZjFkM2M3NzQ5NDZmZjRjMTAiLCJ1c2VySWQiOiIyNzcyNjU3NTAifQ==</vt:lpwstr>
  </property>
</Properties>
</file>