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F6FE0C">
      <w:pPr>
        <w:keepNext w:val="0"/>
        <w:keepLines w:val="0"/>
        <w:pageBreakBefore w:val="0"/>
        <w:widowControl/>
        <w:kinsoku w:val="0"/>
        <w:wordWrap/>
        <w:overflowPunct/>
        <w:topLinePunct w:val="0"/>
        <w:autoSpaceDE w:val="0"/>
        <w:autoSpaceDN w:val="0"/>
        <w:bidi w:val="0"/>
        <w:adjustRightInd w:val="0"/>
        <w:snapToGrid w:val="0"/>
        <w:spacing w:before="120" w:line="500" w:lineRule="exact"/>
        <w:jc w:val="both"/>
        <w:textAlignment w:val="baseline"/>
        <w:rPr>
          <w:rFonts w:hint="eastAsia" w:ascii="宋体" w:hAnsi="宋体" w:eastAsia="宋体" w:cs="宋体"/>
          <w:b/>
          <w:bCs/>
          <w:spacing w:val="-9"/>
          <w:sz w:val="36"/>
          <w:szCs w:val="36"/>
          <w:lang w:val="en-US" w:eastAsia="zh-CN"/>
        </w:rPr>
      </w:pPr>
      <w:r>
        <w:rPr>
          <w:rFonts w:hint="eastAsia" w:ascii="宋体" w:hAnsi="宋体" w:eastAsia="宋体" w:cs="宋体"/>
          <w:b/>
          <w:bCs/>
          <w:spacing w:val="-9"/>
          <w:sz w:val="36"/>
          <w:szCs w:val="36"/>
          <w:lang w:val="en-US" w:eastAsia="zh-CN"/>
        </w:rPr>
        <w:t>债权申报材料一</w:t>
      </w:r>
    </w:p>
    <w:p w14:paraId="1611918C">
      <w:pPr>
        <w:keepNext w:val="0"/>
        <w:keepLines w:val="0"/>
        <w:pageBreakBefore w:val="0"/>
        <w:widowControl/>
        <w:kinsoku w:val="0"/>
        <w:wordWrap/>
        <w:overflowPunct/>
        <w:topLinePunct w:val="0"/>
        <w:autoSpaceDE w:val="0"/>
        <w:autoSpaceDN w:val="0"/>
        <w:bidi w:val="0"/>
        <w:adjustRightInd w:val="0"/>
        <w:snapToGrid w:val="0"/>
        <w:spacing w:before="120" w:line="500" w:lineRule="exact"/>
        <w:jc w:val="center"/>
        <w:textAlignment w:val="baseline"/>
        <w:rPr>
          <w:rFonts w:ascii="宋体" w:hAnsi="宋体" w:eastAsia="宋体" w:cs="宋体"/>
          <w:sz w:val="44"/>
          <w:szCs w:val="44"/>
        </w:rPr>
      </w:pPr>
      <w:r>
        <w:rPr>
          <w:rFonts w:ascii="宋体" w:hAnsi="宋体" w:eastAsia="宋体" w:cs="宋体"/>
          <w:b/>
          <w:bCs/>
          <w:spacing w:val="-9"/>
          <w:sz w:val="44"/>
          <w:szCs w:val="44"/>
        </w:rPr>
        <w:t>债权申报须知</w:t>
      </w:r>
    </w:p>
    <w:p w14:paraId="6FE7B2BE">
      <w:pPr>
        <w:pStyle w:val="2"/>
        <w:keepNext w:val="0"/>
        <w:keepLines w:val="0"/>
        <w:pageBreakBefore w:val="0"/>
        <w:widowControl/>
        <w:kinsoku w:val="0"/>
        <w:wordWrap/>
        <w:overflowPunct/>
        <w:topLinePunct w:val="0"/>
        <w:autoSpaceDE w:val="0"/>
        <w:autoSpaceDN w:val="0"/>
        <w:bidi w:val="0"/>
        <w:adjustRightInd w:val="0"/>
        <w:snapToGrid w:val="0"/>
        <w:spacing w:before="120" w:line="560" w:lineRule="exact"/>
        <w:jc w:val="both"/>
        <w:textAlignment w:val="baseline"/>
        <w:rPr>
          <w:rFonts w:hint="eastAsia" w:ascii="宋体" w:hAnsi="宋体" w:eastAsia="宋体" w:cs="宋体"/>
          <w:b/>
          <w:bCs/>
          <w:spacing w:val="-22"/>
          <w:sz w:val="30"/>
          <w:szCs w:val="30"/>
          <w:lang w:eastAsia="zh-CN"/>
        </w:rPr>
      </w:pPr>
      <w:r>
        <w:rPr>
          <w:rFonts w:hint="eastAsia" w:ascii="宋体" w:hAnsi="宋体" w:eastAsia="宋体" w:cs="宋体"/>
          <w:b/>
          <w:bCs/>
          <w:spacing w:val="-22"/>
          <w:sz w:val="30"/>
          <w:szCs w:val="30"/>
        </w:rPr>
        <w:t>各债权人：</w:t>
      </w:r>
    </w:p>
    <w:p w14:paraId="601C61B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672"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8"/>
          <w:sz w:val="30"/>
          <w:szCs w:val="30"/>
        </w:rPr>
        <w:t>贵州省黔西市人民法院根据黔西市美丽鸟建材经营部的申请，受理贵州弘扬嘉装饰工程有限公司破产清算一案，并于2025年2月5日指定贵州伍尊律师事务所担任贵州弘扬嘉装饰工程有限公司破产清算一案管理人</w:t>
      </w:r>
      <w:r>
        <w:rPr>
          <w:rFonts w:hint="eastAsia" w:ascii="宋体" w:hAnsi="宋体" w:eastAsia="宋体" w:cs="宋体"/>
          <w:spacing w:val="-11"/>
          <w:sz w:val="30"/>
          <w:szCs w:val="30"/>
          <w:lang w:eastAsia="zh-CN"/>
        </w:rPr>
        <w:t>，</w:t>
      </w:r>
      <w:r>
        <w:rPr>
          <w:rFonts w:hint="eastAsia" w:ascii="宋体" w:hAnsi="宋体" w:eastAsia="宋体" w:cs="宋体"/>
          <w:spacing w:val="-11"/>
          <w:sz w:val="30"/>
          <w:szCs w:val="30"/>
        </w:rPr>
        <w:t>由管理人接受各债权人申报债权。</w:t>
      </w:r>
      <w:r>
        <w:rPr>
          <w:rFonts w:hint="eastAsia" w:ascii="宋体" w:hAnsi="宋体" w:eastAsia="宋体" w:cs="宋体"/>
          <w:spacing w:val="-11"/>
          <w:sz w:val="30"/>
          <w:szCs w:val="30"/>
          <w:lang w:val="en-US" w:eastAsia="zh-CN"/>
        </w:rPr>
        <w:t>为明确债权及利害关系人在债权申报阶段之权利义务及法律后果，特作本须知：</w:t>
      </w:r>
    </w:p>
    <w:p w14:paraId="155040B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一、</w:t>
      </w:r>
      <w:r>
        <w:rPr>
          <w:rFonts w:hint="eastAsia" w:ascii="宋体" w:hAnsi="宋体" w:eastAsia="宋体" w:cs="宋体"/>
          <w:spacing w:val="18"/>
          <w:sz w:val="30"/>
          <w:szCs w:val="30"/>
        </w:rPr>
        <w:t>贵州省黔西市人民法院</w:t>
      </w:r>
      <w:r>
        <w:rPr>
          <w:rFonts w:hint="eastAsia" w:ascii="宋体" w:hAnsi="宋体" w:eastAsia="宋体" w:cs="宋体"/>
          <w:spacing w:val="-11"/>
          <w:sz w:val="30"/>
          <w:szCs w:val="30"/>
          <w:lang w:val="en-US" w:eastAsia="zh-CN"/>
        </w:rPr>
        <w:t>已发布受理</w:t>
      </w:r>
      <w:r>
        <w:rPr>
          <w:rFonts w:hint="eastAsia" w:ascii="宋体" w:hAnsi="宋体" w:eastAsia="宋体" w:cs="宋体"/>
          <w:spacing w:val="-9"/>
          <w:sz w:val="30"/>
          <w:szCs w:val="30"/>
          <w:lang w:eastAsia="zh-CN"/>
        </w:rPr>
        <w:t>贵州弘扬嘉装饰工程有限公司</w:t>
      </w:r>
      <w:r>
        <w:rPr>
          <w:rFonts w:hint="eastAsia" w:ascii="宋体" w:hAnsi="宋体" w:eastAsia="宋体" w:cs="宋体"/>
          <w:spacing w:val="-11"/>
          <w:sz w:val="30"/>
          <w:szCs w:val="30"/>
          <w:lang w:val="en-US" w:eastAsia="zh-CN"/>
        </w:rPr>
        <w:t>破产清算一案的公告。为保障债权人权益，债权人应当在</w:t>
      </w:r>
      <w:r>
        <w:rPr>
          <w:rFonts w:hint="eastAsia" w:ascii="宋体" w:hAnsi="宋体" w:eastAsia="宋体" w:cs="宋体"/>
          <w:spacing w:val="18"/>
          <w:sz w:val="30"/>
          <w:szCs w:val="30"/>
        </w:rPr>
        <w:t>黔西市人民法院</w:t>
      </w:r>
      <w:r>
        <w:rPr>
          <w:rFonts w:hint="eastAsia" w:ascii="宋体" w:hAnsi="宋体" w:eastAsia="宋体" w:cs="宋体"/>
          <w:spacing w:val="-11"/>
          <w:sz w:val="30"/>
          <w:szCs w:val="30"/>
          <w:lang w:val="en-US" w:eastAsia="zh-CN"/>
        </w:rPr>
        <w:t>规定的申报期限内完成债权申报。</w:t>
      </w:r>
    </w:p>
    <w:p w14:paraId="6562C1A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二、根据《中华人民共和国企业破产法》（以下简称《企业破产法》）的规定，债权是指人民法院受理破产申请时对债务人享有的债权。</w:t>
      </w:r>
    </w:p>
    <w:p w14:paraId="4799BED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债权人在申报债权时应当注意以下几点：</w:t>
      </w:r>
    </w:p>
    <w:p w14:paraId="33B371D9">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1.未到期的债权，在破产申请受理时视为债权到期。</w:t>
      </w:r>
    </w:p>
    <w:p w14:paraId="50DD1F2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2.附利息的债权，自破产申请受理时起停止计息。</w:t>
      </w:r>
    </w:p>
    <w:p w14:paraId="725BD97A">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3.附条件、附期限的债权和诉讼、仲裁未决的债权，债权人可以申报。</w:t>
      </w:r>
    </w:p>
    <w:p w14:paraId="03B6DD6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4.债权人申报债权时，应当书面说明债权的数额和有无财产担保情况，并提交有关证据；申报的债权是连带债权的，应当说明。</w:t>
      </w:r>
    </w:p>
    <w:p w14:paraId="6EBF2B8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5.连带债权人可以由其中一人代表全体连带债权人申报债权，也可以共同申报债权。</w:t>
      </w:r>
    </w:p>
    <w:p w14:paraId="16B344E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6.债务人的保证人或者其他连带债务人已经代替债务人清偿债务的，可就其对债务人的求偿权申报债权。</w:t>
      </w:r>
    </w:p>
    <w:p w14:paraId="00267E8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7.债务人的保证人或者其他连带债务人尚未代替债务人清偿债务的，以其对债务人的将来求偿权申报债权。但债权人已经向管理人申报全部债权的除外。</w:t>
      </w:r>
    </w:p>
    <w:p w14:paraId="37FCB02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8.管理人或者债务人依照《企业破产法》规定解除合同的，对方当事人以因合同解除所产生的损害赔偿请求权申报债权。</w:t>
      </w:r>
    </w:p>
    <w:p w14:paraId="2EE82D9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9.债务人是委托合同的委托人，被裁定适用《企业破产法》规定的程序，受托人不知该事实，继续处理委托事务的，受托人以由此产生的请求权申报债权。</w:t>
      </w:r>
    </w:p>
    <w:p w14:paraId="78355FE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10.债务人是票据的出票人，被裁定适用《企业破产法》规定的程序，该票据的付款人继续付款或者承兑的，付款人以由此产生的请求权申报债权。</w:t>
      </w:r>
    </w:p>
    <w:p w14:paraId="54F7D0F8">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11.法律规定其他可以申报的债权，债权人可以申报。</w:t>
      </w:r>
    </w:p>
    <w:p w14:paraId="65B00E4F">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三、根据《企业破产法》规定，未申报或逾期申报债权的法律后果主要包括：</w:t>
      </w:r>
    </w:p>
    <w:p w14:paraId="1CFE0B4D">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1.债权人未申报债权，不得依照《企业破产法》规定的程序行使权利。</w:t>
      </w:r>
    </w:p>
    <w:p w14:paraId="584DB0C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2.债权人未按期申报，已分配的财产不对其补充分配。即使在破产财产最后分配前补充申报，此前已进行的分配仍不再补充分配，且债权人还应该承担因审查、确认补充债权产生的相关费用。</w:t>
      </w:r>
    </w:p>
    <w:p w14:paraId="57A3B6DC">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3.如债务人进入重整程序，债权人未按期申报债权，在重整计划执行期间债权人不得行使权利；在重整计划执行完毕后，债权人可以按照重整计划规定的同类债权的清偿条件行使权利。</w:t>
      </w:r>
    </w:p>
    <w:p w14:paraId="26EB8432">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4.如债务人进入破产和解程序，债权人未按期申报债权，在和解协议计划执行期间债权人不得行使权利；债权人在和解协议执行完毕后，可以按照和解协议规定的清偿条件行使权利。</w:t>
      </w:r>
    </w:p>
    <w:p w14:paraId="382E212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四、申报人应当如实、详细填写《债权申报表》并提供完整、真实</w:t>
      </w:r>
      <w:r>
        <w:rPr>
          <w:rFonts w:hint="eastAsia" w:ascii="宋体" w:hAnsi="宋体" w:eastAsia="宋体" w:cs="宋体"/>
          <w:spacing w:val="-11"/>
          <w:sz w:val="32"/>
          <w:szCs w:val="32"/>
          <w:lang w:val="en-US" w:eastAsia="zh-CN"/>
        </w:rPr>
        <w:t>有效</w:t>
      </w:r>
      <w:r>
        <w:rPr>
          <w:rFonts w:hint="eastAsia" w:ascii="宋体" w:hAnsi="宋体" w:eastAsia="宋体" w:cs="宋体"/>
          <w:spacing w:val="-11"/>
          <w:sz w:val="30"/>
          <w:szCs w:val="30"/>
          <w:lang w:val="en-US" w:eastAsia="zh-CN"/>
        </w:rPr>
        <w:t>的申报材料，如提供伪造、变造等虚假证据及相关材料，以及对重要事实拒绝陈述或作虚假陈述的，将承担相应的法律责任，情节严重构成犯罪的，将移交司法机关处理。申报债权应提供如下材料：</w:t>
      </w:r>
    </w:p>
    <w:p w14:paraId="0C96D67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1.诚信申报债权保证书、债权申报表、债权申报书、债权申报人信息确认书、债权申报证据清单。</w:t>
      </w:r>
    </w:p>
    <w:p w14:paraId="0B5FA7D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2.债权人为企业的，应提供债权人已年检的三证合一的营业执照复印件（加盖公章）、法定代表人／负责人身份证明书（原件）；债权人为自然人的，应提供个人身份证复印件（签字确认，现场携带身份证原件子以核对）；债权人委托代理人申报的，需提交代理人授权委托书（原件）、委托人身份证复印件（签字确认）、代理人身份证复印件（签字确认，现场携带身份证原件予以核对），委托代理人是律师的还应提交律师事务所的指派函及律师执业证复印件。</w:t>
      </w:r>
    </w:p>
    <w:p w14:paraId="709368A3">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3.证明债权事实的相关证据材料（提交复印件，但需携带原件供管理人核对）及《债权申报证据清单》。（进入司法程序或仲裁程序的，同时提交司法机关或仲裁机构出具的相关法律文书及相关法律文书的生效证明）若债权人未能提供相关证据导致债权无法被认定的，不利后果由债权人自行承担。</w:t>
      </w:r>
    </w:p>
    <w:p w14:paraId="26115D40">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五、填写表格需注意的问题</w:t>
      </w:r>
    </w:p>
    <w:p w14:paraId="59478F77">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1.申报债权的金额：申报的债权金额必须确定（针对</w:t>
      </w:r>
      <w:r>
        <w:rPr>
          <w:rFonts w:hint="eastAsia" w:ascii="宋体" w:hAnsi="宋体" w:eastAsia="宋体" w:cs="宋体"/>
          <w:spacing w:val="-9"/>
          <w:sz w:val="30"/>
          <w:szCs w:val="30"/>
          <w:lang w:eastAsia="zh-CN"/>
        </w:rPr>
        <w:t>贵州弘扬嘉装饰工程有限公司</w:t>
      </w:r>
      <w:r>
        <w:rPr>
          <w:rFonts w:hint="eastAsia" w:ascii="宋体" w:hAnsi="宋体" w:eastAsia="宋体" w:cs="宋体"/>
          <w:spacing w:val="-11"/>
          <w:sz w:val="30"/>
          <w:szCs w:val="30"/>
          <w:lang w:val="en-US" w:eastAsia="zh-CN"/>
        </w:rPr>
        <w:t>公司，同一法人、组织或个人只能申报一个债权总额）。</w:t>
      </w:r>
    </w:p>
    <w:p w14:paraId="77772C9E">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2.利息债权：附利息的债权自破产申请受理时起停止计息，即利息计至2024年7月8日止。</w:t>
      </w:r>
    </w:p>
    <w:p w14:paraId="378A43C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3.基本事实项：简要陈述该债权的形成经过，对已开票金额和未开票金额应填写清楚；若涉及合同关系的，则该合同是否已经履行完毕要填写清楚。</w:t>
      </w:r>
    </w:p>
    <w:p w14:paraId="7D434166">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4.债权人应当如实申报债权，债务人的保证人或者其他连带债务人已经替代债务人清偿债务的，已受偿部分不能再次申报。</w:t>
      </w:r>
    </w:p>
    <w:p w14:paraId="0EC7416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5.债权申报后，债权人从债务人的保证人或者其他连带债务人等处获得清偿的，应当在一周内书面告知管理人。</w:t>
      </w:r>
    </w:p>
    <w:p w14:paraId="5A17916B">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六、现场申报的，申报人应当严格遵守申报秩序，服从管理人工作人员的安排，有序申报，并务必携带债权申报证据原件以便与管理人核对。</w:t>
      </w:r>
    </w:p>
    <w:p w14:paraId="455A91C4">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选择邮寄的，则请邮寄至：</w:t>
      </w:r>
      <w:r>
        <w:rPr>
          <w:rFonts w:hint="eastAsia" w:ascii="宋体" w:hAnsi="宋体" w:eastAsia="宋体" w:cs="宋体"/>
          <w:b/>
          <w:bCs/>
          <w:spacing w:val="-12"/>
          <w:sz w:val="30"/>
          <w:szCs w:val="30"/>
          <w:u w:val="single"/>
        </w:rPr>
        <w:t>贵州省毕节市七星关区学院路东锦名都4楼贵州伍尊律师事务所</w:t>
      </w:r>
      <w:r>
        <w:rPr>
          <w:rFonts w:hint="eastAsia" w:ascii="宋体" w:hAnsi="宋体" w:eastAsia="宋体" w:cs="宋体"/>
          <w:b/>
          <w:bCs/>
          <w:spacing w:val="-11"/>
          <w:sz w:val="30"/>
          <w:szCs w:val="30"/>
          <w:u w:val="single"/>
          <w:lang w:val="en-US" w:eastAsia="zh-CN"/>
        </w:rPr>
        <w:t>；邮政编码：551700；联系人：邓继，联系电话：18748573086。</w:t>
      </w:r>
      <w:r>
        <w:rPr>
          <w:rFonts w:hint="eastAsia" w:ascii="宋体" w:hAnsi="宋体" w:eastAsia="宋体" w:cs="宋体"/>
          <w:spacing w:val="-11"/>
          <w:sz w:val="30"/>
          <w:szCs w:val="30"/>
          <w:lang w:val="en-US" w:eastAsia="zh-CN"/>
        </w:rPr>
        <w:t>请在邮寄单注明</w:t>
      </w:r>
      <w:r>
        <w:rPr>
          <w:rFonts w:hint="eastAsia" w:ascii="宋体" w:hAnsi="宋体" w:eastAsia="宋体" w:cs="宋体"/>
          <w:b/>
          <w:bCs/>
          <w:spacing w:val="-11"/>
          <w:sz w:val="30"/>
          <w:szCs w:val="30"/>
          <w:u w:val="single"/>
          <w:lang w:val="en-US" w:eastAsia="zh-CN"/>
        </w:rPr>
        <w:t>“</w:t>
      </w:r>
      <w:r>
        <w:rPr>
          <w:rFonts w:hint="eastAsia" w:ascii="宋体" w:hAnsi="宋体" w:eastAsia="宋体" w:cs="宋体"/>
          <w:b/>
          <w:bCs/>
          <w:spacing w:val="-9"/>
          <w:sz w:val="30"/>
          <w:szCs w:val="30"/>
          <w:u w:val="single"/>
          <w:lang w:eastAsia="zh-CN"/>
        </w:rPr>
        <w:t>贵州弘扬嘉装饰工程有限公司</w:t>
      </w:r>
      <w:r>
        <w:rPr>
          <w:rFonts w:hint="eastAsia" w:ascii="宋体" w:hAnsi="宋体" w:eastAsia="宋体" w:cs="宋体"/>
          <w:b/>
          <w:bCs/>
          <w:spacing w:val="-11"/>
          <w:sz w:val="30"/>
          <w:szCs w:val="30"/>
          <w:u w:val="single"/>
          <w:lang w:val="en-US" w:eastAsia="zh-CN"/>
        </w:rPr>
        <w:t>债权申报”</w:t>
      </w:r>
      <w:r>
        <w:rPr>
          <w:rFonts w:hint="eastAsia" w:ascii="宋体" w:hAnsi="宋体" w:eastAsia="宋体" w:cs="宋体"/>
          <w:spacing w:val="-11"/>
          <w:sz w:val="30"/>
          <w:szCs w:val="30"/>
          <w:lang w:val="en-US" w:eastAsia="zh-CN"/>
        </w:rPr>
        <w:t>字样，并保留邮件寄送底单。管理人将在收到申报材料之后确定时间核对证据原件。</w:t>
      </w:r>
    </w:p>
    <w:p w14:paraId="145FEDA1">
      <w:pPr>
        <w:pStyle w:val="2"/>
        <w:keepNext w:val="0"/>
        <w:keepLines w:val="0"/>
        <w:pageBreakBefore w:val="0"/>
        <w:widowControl/>
        <w:kinsoku w:val="0"/>
        <w:wordWrap/>
        <w:overflowPunct/>
        <w:topLinePunct w:val="0"/>
        <w:autoSpaceDE w:val="0"/>
        <w:autoSpaceDN w:val="0"/>
        <w:bidi w:val="0"/>
        <w:adjustRightInd w:val="0"/>
        <w:snapToGrid w:val="0"/>
        <w:spacing w:line="560" w:lineRule="exact"/>
        <w:ind w:firstLine="556" w:firstLineChars="200"/>
        <w:jc w:val="both"/>
        <w:textAlignment w:val="baseline"/>
        <w:rPr>
          <w:rFonts w:hint="eastAsia" w:ascii="宋体" w:hAnsi="宋体" w:eastAsia="宋体" w:cs="宋体"/>
          <w:spacing w:val="-11"/>
          <w:sz w:val="30"/>
          <w:szCs w:val="30"/>
          <w:lang w:val="en-US" w:eastAsia="zh-CN"/>
        </w:rPr>
      </w:pPr>
      <w:r>
        <w:rPr>
          <w:rFonts w:hint="eastAsia" w:ascii="宋体" w:hAnsi="宋体" w:eastAsia="宋体" w:cs="宋体"/>
          <w:spacing w:val="-11"/>
          <w:sz w:val="30"/>
          <w:szCs w:val="30"/>
          <w:lang w:val="en-US" w:eastAsia="zh-CN"/>
        </w:rPr>
        <w:t>债权人未能在管理人确定的时间内提供证据原件的，申报的债权管理人不予确认。</w:t>
      </w:r>
    </w:p>
    <w:p w14:paraId="2E146CFD">
      <w:pPr>
        <w:jc w:val="right"/>
        <w:rPr>
          <w:rFonts w:hint="eastAsia" w:ascii="宋体" w:hAnsi="宋体" w:eastAsia="宋体" w:cs="宋体"/>
          <w:sz w:val="30"/>
          <w:szCs w:val="30"/>
        </w:rPr>
      </w:pPr>
      <w:r>
        <w:rPr>
          <w:rFonts w:hint="eastAsia" w:ascii="宋体" w:hAnsi="宋体" w:eastAsia="宋体" w:cs="宋体"/>
          <w:sz w:val="30"/>
          <w:szCs w:val="30"/>
          <w:lang w:eastAsia="zh-CN"/>
        </w:rPr>
        <w:t>贵州弘扬嘉装饰工程有限公司</w:t>
      </w:r>
      <w:r>
        <w:rPr>
          <w:rFonts w:hint="eastAsia" w:ascii="宋体" w:hAnsi="宋体" w:eastAsia="宋体" w:cs="宋体"/>
          <w:sz w:val="30"/>
          <w:szCs w:val="30"/>
        </w:rPr>
        <w:t>管理人</w:t>
      </w:r>
    </w:p>
    <w:p w14:paraId="212EDAD4">
      <w:pPr>
        <w:jc w:val="center"/>
      </w:pPr>
      <w:r>
        <w:rPr>
          <w:rFonts w:hint="eastAsia" w:ascii="宋体" w:hAnsi="宋体" w:eastAsia="宋体" w:cs="宋体"/>
          <w:sz w:val="30"/>
          <w:szCs w:val="30"/>
          <w:lang w:val="en-US" w:eastAsia="zh-CN"/>
        </w:rPr>
        <w:t xml:space="preserve">                            </w:t>
      </w:r>
      <w:r>
        <w:rPr>
          <w:rFonts w:hint="eastAsia" w:ascii="宋体" w:hAnsi="宋体" w:eastAsia="宋体" w:cs="宋体"/>
          <w:sz w:val="30"/>
          <w:szCs w:val="30"/>
        </w:rPr>
        <w:t>二〇二</w:t>
      </w:r>
      <w:r>
        <w:rPr>
          <w:rFonts w:hint="eastAsia" w:ascii="宋体" w:hAnsi="宋体" w:eastAsia="宋体" w:cs="宋体"/>
          <w:sz w:val="30"/>
          <w:szCs w:val="30"/>
          <w:lang w:eastAsia="zh-CN"/>
        </w:rPr>
        <w:t>五</w:t>
      </w:r>
      <w:r>
        <w:rPr>
          <w:rFonts w:hint="eastAsia" w:ascii="宋体" w:hAnsi="宋体" w:eastAsia="宋体" w:cs="宋体"/>
          <w:sz w:val="30"/>
          <w:szCs w:val="30"/>
        </w:rPr>
        <w:t>年</w:t>
      </w:r>
      <w:r>
        <w:rPr>
          <w:rFonts w:hint="eastAsia" w:ascii="宋体" w:hAnsi="宋体" w:eastAsia="宋体" w:cs="宋体"/>
          <w:sz w:val="30"/>
          <w:szCs w:val="30"/>
          <w:lang w:eastAsia="zh-CN"/>
        </w:rPr>
        <w:t>三</w:t>
      </w:r>
      <w:r>
        <w:rPr>
          <w:rFonts w:hint="eastAsia" w:ascii="宋体" w:hAnsi="宋体" w:eastAsia="宋体" w:cs="宋体"/>
          <w:sz w:val="30"/>
          <w:szCs w:val="30"/>
        </w:rPr>
        <w:t>月</w:t>
      </w:r>
      <w:r>
        <w:rPr>
          <w:rFonts w:hint="eastAsia" w:ascii="宋体" w:hAnsi="宋体" w:eastAsia="宋体" w:cs="宋体"/>
          <w:sz w:val="30"/>
          <w:szCs w:val="30"/>
          <w:lang w:eastAsia="zh-CN"/>
        </w:rPr>
        <w:t>一</w:t>
      </w:r>
      <w:bookmarkStart w:id="0" w:name="_GoBack"/>
      <w:bookmarkEnd w:id="0"/>
      <w:r>
        <w:rPr>
          <w:rFonts w:hint="eastAsia" w:ascii="宋体" w:hAnsi="宋体" w:eastAsia="宋体" w:cs="宋体"/>
          <w:sz w:val="30"/>
          <w:szCs w:val="30"/>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FlNzRmZDUwZjZlYTg2MmUxYWY0ZGVhMzg3MmI2MDYifQ=="/>
  </w:docVars>
  <w:rsids>
    <w:rsidRoot w:val="00000000"/>
    <w:rsid w:val="19FE2576"/>
    <w:rsid w:val="30AB7BBF"/>
    <w:rsid w:val="556D4327"/>
    <w:rsid w:val="672E77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9"/>
      <w:szCs w:val="29"/>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2109</Words>
  <Characters>2155</Characters>
  <Lines>0</Lines>
  <Paragraphs>0</Paragraphs>
  <TotalTime>3</TotalTime>
  <ScaleCrop>false</ScaleCrop>
  <LinksUpToDate>false</LinksUpToDate>
  <CharactersWithSpaces>2183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2024-07-25T01:39:00Z</dcterms:created>
  <dc:creator>Thinkpad</dc:creator>
  <cp:lastModifiedBy>邓律师</cp:lastModifiedBy>
  <dcterms:modified xsi:type="dcterms:W3CDTF">2025-03-12T08:42:48Z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2C1B39A3DC184C39B551CE7E18366552_12</vt:lpwstr>
  </property>
  <property fmtid="{D5CDD505-2E9C-101B-9397-08002B2CF9AE}" pid="4" name="KSOTemplateDocerSaveRecord">
    <vt:lpwstr>eyJoZGlkIjoiMTdkNzU3MDIxZjhlMDU5YjA0MzFiNTJmMTNiODBhNTQiLCJ1c2VySWQiOiIzMDcxMzUyNjgifQ==</vt:lpwstr>
  </property>
</Properties>
</file>