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6722C">
      <w:pPr>
        <w:pStyle w:val="2"/>
        <w:keepNext w:val="0"/>
        <w:keepLines w:val="0"/>
        <w:pageBreakBefore w:val="0"/>
        <w:widowControl/>
        <w:kinsoku/>
        <w:wordWrap/>
        <w:overflowPunct/>
        <w:topLinePunct w:val="0"/>
        <w:autoSpaceDE/>
        <w:autoSpaceDN/>
        <w:bidi w:val="0"/>
        <w:adjustRightInd/>
        <w:snapToGrid/>
        <w:spacing w:afterAutospacing="0" w:line="360" w:lineRule="exact"/>
        <w:jc w:val="center"/>
        <w:textAlignment w:val="auto"/>
        <w:rPr>
          <w:rFonts w:hint="default" w:cs="宋体"/>
          <w:sz w:val="32"/>
          <w:szCs w:val="32"/>
        </w:rPr>
      </w:pPr>
      <w:bookmarkStart w:id="0" w:name="_GoBack"/>
      <w:r>
        <w:rPr>
          <w:rFonts w:cs="宋体"/>
          <w:sz w:val="32"/>
          <w:szCs w:val="32"/>
        </w:rPr>
        <w:t>拍卖标的调查情况表</w:t>
      </w:r>
    </w:p>
    <w:bookmarkEnd w:id="0"/>
    <w:tbl>
      <w:tblPr>
        <w:tblStyle w:val="4"/>
        <w:tblW w:w="947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498"/>
        <w:gridCol w:w="2385"/>
        <w:gridCol w:w="5595"/>
      </w:tblGrid>
      <w:tr w14:paraId="4311DA5C">
        <w:trPr>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E93112B">
            <w:pPr>
              <w:pStyle w:val="3"/>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宋体" w:hAnsi="宋体" w:eastAsia="宋体" w:cs="宋体"/>
                <w:sz w:val="24"/>
                <w:szCs w:val="24"/>
              </w:rPr>
              <w:t>拍品名称</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04BD2AA">
            <w:pPr>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仿宋_GB2312" w:hAnsi="仿宋_GB2312" w:eastAsia="仿宋_GB2312" w:cs="Times New Roman"/>
                <w:color w:val="000000"/>
                <w:sz w:val="24"/>
                <w:szCs w:val="24"/>
                <w:lang w:val="en-US" w:eastAsia="zh-CN"/>
              </w:rPr>
              <w:t>杭州藏龙阁餐饮管理有限公司名下商标</w:t>
            </w:r>
          </w:p>
        </w:tc>
      </w:tr>
      <w:tr w14:paraId="623AB5D8">
        <w:trPr>
          <w:trHeight w:val="374"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129480E">
            <w:pPr>
              <w:pStyle w:val="3"/>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宋体" w:hAnsi="宋体" w:eastAsia="宋体" w:cs="宋体"/>
                <w:sz w:val="24"/>
                <w:szCs w:val="24"/>
              </w:rPr>
              <w:t>拍品基本情况</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542B72">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详见后附《杭州藏龙阁餐饮管理有限公司拍卖商标清单》</w:t>
            </w:r>
          </w:p>
        </w:tc>
      </w:tr>
      <w:tr w14:paraId="7A0B9AC3">
        <w:trPr>
          <w:trHeight w:val="536"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0E261C0">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color w:val="000000"/>
                <w:sz w:val="24"/>
                <w:szCs w:val="24"/>
                <w:lang w:val="en-US" w:eastAsia="zh-CN"/>
              </w:rPr>
            </w:pPr>
            <w:r>
              <w:rPr>
                <w:rFonts w:hint="eastAsia" w:ascii="宋体" w:hAnsi="宋体" w:eastAsia="宋体" w:cs="宋体"/>
                <w:kern w:val="0"/>
                <w:sz w:val="24"/>
                <w:szCs w:val="24"/>
                <w:lang w:val="en-US" w:eastAsia="zh-CN" w:bidi="ar-SA"/>
              </w:rPr>
              <w:t>权利来源</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58D07C9">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（2024）浙01破申280 号民事裁定书</w:t>
            </w:r>
          </w:p>
          <w:p w14:paraId="098E1D17">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（2025）浙01破7号决定书</w:t>
            </w:r>
          </w:p>
        </w:tc>
      </w:tr>
      <w:tr w14:paraId="6ACFC829">
        <w:trPr>
          <w:trHeight w:val="384"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6256046">
            <w:pPr>
              <w:pStyle w:val="3"/>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宋体" w:hAnsi="宋体" w:eastAsia="宋体" w:cs="宋体"/>
                <w:sz w:val="24"/>
                <w:szCs w:val="24"/>
              </w:rPr>
              <w:t>拍品所有人</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6740E4">
            <w:pPr>
              <w:keepNext w:val="0"/>
              <w:keepLines w:val="0"/>
              <w:pageBreakBefore w:val="0"/>
              <w:widowControl/>
              <w:kinsoku/>
              <w:wordWrap/>
              <w:overflowPunct/>
              <w:topLinePunct w:val="0"/>
              <w:autoSpaceDE/>
              <w:autoSpaceDN/>
              <w:bidi w:val="0"/>
              <w:adjustRightInd/>
              <w:snapToGrid/>
              <w:spacing w:line="420" w:lineRule="exact"/>
              <w:jc w:val="center"/>
              <w:rPr>
                <w:rFonts w:hint="eastAsia"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杭州藏龙阁餐饮管理有限公司</w:t>
            </w:r>
          </w:p>
        </w:tc>
      </w:tr>
      <w:tr w14:paraId="3FDF1E8E">
        <w:trPr>
          <w:trHeight w:val="232" w:hRule="atLeast"/>
          <w:jc w:val="center"/>
        </w:trPr>
        <w:tc>
          <w:tcPr>
            <w:tcW w:w="14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0F540FF">
            <w:pPr>
              <w:pStyle w:val="3"/>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宋体" w:hAnsi="宋体" w:eastAsia="宋体" w:cs="宋体"/>
                <w:sz w:val="24"/>
                <w:szCs w:val="24"/>
              </w:rPr>
              <w:t>权利限制情况</w:t>
            </w:r>
          </w:p>
        </w:tc>
        <w:tc>
          <w:tcPr>
            <w:tcW w:w="23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921F67">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default" w:ascii="仿宋_GB2312" w:hAnsi="仿宋_GB2312" w:eastAsia="仿宋_GB2312" w:cs="Times New Roman"/>
                <w:color w:val="000000"/>
                <w:sz w:val="24"/>
                <w:szCs w:val="24"/>
              </w:rPr>
            </w:pPr>
            <w:r>
              <w:rPr>
                <w:rFonts w:hint="eastAsia" w:ascii="仿宋_GB2312" w:hAnsi="仿宋_GB2312" w:eastAsia="仿宋_GB2312" w:cs="Times New Roman"/>
                <w:color w:val="000000"/>
                <w:sz w:val="24"/>
                <w:szCs w:val="24"/>
              </w:rPr>
              <w:t>查封</w:t>
            </w:r>
          </w:p>
        </w:tc>
        <w:tc>
          <w:tcPr>
            <w:tcW w:w="55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DBB0908">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sz w:val="24"/>
                <w:szCs w:val="24"/>
                <w:lang w:eastAsia="zh-CN"/>
              </w:rPr>
            </w:pPr>
            <w:r>
              <w:rPr>
                <w:rFonts w:hint="eastAsia" w:ascii="仿宋_GB2312" w:hAnsi="仿宋_GB2312" w:eastAsia="仿宋_GB2312" w:cs="Times New Roman"/>
                <w:color w:val="000000"/>
                <w:sz w:val="24"/>
                <w:szCs w:val="24"/>
                <w:lang w:val="en-US" w:eastAsia="zh-CN"/>
              </w:rPr>
              <w:t>不详</w:t>
            </w:r>
          </w:p>
        </w:tc>
      </w:tr>
      <w:tr w14:paraId="07175084">
        <w:trPr>
          <w:trHeight w:val="390" w:hRule="atLeast"/>
          <w:jc w:val="center"/>
        </w:trPr>
        <w:tc>
          <w:tcPr>
            <w:tcW w:w="14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D2F5F80">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4"/>
                <w:szCs w:val="24"/>
              </w:rPr>
            </w:pPr>
          </w:p>
        </w:tc>
        <w:tc>
          <w:tcPr>
            <w:tcW w:w="23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82CCB8">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default" w:ascii="仿宋_GB2312" w:hAnsi="仿宋_GB2312" w:eastAsia="仿宋_GB2312" w:cs="Times New Roman"/>
                <w:color w:val="000000"/>
                <w:sz w:val="24"/>
                <w:szCs w:val="24"/>
              </w:rPr>
            </w:pPr>
            <w:r>
              <w:rPr>
                <w:rFonts w:hint="eastAsia" w:ascii="仿宋_GB2312" w:hAnsi="仿宋_GB2312" w:eastAsia="仿宋_GB2312" w:cs="Times New Roman"/>
                <w:color w:val="000000"/>
                <w:sz w:val="24"/>
                <w:szCs w:val="24"/>
              </w:rPr>
              <w:t>抵押</w:t>
            </w:r>
          </w:p>
        </w:tc>
        <w:tc>
          <w:tcPr>
            <w:tcW w:w="55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83E6F93">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sz w:val="24"/>
                <w:szCs w:val="24"/>
                <w:lang w:eastAsia="zh-CN"/>
              </w:rPr>
            </w:pPr>
            <w:r>
              <w:rPr>
                <w:rFonts w:hint="eastAsia" w:ascii="仿宋_GB2312" w:hAnsi="仿宋_GB2312" w:eastAsia="仿宋_GB2312" w:cs="Times New Roman"/>
                <w:color w:val="000000"/>
                <w:sz w:val="24"/>
                <w:szCs w:val="24"/>
                <w:lang w:val="en-US" w:eastAsia="zh-CN"/>
              </w:rPr>
              <w:t>不详</w:t>
            </w:r>
          </w:p>
        </w:tc>
      </w:tr>
      <w:tr w14:paraId="3B6024DF">
        <w:trPr>
          <w:trHeight w:val="348"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3594EFA">
            <w:pPr>
              <w:pStyle w:val="3"/>
              <w:keepNext w:val="0"/>
              <w:keepLines w:val="0"/>
              <w:pageBreakBefore w:val="0"/>
              <w:widowControl/>
              <w:kinsoku/>
              <w:wordWrap/>
              <w:overflowPunct/>
              <w:topLinePunct w:val="0"/>
              <w:autoSpaceDE/>
              <w:autoSpaceDN/>
              <w:bidi w:val="0"/>
              <w:adjustRightInd/>
              <w:snapToGrid/>
              <w:spacing w:line="420" w:lineRule="exact"/>
              <w:jc w:val="center"/>
              <w:rPr>
                <w:rFonts w:ascii="宋体" w:hAnsi="宋体" w:eastAsia="宋体" w:cs="宋体"/>
                <w:sz w:val="24"/>
                <w:szCs w:val="24"/>
              </w:rPr>
            </w:pPr>
            <w:r>
              <w:rPr>
                <w:rFonts w:hint="eastAsia" w:ascii="宋体" w:hAnsi="宋体" w:eastAsia="宋体" w:cs="宋体"/>
                <w:sz w:val="24"/>
                <w:szCs w:val="24"/>
              </w:rPr>
              <w:t>权属证书</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AE6AE6">
            <w:pPr>
              <w:keepNext w:val="0"/>
              <w:keepLines w:val="0"/>
              <w:pageBreakBefore w:val="0"/>
              <w:kinsoku/>
              <w:wordWrap/>
              <w:overflowPunct/>
              <w:topLinePunct w:val="0"/>
              <w:autoSpaceDE/>
              <w:autoSpaceDN/>
              <w:bidi w:val="0"/>
              <w:adjustRightInd/>
              <w:snapToGrid/>
              <w:spacing w:line="420" w:lineRule="exact"/>
              <w:jc w:val="center"/>
              <w:rPr>
                <w:rFonts w:hint="default"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管理人未接管到权属证书，具体商标情况以国家知识产权局商标局等相关部门的登记信息为准。</w:t>
            </w:r>
          </w:p>
        </w:tc>
      </w:tr>
      <w:tr w14:paraId="16FD14CF">
        <w:trPr>
          <w:trHeight w:val="710"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6E0F3EF">
            <w:pPr>
              <w:pStyle w:val="3"/>
              <w:keepNext w:val="0"/>
              <w:keepLines w:val="0"/>
              <w:pageBreakBefore w:val="0"/>
              <w:widowControl/>
              <w:kinsoku/>
              <w:wordWrap/>
              <w:overflowPunct/>
              <w:topLinePunct w:val="0"/>
              <w:autoSpaceDE/>
              <w:autoSpaceDN/>
              <w:bidi w:val="0"/>
              <w:adjustRightInd/>
              <w:snapToGrid/>
              <w:spacing w:line="420" w:lineRule="exact"/>
              <w:jc w:val="center"/>
              <w:rPr>
                <w:rFonts w:hint="eastAsia" w:ascii="宋体" w:hAnsi="宋体" w:eastAsia="宋体" w:cs="宋体"/>
                <w:sz w:val="24"/>
                <w:szCs w:val="24"/>
              </w:rPr>
            </w:pPr>
            <w:r>
              <w:rPr>
                <w:rFonts w:hint="eastAsia" w:ascii="宋体" w:hAnsi="宋体" w:eastAsia="宋体" w:cs="宋体"/>
                <w:sz w:val="24"/>
                <w:szCs w:val="24"/>
              </w:rPr>
              <w:t>竞买限制</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156B6CF">
            <w:pPr>
              <w:keepNext w:val="0"/>
              <w:keepLines w:val="0"/>
              <w:pageBreakBefore w:val="0"/>
              <w:kinsoku/>
              <w:wordWrap/>
              <w:overflowPunct/>
              <w:topLinePunct w:val="0"/>
              <w:autoSpaceDE/>
              <w:autoSpaceDN/>
              <w:bidi w:val="0"/>
              <w:adjustRightInd/>
              <w:snapToGrid/>
              <w:spacing w:line="420" w:lineRule="exact"/>
              <w:jc w:val="center"/>
              <w:rPr>
                <w:rFonts w:hint="default" w:ascii="仿宋_GB2312" w:hAnsi="仿宋_GB2312" w:eastAsia="仿宋_GB2312" w:cs="Times New Roman"/>
                <w:color w:val="000000"/>
                <w:sz w:val="24"/>
                <w:szCs w:val="24"/>
                <w:lang w:val="en-US" w:eastAsia="zh-CN"/>
              </w:rPr>
            </w:pPr>
            <w:r>
              <w:rPr>
                <w:rFonts w:hint="eastAsia" w:ascii="仿宋_GB2312" w:hAnsi="仿宋_GB2312" w:eastAsia="仿宋_GB2312" w:cs="Times New Roman"/>
                <w:color w:val="000000"/>
                <w:sz w:val="24"/>
                <w:szCs w:val="24"/>
                <w:lang w:val="en-US" w:eastAsia="zh-CN"/>
              </w:rPr>
              <w:t>具备竞买资格的竞买人均可参加竞买。竞买人是否有竞买资格，请咨询相关登记主管部门，以主管部门的意见为准。</w:t>
            </w:r>
          </w:p>
        </w:tc>
      </w:tr>
      <w:tr w14:paraId="19388310">
        <w:trPr>
          <w:trHeight w:val="310" w:hRule="atLeast"/>
          <w:jc w:val="center"/>
        </w:trPr>
        <w:tc>
          <w:tcPr>
            <w:tcW w:w="14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AC77D22">
            <w:pPr>
              <w:pStyle w:val="3"/>
              <w:keepNext w:val="0"/>
              <w:keepLines w:val="0"/>
              <w:pageBreakBefore w:val="0"/>
              <w:widowControl/>
              <w:kinsoku/>
              <w:wordWrap/>
              <w:overflowPunct/>
              <w:topLinePunct w:val="0"/>
              <w:autoSpaceDE/>
              <w:autoSpaceDN/>
              <w:bidi w:val="0"/>
              <w:adjustRightInd/>
              <w:snapToGrid/>
              <w:spacing w:line="420" w:lineRule="exact"/>
              <w:jc w:val="center"/>
              <w:rPr>
                <w:rFonts w:hint="eastAsia" w:ascii="宋体" w:hAnsi="宋体" w:eastAsia="宋体" w:cs="宋体"/>
                <w:sz w:val="24"/>
                <w:szCs w:val="24"/>
              </w:rPr>
            </w:pPr>
            <w:r>
              <w:rPr>
                <w:rFonts w:hint="eastAsia" w:ascii="宋体" w:hAnsi="宋体" w:eastAsia="宋体" w:cs="宋体"/>
                <w:sz w:val="24"/>
                <w:szCs w:val="24"/>
              </w:rPr>
              <w:t>特别说明</w:t>
            </w:r>
          </w:p>
        </w:tc>
        <w:tc>
          <w:tcPr>
            <w:tcW w:w="798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6DECD1E">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hint="eastAsia" w:ascii="仿宋_GB2312" w:hAnsi="仿宋_GB2312" w:eastAsia="仿宋_GB2312" w:cs="Times New Roman"/>
                <w:color w:val="auto"/>
                <w:sz w:val="24"/>
                <w:szCs w:val="24"/>
                <w:lang w:val="en-US" w:eastAsia="zh-CN"/>
              </w:rPr>
            </w:pPr>
            <w:r>
              <w:rPr>
                <w:rFonts w:hint="default" w:ascii="仿宋_GB2312" w:hAnsi="仿宋_GB2312" w:eastAsia="仿宋_GB2312" w:cs="Times New Roman"/>
                <w:color w:val="auto"/>
                <w:sz w:val="24"/>
                <w:szCs w:val="24"/>
              </w:rPr>
              <w:t>1、标的未经</w:t>
            </w:r>
            <w:r>
              <w:rPr>
                <w:rFonts w:hint="eastAsia" w:ascii="仿宋_GB2312" w:hAnsi="仿宋_GB2312" w:eastAsia="仿宋_GB2312" w:cs="Times New Roman"/>
                <w:color w:val="auto"/>
                <w:sz w:val="24"/>
                <w:szCs w:val="24"/>
                <w:lang w:val="en-US" w:eastAsia="zh-CN"/>
              </w:rPr>
              <w:t>管理人委托</w:t>
            </w:r>
            <w:r>
              <w:rPr>
                <w:rFonts w:hint="default" w:ascii="仿宋_GB2312" w:hAnsi="仿宋_GB2312" w:eastAsia="仿宋_GB2312" w:cs="Times New Roman"/>
                <w:color w:val="auto"/>
                <w:sz w:val="24"/>
                <w:szCs w:val="24"/>
              </w:rPr>
              <w:t>评估，</w:t>
            </w:r>
            <w:r>
              <w:rPr>
                <w:rFonts w:hint="eastAsia" w:ascii="仿宋_GB2312" w:hAnsi="仿宋_GB2312" w:eastAsia="仿宋_GB2312" w:cs="Times New Roman"/>
                <w:color w:val="auto"/>
                <w:sz w:val="24"/>
                <w:szCs w:val="24"/>
                <w:lang w:val="en-US" w:eastAsia="zh-CN"/>
              </w:rPr>
              <w:t>本次起拍价系</w:t>
            </w:r>
            <w:r>
              <w:rPr>
                <w:rFonts w:hint="default" w:ascii="仿宋_GB2312" w:hAnsi="仿宋_GB2312" w:eastAsia="仿宋_GB2312" w:cs="Times New Roman"/>
                <w:color w:val="auto"/>
                <w:sz w:val="24"/>
                <w:szCs w:val="24"/>
              </w:rPr>
              <w:t>管理人</w:t>
            </w:r>
            <w:r>
              <w:rPr>
                <w:rFonts w:hint="eastAsia" w:ascii="仿宋_GB2312" w:hAnsi="仿宋_GB2312" w:eastAsia="仿宋_GB2312" w:cs="Times New Roman"/>
                <w:color w:val="auto"/>
                <w:sz w:val="24"/>
                <w:szCs w:val="24"/>
                <w:lang w:val="en-US" w:eastAsia="zh-CN"/>
              </w:rPr>
              <w:t>确认价格后，经藏龙阁公司债权人同意确定的。</w:t>
            </w:r>
          </w:p>
          <w:p w14:paraId="1E8C70CD">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hint="default" w:ascii="仿宋_GB2312" w:hAnsi="仿宋_GB2312" w:eastAsia="仿宋_GB2312" w:cs="Times New Roman"/>
                <w:color w:val="auto"/>
                <w:sz w:val="24"/>
                <w:szCs w:val="24"/>
                <w:lang w:val="en-US" w:eastAsia="zh-CN"/>
              </w:rPr>
            </w:pPr>
            <w:r>
              <w:rPr>
                <w:rFonts w:hint="default" w:ascii="仿宋_GB2312" w:hAnsi="仿宋_GB2312" w:eastAsia="仿宋_GB2312" w:cs="Times New Roman"/>
                <w:color w:val="auto"/>
                <w:sz w:val="24"/>
                <w:szCs w:val="24"/>
              </w:rPr>
              <w:t>2</w:t>
            </w:r>
            <w:r>
              <w:rPr>
                <w:rFonts w:hint="eastAsia" w:ascii="仿宋_GB2312" w:hAnsi="仿宋_GB2312" w:eastAsia="仿宋_GB2312" w:cs="Times New Roman"/>
                <w:color w:val="auto"/>
                <w:sz w:val="24"/>
                <w:szCs w:val="24"/>
              </w:rPr>
              <w:t>、</w:t>
            </w:r>
            <w:r>
              <w:rPr>
                <w:rFonts w:hint="eastAsia" w:ascii="仿宋_GB2312" w:hAnsi="仿宋_GB2312" w:eastAsia="仿宋_GB2312" w:cs="Times New Roman"/>
                <w:color w:val="auto"/>
                <w:sz w:val="24"/>
                <w:szCs w:val="24"/>
                <w:lang w:val="en-US" w:eastAsia="zh-CN"/>
              </w:rPr>
              <w:t>标的转让所涉及的税费有明确缴纳义务主体的，由相关主体承担；标的转让所涉及的税费未明确缴费义务人的，由买受人自行负责处理。买受人在竞买前可自行向所涉税务部门确认成交后应缴纳的税费标准及有关过户、税费等问题。其他费用，包括可能存在的明确的或潜在的一切关联费用及未明确缴费义务人的费用等均由买受人自行承担（包括但不限于可能存在的商标转让费用等）。</w:t>
            </w:r>
          </w:p>
          <w:p w14:paraId="4FB9011F">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hint="default" w:ascii="仿宋_GB2312" w:hAnsi="仿宋_GB2312" w:eastAsia="仿宋_GB2312" w:cs="Times New Roman"/>
                <w:color w:val="000000"/>
                <w:sz w:val="24"/>
                <w:szCs w:val="24"/>
              </w:rPr>
            </w:pPr>
            <w:r>
              <w:rPr>
                <w:rFonts w:hint="default" w:ascii="仿宋_GB2312" w:hAnsi="仿宋_GB2312" w:eastAsia="仿宋_GB2312" w:cs="Times New Roman"/>
                <w:color w:val="000000"/>
                <w:sz w:val="24"/>
                <w:szCs w:val="24"/>
              </w:rPr>
              <w:t>3</w:t>
            </w:r>
            <w:r>
              <w:rPr>
                <w:rFonts w:hint="eastAsia" w:ascii="仿宋_GB2312" w:hAnsi="仿宋_GB2312" w:eastAsia="仿宋_GB2312" w:cs="Times New Roman"/>
                <w:color w:val="000000"/>
                <w:sz w:val="24"/>
                <w:szCs w:val="24"/>
              </w:rPr>
              <w:t>、标的物如需办理转让登记手续，由买受人自行办理</w:t>
            </w:r>
            <w:r>
              <w:rPr>
                <w:rFonts w:hint="eastAsia" w:ascii="仿宋_GB2312" w:hAnsi="仿宋_GB2312" w:eastAsia="仿宋_GB2312" w:cs="Times New Roman"/>
                <w:color w:val="000000"/>
                <w:sz w:val="24"/>
                <w:szCs w:val="24"/>
                <w:lang w:eastAsia="zh-CN"/>
              </w:rPr>
              <w:t>。</w:t>
            </w:r>
            <w:r>
              <w:rPr>
                <w:rFonts w:hint="eastAsia" w:ascii="仿宋_GB2312" w:hAnsi="仿宋_GB2312" w:eastAsia="仿宋_GB2312" w:cs="Times New Roman"/>
                <w:color w:val="000000"/>
                <w:sz w:val="24"/>
                <w:szCs w:val="24"/>
              </w:rPr>
              <w:t>对能否办理</w:t>
            </w:r>
            <w:r>
              <w:rPr>
                <w:rFonts w:hint="eastAsia" w:ascii="仿宋_GB2312" w:hAnsi="仿宋_GB2312" w:eastAsia="仿宋_GB2312" w:cs="Times New Roman"/>
                <w:color w:val="000000"/>
                <w:sz w:val="24"/>
                <w:szCs w:val="24"/>
                <w:lang w:val="en-US" w:eastAsia="zh-CN"/>
              </w:rPr>
              <w:t>登记</w:t>
            </w:r>
            <w:r>
              <w:rPr>
                <w:rFonts w:hint="eastAsia" w:ascii="仿宋_GB2312" w:hAnsi="仿宋_GB2312" w:eastAsia="仿宋_GB2312" w:cs="Times New Roman"/>
                <w:color w:val="000000"/>
                <w:sz w:val="24"/>
                <w:szCs w:val="24"/>
              </w:rPr>
              <w:t>手续、办理时间以及</w:t>
            </w:r>
            <w:r>
              <w:rPr>
                <w:rFonts w:hint="eastAsia" w:ascii="仿宋_GB2312" w:hAnsi="仿宋_GB2312" w:eastAsia="仿宋_GB2312" w:cs="Times New Roman"/>
                <w:color w:val="000000"/>
                <w:sz w:val="24"/>
                <w:szCs w:val="24"/>
                <w:lang w:val="en-US" w:eastAsia="zh-CN"/>
              </w:rPr>
              <w:t>办理登记</w:t>
            </w:r>
            <w:r>
              <w:rPr>
                <w:rFonts w:hint="eastAsia" w:ascii="仿宋_GB2312" w:hAnsi="仿宋_GB2312" w:eastAsia="仿宋_GB2312" w:cs="Times New Roman"/>
                <w:color w:val="000000"/>
                <w:sz w:val="24"/>
                <w:szCs w:val="24"/>
              </w:rPr>
              <w:t>所需材料等情况，请竞买人在竞买前自行到相关部门咨询确认，所涉及的一切费用均由买受人承担。</w:t>
            </w:r>
          </w:p>
          <w:p w14:paraId="7E853CA9">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hint="default" w:ascii="仿宋_GB2312" w:hAnsi="仿宋_GB2312" w:eastAsia="仿宋_GB2312" w:cs="Times New Roman"/>
                <w:color w:val="000000"/>
                <w:sz w:val="24"/>
                <w:szCs w:val="24"/>
              </w:rPr>
            </w:pPr>
            <w:r>
              <w:rPr>
                <w:rFonts w:hint="default" w:ascii="仿宋_GB2312" w:hAnsi="仿宋_GB2312" w:eastAsia="仿宋_GB2312" w:cs="Times New Roman"/>
                <w:color w:val="000000"/>
                <w:sz w:val="24"/>
                <w:szCs w:val="24"/>
              </w:rPr>
              <w:t>4</w:t>
            </w:r>
            <w:r>
              <w:rPr>
                <w:rFonts w:hint="eastAsia" w:ascii="仿宋_GB2312" w:hAnsi="仿宋_GB2312" w:eastAsia="仿宋_GB2312" w:cs="Times New Roman"/>
                <w:color w:val="000000"/>
                <w:sz w:val="24"/>
                <w:szCs w:val="24"/>
              </w:rPr>
              <w:t>、</w:t>
            </w:r>
            <w:r>
              <w:rPr>
                <w:rFonts w:hint="default" w:ascii="仿宋_GB2312" w:hAnsi="仿宋_GB2312" w:eastAsia="仿宋_GB2312" w:cs="Times New Roman"/>
                <w:color w:val="000000"/>
                <w:sz w:val="24"/>
                <w:szCs w:val="24"/>
              </w:rPr>
              <w:t>有意者请自行向国家知识产权局等相关主管部门核实拍卖</w:t>
            </w:r>
            <w:r>
              <w:rPr>
                <w:rFonts w:hint="eastAsia" w:ascii="仿宋_GB2312" w:hAnsi="仿宋_GB2312" w:eastAsia="仿宋_GB2312" w:cs="Times New Roman"/>
                <w:color w:val="000000"/>
                <w:sz w:val="24"/>
                <w:szCs w:val="24"/>
                <w:lang w:val="en-US" w:eastAsia="zh-CN"/>
              </w:rPr>
              <w:t>标的</w:t>
            </w:r>
            <w:r>
              <w:rPr>
                <w:rFonts w:hint="default" w:ascii="仿宋_GB2312" w:hAnsi="仿宋_GB2312" w:eastAsia="仿宋_GB2312" w:cs="Times New Roman"/>
                <w:color w:val="000000"/>
                <w:sz w:val="24"/>
                <w:szCs w:val="24"/>
              </w:rPr>
              <w:t>的状态，未充分了解确认</w:t>
            </w:r>
            <w:r>
              <w:rPr>
                <w:rFonts w:hint="eastAsia" w:ascii="仿宋_GB2312" w:hAnsi="仿宋_GB2312" w:eastAsia="仿宋_GB2312" w:cs="Times New Roman"/>
                <w:color w:val="000000"/>
                <w:sz w:val="24"/>
                <w:szCs w:val="24"/>
                <w:lang w:val="en-US" w:eastAsia="zh-CN"/>
              </w:rPr>
              <w:t>标的</w:t>
            </w:r>
            <w:r>
              <w:rPr>
                <w:rFonts w:hint="default" w:ascii="仿宋_GB2312" w:hAnsi="仿宋_GB2312" w:eastAsia="仿宋_GB2312" w:cs="Times New Roman"/>
                <w:color w:val="000000"/>
                <w:sz w:val="24"/>
                <w:szCs w:val="24"/>
              </w:rPr>
              <w:t>状态的，责任自负。竞买人决定参与竞买的，视为对标的完全了解，并接受标的一切已知和未知瑕疵。</w:t>
            </w:r>
          </w:p>
          <w:p w14:paraId="5D65FA96">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hint="default" w:ascii="仿宋_GB2312" w:hAnsi="仿宋_GB2312" w:eastAsia="仿宋_GB2312" w:cs="Times New Roman"/>
                <w:color w:val="000000"/>
                <w:sz w:val="24"/>
                <w:szCs w:val="24"/>
              </w:rPr>
            </w:pPr>
            <w:r>
              <w:rPr>
                <w:rFonts w:hint="default" w:ascii="仿宋_GB2312" w:hAnsi="仿宋_GB2312" w:eastAsia="仿宋_GB2312" w:cs="Times New Roman"/>
                <w:color w:val="000000"/>
                <w:sz w:val="24"/>
                <w:szCs w:val="24"/>
              </w:rPr>
              <w:t>5</w:t>
            </w:r>
            <w:r>
              <w:rPr>
                <w:rFonts w:hint="eastAsia" w:ascii="仿宋_GB2312" w:hAnsi="仿宋_GB2312" w:eastAsia="仿宋_GB2312" w:cs="Times New Roman"/>
                <w:color w:val="000000"/>
                <w:sz w:val="24"/>
                <w:szCs w:val="24"/>
              </w:rPr>
              <w:t>、</w:t>
            </w:r>
            <w:r>
              <w:rPr>
                <w:rFonts w:hint="default" w:ascii="仿宋_GB2312" w:hAnsi="仿宋_GB2312" w:eastAsia="仿宋_GB2312" w:cs="Times New Roman"/>
                <w:color w:val="000000"/>
                <w:sz w:val="24"/>
                <w:szCs w:val="24"/>
              </w:rPr>
              <w:t>因债务人移交的资料不完整，</w:t>
            </w:r>
            <w:r>
              <w:rPr>
                <w:rFonts w:hint="eastAsia" w:ascii="仿宋_GB2312" w:hAnsi="仿宋_GB2312" w:eastAsia="仿宋_GB2312" w:cs="Times New Roman"/>
                <w:color w:val="000000"/>
                <w:sz w:val="24"/>
                <w:szCs w:val="24"/>
                <w:lang w:val="en-US" w:eastAsia="zh-CN"/>
              </w:rPr>
              <w:t>本次拍卖标的</w:t>
            </w:r>
            <w:r>
              <w:rPr>
                <w:rFonts w:hint="default" w:ascii="仿宋_GB2312" w:hAnsi="仿宋_GB2312" w:eastAsia="仿宋_GB2312" w:cs="Times New Roman"/>
                <w:color w:val="000000"/>
                <w:sz w:val="24"/>
                <w:szCs w:val="24"/>
              </w:rPr>
              <w:t>是否许可他人使用，管理人不详。竞买人务必自行向国家知识产权局等相关主管部门核实拍卖标的相关信息及是否可以转让变更等情况后再行竞买。</w:t>
            </w:r>
          </w:p>
          <w:p w14:paraId="66411BE1">
            <w:pPr>
              <w:keepNext w:val="0"/>
              <w:keepLines w:val="0"/>
              <w:pageBreakBefore w:val="0"/>
              <w:widowControl/>
              <w:kinsoku/>
              <w:wordWrap/>
              <w:overflowPunct/>
              <w:topLinePunct w:val="0"/>
              <w:autoSpaceDE/>
              <w:autoSpaceDN/>
              <w:bidi w:val="0"/>
              <w:adjustRightInd/>
              <w:snapToGrid/>
              <w:spacing w:line="420" w:lineRule="exact"/>
              <w:ind w:firstLine="16" w:firstLineChars="7"/>
              <w:jc w:val="both"/>
              <w:textAlignment w:val="baseline"/>
              <w:rPr>
                <w:rFonts w:ascii="宋体" w:hAnsi="宋体" w:eastAsia="宋体" w:cs="宋体"/>
                <w:sz w:val="24"/>
                <w:szCs w:val="24"/>
              </w:rPr>
            </w:pPr>
            <w:r>
              <w:rPr>
                <w:rFonts w:hint="default" w:ascii="仿宋_GB2312" w:hAnsi="仿宋_GB2312" w:eastAsia="仿宋_GB2312" w:cs="Times New Roman"/>
                <w:color w:val="000000"/>
                <w:kern w:val="2"/>
                <w:sz w:val="24"/>
                <w:szCs w:val="24"/>
                <w:lang w:val="en-US" w:eastAsia="zh-CN" w:bidi="ar-SA"/>
              </w:rPr>
              <w:t>6</w:t>
            </w:r>
            <w:r>
              <w:rPr>
                <w:rFonts w:hint="eastAsia" w:ascii="仿宋_GB2312" w:hAnsi="仿宋_GB2312" w:eastAsia="仿宋_GB2312" w:cs="Times New Roman"/>
                <w:color w:val="000000"/>
                <w:kern w:val="2"/>
                <w:sz w:val="24"/>
                <w:szCs w:val="24"/>
                <w:lang w:val="en-US" w:eastAsia="zh-CN" w:bidi="ar-SA"/>
              </w:rPr>
              <w:t>、对拍卖标的能否办理续展手续以及办理时间、费用等情况，请竞买人在竞买前自行</w:t>
            </w:r>
            <w:r>
              <w:rPr>
                <w:rFonts w:hint="default" w:ascii="仿宋_GB2312" w:hAnsi="仿宋_GB2312" w:eastAsia="仿宋_GB2312" w:cs="Times New Roman"/>
                <w:color w:val="000000"/>
                <w:kern w:val="2"/>
                <w:sz w:val="24"/>
                <w:szCs w:val="24"/>
                <w:lang w:val="en-US" w:eastAsia="zh-CN" w:bidi="ar-SA"/>
              </w:rPr>
              <w:t>向国家知识产权局等相关主管部门咨询确认，不能办理续展的后果或者延迟办理续展手续的后果由买受人自负。拍卖人不作续展的任何承诺，不承担</w:t>
            </w:r>
            <w:r>
              <w:rPr>
                <w:rFonts w:hint="eastAsia" w:ascii="仿宋_GB2312" w:hAnsi="仿宋_GB2312" w:eastAsia="仿宋_GB2312" w:cs="Times New Roman"/>
                <w:color w:val="000000"/>
                <w:kern w:val="2"/>
                <w:sz w:val="24"/>
                <w:szCs w:val="24"/>
                <w:lang w:val="en-US" w:eastAsia="zh-CN" w:bidi="ar-SA"/>
              </w:rPr>
              <w:t>办理登记、</w:t>
            </w:r>
            <w:r>
              <w:rPr>
                <w:rFonts w:hint="default" w:ascii="仿宋_GB2312" w:hAnsi="仿宋_GB2312" w:eastAsia="仿宋_GB2312" w:cs="Times New Roman"/>
                <w:color w:val="000000"/>
                <w:kern w:val="2"/>
                <w:sz w:val="24"/>
                <w:szCs w:val="24"/>
                <w:lang w:val="en-US" w:eastAsia="zh-CN" w:bidi="ar-SA"/>
              </w:rPr>
              <w:t>续展</w:t>
            </w:r>
            <w:r>
              <w:rPr>
                <w:rFonts w:hint="eastAsia" w:ascii="仿宋_GB2312" w:hAnsi="仿宋_GB2312" w:eastAsia="仿宋_GB2312" w:cs="Times New Roman"/>
                <w:color w:val="000000"/>
                <w:kern w:val="2"/>
                <w:sz w:val="24"/>
                <w:szCs w:val="24"/>
                <w:lang w:val="en-US" w:eastAsia="zh-CN" w:bidi="ar-SA"/>
              </w:rPr>
              <w:t>等过程中</w:t>
            </w:r>
            <w:r>
              <w:rPr>
                <w:rFonts w:hint="default" w:ascii="仿宋_GB2312" w:hAnsi="仿宋_GB2312" w:eastAsia="仿宋_GB2312" w:cs="Times New Roman"/>
                <w:color w:val="000000"/>
                <w:kern w:val="2"/>
                <w:sz w:val="24"/>
                <w:szCs w:val="24"/>
                <w:lang w:val="en-US" w:eastAsia="zh-CN" w:bidi="ar-SA"/>
              </w:rPr>
              <w:t>涉及的一切</w:t>
            </w:r>
            <w:r>
              <w:rPr>
                <w:rFonts w:hint="default" w:ascii="仿宋_GB2312" w:hAnsi="仿宋_GB2312" w:eastAsia="仿宋_GB2312" w:cs="Times New Roman"/>
                <w:color w:val="000000"/>
                <w:kern w:val="2"/>
                <w:sz w:val="24"/>
                <w:szCs w:val="24"/>
                <w:highlight w:val="none"/>
                <w:lang w:val="en-US" w:eastAsia="zh-CN" w:bidi="ar-SA"/>
              </w:rPr>
              <w:t>税</w:t>
            </w:r>
            <w:r>
              <w:rPr>
                <w:rFonts w:hint="eastAsia" w:ascii="仿宋_GB2312" w:hAnsi="仿宋_GB2312" w:eastAsia="仿宋_GB2312" w:cs="Times New Roman"/>
                <w:color w:val="000000"/>
                <w:kern w:val="2"/>
                <w:sz w:val="24"/>
                <w:szCs w:val="24"/>
                <w:highlight w:val="none"/>
                <w:lang w:val="en-US" w:eastAsia="zh-CN" w:bidi="ar-SA"/>
              </w:rPr>
              <w:t>费</w:t>
            </w:r>
            <w:r>
              <w:rPr>
                <w:rFonts w:hint="default" w:ascii="仿宋_GB2312" w:hAnsi="仿宋_GB2312" w:eastAsia="仿宋_GB2312" w:cs="Times New Roman"/>
                <w:color w:val="000000"/>
                <w:kern w:val="2"/>
                <w:sz w:val="24"/>
                <w:szCs w:val="24"/>
                <w:lang w:val="en-US" w:eastAsia="zh-CN" w:bidi="ar-SA"/>
              </w:rPr>
              <w:t>及</w:t>
            </w:r>
            <w:r>
              <w:rPr>
                <w:rFonts w:hint="eastAsia" w:ascii="仿宋_GB2312" w:hAnsi="仿宋_GB2312" w:eastAsia="仿宋_GB2312" w:cs="Times New Roman"/>
                <w:color w:val="000000"/>
                <w:kern w:val="2"/>
                <w:sz w:val="24"/>
                <w:szCs w:val="24"/>
                <w:lang w:val="en-US" w:eastAsia="zh-CN" w:bidi="ar-SA"/>
              </w:rPr>
              <w:t>其他</w:t>
            </w:r>
            <w:r>
              <w:rPr>
                <w:rFonts w:hint="default" w:ascii="仿宋_GB2312" w:hAnsi="仿宋_GB2312" w:eastAsia="仿宋_GB2312" w:cs="Times New Roman"/>
                <w:color w:val="000000"/>
                <w:kern w:val="2"/>
                <w:sz w:val="24"/>
                <w:szCs w:val="24"/>
                <w:lang w:val="en-US" w:eastAsia="zh-CN" w:bidi="ar-SA"/>
              </w:rPr>
              <w:t>费用。</w:t>
            </w:r>
          </w:p>
        </w:tc>
      </w:tr>
    </w:tbl>
    <w:p w14:paraId="557198ED">
      <w:pPr>
        <w:jc w:val="center"/>
        <w:rPr>
          <w:rFonts w:hint="eastAsia" w:ascii="宋体" w:hAnsi="宋体" w:eastAsia="宋体" w:cs="宋体"/>
          <w:b/>
          <w:kern w:val="0"/>
          <w:sz w:val="32"/>
          <w:szCs w:val="32"/>
          <w:lang w:val="en-US" w:eastAsia="zh-CN" w:bidi="ar-SA"/>
        </w:rPr>
      </w:pPr>
    </w:p>
    <w:p w14:paraId="77A6D28F">
      <w:pPr>
        <w:jc w:val="center"/>
        <w:rPr>
          <w:rFonts w:hint="eastAsia"/>
          <w:lang w:val="en-US" w:eastAsia="zh-CN"/>
        </w:rPr>
      </w:pPr>
      <w:r>
        <w:rPr>
          <w:rFonts w:hint="eastAsia" w:ascii="宋体" w:hAnsi="宋体" w:eastAsia="宋体" w:cs="宋体"/>
          <w:b/>
          <w:kern w:val="0"/>
          <w:sz w:val="32"/>
          <w:szCs w:val="32"/>
          <w:lang w:val="en-US" w:eastAsia="zh-CN" w:bidi="ar-SA"/>
        </w:rPr>
        <w:t>杭州藏龙阁餐饮管理有限公司拍卖商标清单</w:t>
      </w:r>
    </w:p>
    <w:tbl>
      <w:tblPr>
        <w:tblStyle w:val="4"/>
        <w:tblW w:w="102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1"/>
        <w:gridCol w:w="1160"/>
        <w:gridCol w:w="1180"/>
        <w:gridCol w:w="1521"/>
        <w:gridCol w:w="1540"/>
        <w:gridCol w:w="1500"/>
        <w:gridCol w:w="1400"/>
        <w:gridCol w:w="1260"/>
      </w:tblGrid>
      <w:tr w14:paraId="195336A9">
        <w:trPr>
          <w:trHeight w:val="922" w:hRule="atLeast"/>
          <w:jc w:val="center"/>
        </w:trPr>
        <w:tc>
          <w:tcPr>
            <w:tcW w:w="721" w:type="dxa"/>
            <w:tcBorders>
              <w:top w:val="single" w:color="000000" w:sz="4" w:space="0"/>
              <w:left w:val="single" w:color="000000" w:sz="4" w:space="0"/>
              <w:bottom w:val="single" w:color="000000" w:sz="4" w:space="0"/>
              <w:right w:val="single" w:color="000000" w:sz="4" w:space="0"/>
            </w:tcBorders>
            <w:noWrap/>
            <w:vAlign w:val="center"/>
          </w:tcPr>
          <w:p w14:paraId="1B2378B9">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序号</w:t>
            </w:r>
          </w:p>
        </w:tc>
        <w:tc>
          <w:tcPr>
            <w:tcW w:w="1160" w:type="dxa"/>
            <w:tcBorders>
              <w:top w:val="single" w:color="000000" w:sz="4" w:space="0"/>
              <w:left w:val="single" w:color="000000" w:sz="4" w:space="0"/>
              <w:bottom w:val="single" w:color="000000" w:sz="4" w:space="0"/>
              <w:right w:val="single" w:color="000000" w:sz="4" w:space="0"/>
            </w:tcBorders>
            <w:noWrap/>
            <w:vAlign w:val="center"/>
          </w:tcPr>
          <w:p w14:paraId="5AF48900">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申请/</w:t>
            </w:r>
          </w:p>
          <w:p w14:paraId="4869983C">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注册号</w:t>
            </w:r>
          </w:p>
        </w:tc>
        <w:tc>
          <w:tcPr>
            <w:tcW w:w="1180" w:type="dxa"/>
            <w:tcBorders>
              <w:top w:val="single" w:color="000000" w:sz="4" w:space="0"/>
              <w:left w:val="single" w:color="000000" w:sz="4" w:space="0"/>
              <w:bottom w:val="single" w:color="000000" w:sz="4" w:space="0"/>
              <w:right w:val="single" w:color="000000" w:sz="4" w:space="0"/>
            </w:tcBorders>
            <w:noWrap/>
            <w:vAlign w:val="center"/>
          </w:tcPr>
          <w:p w14:paraId="0F838732">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国际分类</w:t>
            </w: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449E9E30">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申请日期</w:t>
            </w:r>
          </w:p>
        </w:tc>
        <w:tc>
          <w:tcPr>
            <w:tcW w:w="1540" w:type="dxa"/>
            <w:tcBorders>
              <w:top w:val="single" w:color="000000" w:sz="4" w:space="0"/>
              <w:left w:val="single" w:color="000000" w:sz="4" w:space="0"/>
              <w:bottom w:val="single" w:color="000000" w:sz="4" w:space="0"/>
              <w:right w:val="single" w:color="000000" w:sz="4" w:space="0"/>
            </w:tcBorders>
            <w:noWrap/>
            <w:vAlign w:val="center"/>
          </w:tcPr>
          <w:p w14:paraId="1B9EDCEB">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注册日期</w:t>
            </w:r>
          </w:p>
        </w:tc>
        <w:tc>
          <w:tcPr>
            <w:tcW w:w="1500" w:type="dxa"/>
            <w:tcBorders>
              <w:top w:val="single" w:color="000000" w:sz="4" w:space="0"/>
              <w:left w:val="single" w:color="000000" w:sz="4" w:space="0"/>
              <w:bottom w:val="single" w:color="000000" w:sz="4" w:space="0"/>
              <w:right w:val="single" w:color="000000" w:sz="4" w:space="0"/>
            </w:tcBorders>
            <w:noWrap/>
            <w:vAlign w:val="center"/>
          </w:tcPr>
          <w:p w14:paraId="0884E974">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有效期至</w:t>
            </w:r>
          </w:p>
        </w:tc>
        <w:tc>
          <w:tcPr>
            <w:tcW w:w="1400" w:type="dxa"/>
            <w:tcBorders>
              <w:top w:val="single" w:color="000000" w:sz="4" w:space="0"/>
              <w:left w:val="single" w:color="000000" w:sz="4" w:space="0"/>
              <w:bottom w:val="single" w:color="000000" w:sz="4" w:space="0"/>
              <w:right w:val="single" w:color="000000" w:sz="4" w:space="0"/>
            </w:tcBorders>
            <w:noWrap/>
            <w:vAlign w:val="center"/>
          </w:tcPr>
          <w:p w14:paraId="4B6B618E">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商标名称</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F9DC815">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商标法律</w:t>
            </w:r>
          </w:p>
          <w:p w14:paraId="38D6B38C">
            <w:pPr>
              <w:keepNext w:val="0"/>
              <w:keepLines w:val="0"/>
              <w:pageBreakBefore w:val="0"/>
              <w:kinsoku/>
              <w:wordWrap/>
              <w:overflowPunct/>
              <w:topLinePunct w:val="0"/>
              <w:autoSpaceDE/>
              <w:autoSpaceDN/>
              <w:bidi w:val="0"/>
              <w:adjustRightInd/>
              <w:snapToGrid/>
              <w:spacing w:line="420" w:lineRule="exact"/>
              <w:jc w:val="center"/>
              <w:rPr>
                <w:rFonts w:hint="eastAsia" w:ascii="仿宋_GB2312" w:hAnsi="仿宋_GB2312" w:eastAsia="仿宋_GB2312" w:cs="Times New Roman"/>
                <w:b/>
                <w:bCs/>
                <w:color w:val="000000"/>
                <w:sz w:val="24"/>
                <w:szCs w:val="24"/>
                <w:lang w:val="en-US" w:eastAsia="zh-CN"/>
              </w:rPr>
            </w:pPr>
            <w:r>
              <w:rPr>
                <w:rFonts w:hint="eastAsia" w:ascii="仿宋_GB2312" w:hAnsi="仿宋_GB2312" w:eastAsia="仿宋_GB2312" w:cs="Times New Roman"/>
                <w:b/>
                <w:bCs/>
                <w:color w:val="000000"/>
                <w:sz w:val="24"/>
                <w:szCs w:val="24"/>
                <w:lang w:val="en-US" w:eastAsia="zh-CN"/>
              </w:rPr>
              <w:t>状态</w:t>
            </w:r>
          </w:p>
        </w:tc>
      </w:tr>
      <w:tr w14:paraId="2CCC6581">
        <w:trPr>
          <w:trHeight w:val="922" w:hRule="atLeast"/>
          <w:jc w:val="center"/>
        </w:trPr>
        <w:tc>
          <w:tcPr>
            <w:tcW w:w="721" w:type="dxa"/>
            <w:tcBorders>
              <w:top w:val="single" w:color="000000" w:sz="4" w:space="0"/>
              <w:left w:val="single" w:color="000000" w:sz="4" w:space="0"/>
              <w:bottom w:val="single" w:color="000000" w:sz="4" w:space="0"/>
              <w:right w:val="single" w:color="000000" w:sz="4" w:space="0"/>
            </w:tcBorders>
            <w:noWrap/>
            <w:vAlign w:val="center"/>
          </w:tcPr>
          <w:p w14:paraId="0B1EBB0F">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1</w:t>
            </w:r>
          </w:p>
        </w:tc>
        <w:tc>
          <w:tcPr>
            <w:tcW w:w="1160" w:type="dxa"/>
            <w:tcBorders>
              <w:top w:val="single" w:color="000000" w:sz="4" w:space="0"/>
              <w:left w:val="single" w:color="000000" w:sz="4" w:space="0"/>
              <w:bottom w:val="single" w:color="000000" w:sz="4" w:space="0"/>
              <w:right w:val="single" w:color="000000" w:sz="4" w:space="0"/>
            </w:tcBorders>
            <w:noWrap/>
            <w:vAlign w:val="center"/>
          </w:tcPr>
          <w:p w14:paraId="4F9480BA">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34421419</w:t>
            </w:r>
          </w:p>
        </w:tc>
        <w:tc>
          <w:tcPr>
            <w:tcW w:w="1180" w:type="dxa"/>
            <w:tcBorders>
              <w:top w:val="single" w:color="000000" w:sz="4" w:space="0"/>
              <w:left w:val="single" w:color="000000" w:sz="4" w:space="0"/>
              <w:bottom w:val="single" w:color="000000" w:sz="4" w:space="0"/>
              <w:right w:val="single" w:color="000000" w:sz="4" w:space="0"/>
            </w:tcBorders>
            <w:noWrap/>
            <w:vAlign w:val="center"/>
          </w:tcPr>
          <w:p w14:paraId="1AF810C9">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43类-餐饮住宿</w:t>
            </w: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6126B4C8">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2018-11-01</w:t>
            </w:r>
          </w:p>
        </w:tc>
        <w:tc>
          <w:tcPr>
            <w:tcW w:w="1540" w:type="dxa"/>
            <w:tcBorders>
              <w:top w:val="single" w:color="000000" w:sz="4" w:space="0"/>
              <w:left w:val="single" w:color="000000" w:sz="4" w:space="0"/>
              <w:bottom w:val="single" w:color="000000" w:sz="4" w:space="0"/>
              <w:right w:val="single" w:color="000000" w:sz="4" w:space="0"/>
            </w:tcBorders>
            <w:noWrap/>
            <w:vAlign w:val="center"/>
          </w:tcPr>
          <w:p w14:paraId="205756BB">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2019-11-07</w:t>
            </w:r>
          </w:p>
        </w:tc>
        <w:tc>
          <w:tcPr>
            <w:tcW w:w="1500" w:type="dxa"/>
            <w:tcBorders>
              <w:top w:val="single" w:color="000000" w:sz="4" w:space="0"/>
              <w:left w:val="single" w:color="000000" w:sz="4" w:space="0"/>
              <w:bottom w:val="single" w:color="000000" w:sz="4" w:space="0"/>
              <w:right w:val="single" w:color="000000" w:sz="4" w:space="0"/>
            </w:tcBorders>
            <w:noWrap/>
            <w:vAlign w:val="center"/>
          </w:tcPr>
          <w:p w14:paraId="5BD2D68A">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2029-11-06</w:t>
            </w:r>
          </w:p>
        </w:tc>
        <w:tc>
          <w:tcPr>
            <w:tcW w:w="1400" w:type="dxa"/>
            <w:tcBorders>
              <w:top w:val="single" w:color="000000" w:sz="4" w:space="0"/>
              <w:left w:val="single" w:color="000000" w:sz="4" w:space="0"/>
              <w:bottom w:val="single" w:color="000000" w:sz="4" w:space="0"/>
              <w:right w:val="single" w:color="000000" w:sz="4" w:space="0"/>
            </w:tcBorders>
            <w:noWrap/>
            <w:vAlign w:val="center"/>
          </w:tcPr>
          <w:p w14:paraId="700E3C8C">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粱舍</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9363B05">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注册商标</w:t>
            </w:r>
          </w:p>
        </w:tc>
      </w:tr>
      <w:tr w14:paraId="5CB53F2C">
        <w:trPr>
          <w:trHeight w:val="922" w:hRule="atLeast"/>
          <w:jc w:val="center"/>
        </w:trPr>
        <w:tc>
          <w:tcPr>
            <w:tcW w:w="721" w:type="dxa"/>
            <w:tcBorders>
              <w:top w:val="single" w:color="000000" w:sz="4" w:space="0"/>
              <w:left w:val="single" w:color="000000" w:sz="4" w:space="0"/>
              <w:bottom w:val="single" w:color="000000" w:sz="4" w:space="0"/>
              <w:right w:val="single" w:color="000000" w:sz="4" w:space="0"/>
            </w:tcBorders>
            <w:noWrap/>
            <w:vAlign w:val="center"/>
          </w:tcPr>
          <w:p w14:paraId="0C7D0FEB">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w:t>
            </w:r>
          </w:p>
        </w:tc>
        <w:tc>
          <w:tcPr>
            <w:tcW w:w="1160" w:type="dxa"/>
            <w:tcBorders>
              <w:top w:val="single" w:color="000000" w:sz="4" w:space="0"/>
              <w:left w:val="single" w:color="000000" w:sz="4" w:space="0"/>
              <w:bottom w:val="single" w:color="000000" w:sz="4" w:space="0"/>
              <w:right w:val="single" w:color="000000" w:sz="4" w:space="0"/>
            </w:tcBorders>
            <w:noWrap/>
            <w:vAlign w:val="center"/>
          </w:tcPr>
          <w:p w14:paraId="0638D74D">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26862079</w:t>
            </w:r>
          </w:p>
        </w:tc>
        <w:tc>
          <w:tcPr>
            <w:tcW w:w="1180" w:type="dxa"/>
            <w:tcBorders>
              <w:top w:val="single" w:color="000000" w:sz="4" w:space="0"/>
              <w:left w:val="single" w:color="000000" w:sz="4" w:space="0"/>
              <w:bottom w:val="single" w:color="000000" w:sz="4" w:space="0"/>
              <w:right w:val="single" w:color="000000" w:sz="4" w:space="0"/>
            </w:tcBorders>
            <w:noWrap/>
            <w:vAlign w:val="center"/>
          </w:tcPr>
          <w:p w14:paraId="639FA1D1">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35类-广告销售</w:t>
            </w:r>
          </w:p>
        </w:tc>
        <w:tc>
          <w:tcPr>
            <w:tcW w:w="1521" w:type="dxa"/>
            <w:tcBorders>
              <w:top w:val="single" w:color="000000" w:sz="4" w:space="0"/>
              <w:left w:val="single" w:color="000000" w:sz="4" w:space="0"/>
              <w:bottom w:val="single" w:color="000000" w:sz="4" w:space="0"/>
              <w:right w:val="single" w:color="000000" w:sz="4" w:space="0"/>
            </w:tcBorders>
            <w:noWrap/>
            <w:vAlign w:val="center"/>
          </w:tcPr>
          <w:p w14:paraId="0B8BB6AB">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2017-10-13</w:t>
            </w:r>
          </w:p>
        </w:tc>
        <w:tc>
          <w:tcPr>
            <w:tcW w:w="1540" w:type="dxa"/>
            <w:tcBorders>
              <w:top w:val="single" w:color="000000" w:sz="4" w:space="0"/>
              <w:left w:val="single" w:color="000000" w:sz="4" w:space="0"/>
              <w:bottom w:val="single" w:color="000000" w:sz="4" w:space="0"/>
              <w:right w:val="single" w:color="000000" w:sz="4" w:space="0"/>
            </w:tcBorders>
            <w:noWrap/>
            <w:vAlign w:val="center"/>
          </w:tcPr>
          <w:p w14:paraId="4426CE6A">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2019-01-21</w:t>
            </w:r>
          </w:p>
        </w:tc>
        <w:tc>
          <w:tcPr>
            <w:tcW w:w="1500" w:type="dxa"/>
            <w:tcBorders>
              <w:top w:val="single" w:color="000000" w:sz="4" w:space="0"/>
              <w:left w:val="single" w:color="000000" w:sz="4" w:space="0"/>
              <w:bottom w:val="single" w:color="000000" w:sz="4" w:space="0"/>
              <w:right w:val="single" w:color="000000" w:sz="4" w:space="0"/>
            </w:tcBorders>
            <w:noWrap/>
            <w:vAlign w:val="center"/>
          </w:tcPr>
          <w:p w14:paraId="76CBCD12">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2029-01-20</w:t>
            </w:r>
          </w:p>
        </w:tc>
        <w:tc>
          <w:tcPr>
            <w:tcW w:w="1400" w:type="dxa"/>
            <w:tcBorders>
              <w:top w:val="single" w:color="000000" w:sz="4" w:space="0"/>
              <w:left w:val="single" w:color="000000" w:sz="4" w:space="0"/>
              <w:bottom w:val="single" w:color="000000" w:sz="4" w:space="0"/>
              <w:right w:val="single" w:color="000000" w:sz="4" w:space="0"/>
            </w:tcBorders>
            <w:noWrap/>
            <w:vAlign w:val="center"/>
          </w:tcPr>
          <w:p w14:paraId="0A26F12C">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藏龙印舍 DAGON'S INN</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7F2CADB">
            <w:pPr>
              <w:keepNext w:val="0"/>
              <w:keepLines w:val="0"/>
              <w:pageBreakBefore w:val="0"/>
              <w:widowControl/>
              <w:kinsoku/>
              <w:wordWrap/>
              <w:overflowPunct/>
              <w:topLinePunct w:val="0"/>
              <w:autoSpaceDE/>
              <w:autoSpaceDN/>
              <w:bidi w:val="0"/>
              <w:adjustRightInd/>
              <w:snapToGrid/>
              <w:spacing w:line="420" w:lineRule="exact"/>
              <w:ind w:firstLine="16" w:firstLineChars="7"/>
              <w:jc w:val="center"/>
              <w:textAlignment w:val="baseline"/>
              <w:rPr>
                <w:rFonts w:hint="eastAsia" w:ascii="仿宋_GB2312" w:hAnsi="仿宋_GB2312" w:eastAsia="仿宋_GB2312" w:cs="Times New Roman"/>
                <w:color w:val="000000"/>
                <w:kern w:val="2"/>
                <w:sz w:val="24"/>
                <w:szCs w:val="24"/>
                <w:lang w:val="en-US" w:eastAsia="zh-CN" w:bidi="ar-SA"/>
              </w:rPr>
            </w:pPr>
            <w:r>
              <w:rPr>
                <w:rFonts w:hint="eastAsia" w:ascii="仿宋_GB2312" w:hAnsi="仿宋_GB2312" w:eastAsia="仿宋_GB2312" w:cs="Times New Roman"/>
                <w:color w:val="000000"/>
                <w:kern w:val="2"/>
                <w:sz w:val="24"/>
                <w:szCs w:val="24"/>
                <w:lang w:val="en-US" w:eastAsia="zh-CN" w:bidi="ar-SA"/>
              </w:rPr>
              <w:t>注册商标</w:t>
            </w:r>
          </w:p>
        </w:tc>
      </w:tr>
    </w:tbl>
    <w:p w14:paraId="0B7FAA52">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GYzMDRlZTI1ZjI0OTllZGIwZGZiOGUzYzUwMjAifQ=="/>
  </w:docVars>
  <w:rsids>
    <w:rsidRoot w:val="00000000"/>
    <w:rsid w:val="04497432"/>
    <w:rsid w:val="0765096C"/>
    <w:rsid w:val="140377CB"/>
    <w:rsid w:val="160F5030"/>
    <w:rsid w:val="24633813"/>
    <w:rsid w:val="26F97111"/>
    <w:rsid w:val="29F21496"/>
    <w:rsid w:val="2AFC15DA"/>
    <w:rsid w:val="2E307131"/>
    <w:rsid w:val="2E402888"/>
    <w:rsid w:val="335E61F5"/>
    <w:rsid w:val="36344C21"/>
    <w:rsid w:val="45F2F79C"/>
    <w:rsid w:val="45FD4069"/>
    <w:rsid w:val="4CE50AEE"/>
    <w:rsid w:val="4E231CE2"/>
    <w:rsid w:val="4EFD8210"/>
    <w:rsid w:val="524673FD"/>
    <w:rsid w:val="57D31153"/>
    <w:rsid w:val="59572C64"/>
    <w:rsid w:val="5B253B44"/>
    <w:rsid w:val="5FA90E43"/>
    <w:rsid w:val="6D9EF658"/>
    <w:rsid w:val="74092554"/>
    <w:rsid w:val="77BB7852"/>
    <w:rsid w:val="79F5CA39"/>
    <w:rsid w:val="7C187121"/>
    <w:rsid w:val="7D2F0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0"/>
    <w:pPr>
      <w:widowControl/>
      <w:spacing w:before="100" w:beforeLines="0" w:beforeAutospacing="1" w:after="100" w:afterLines="0" w:afterAutospacing="1"/>
      <w:jc w:val="left"/>
    </w:pPr>
    <w:rPr>
      <w:rFonts w:ascii="Times" w:hAnsi="Times"/>
      <w:kern w:val="0"/>
      <w:sz w:val="20"/>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925</Words>
  <Characters>1013</Characters>
  <Lines>0</Lines>
  <Paragraphs>0</Paragraphs>
  <TotalTime>22</TotalTime>
  <ScaleCrop>false</ScaleCrop>
  <LinksUpToDate>false</LinksUpToDate>
  <CharactersWithSpaces>1016</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lxl</dc:creator>
  <cp:lastModifiedBy>陈晴 </cp:lastModifiedBy>
  <cp:lastPrinted>2025-03-12T06:11:00Z</cp:lastPrinted>
  <dcterms:modified xsi:type="dcterms:W3CDTF">2025-03-28T12:15:46Z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BCE1FCE394FB4E2B8A0AE5827D5BC776</vt:lpwstr>
  </property>
  <property fmtid="{D5CDD505-2E9C-101B-9397-08002B2CF9AE}" pid="4" name="KSOTemplateDocerSaveRecord">
    <vt:lpwstr>eyJoZGlkIjoiZWU1NDBmMGRmYzNkMWU1YzMyNzEyMGI4YWM5ZTk1YmMiLCJ1c2VySWQiOiIzNzU0OTg5NzAifQ==</vt:lpwstr>
  </property>
</Properties>
</file>