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E8381F">
      <w:pPr>
        <w:spacing w:line="380" w:lineRule="exact"/>
        <w:jc w:val="center"/>
        <w:rPr>
          <w:rFonts w:hint="eastAsia" w:ascii="仿宋" w:hAnsi="仿宋" w:eastAsia="仿宋" w:cs="仿宋"/>
          <w:sz w:val="32"/>
          <w:szCs w:val="32"/>
        </w:rPr>
      </w:pPr>
      <w:r>
        <w:rPr>
          <w:rFonts w:hint="eastAsia" w:ascii="黑体" w:hAnsi="黑体" w:eastAsia="黑体" w:cs="黑体"/>
          <w:b/>
          <w:bCs/>
          <w:sz w:val="32"/>
          <w:szCs w:val="32"/>
          <w:lang w:val="en-US" w:eastAsia="zh-CN"/>
        </w:rPr>
        <w:t>陈淳彬、孔嘉瑶个人</w:t>
      </w:r>
      <w:r>
        <w:rPr>
          <w:rFonts w:hint="eastAsia" w:ascii="黑体" w:hAnsi="黑体" w:eastAsia="黑体" w:cs="黑体"/>
          <w:b/>
          <w:bCs/>
          <w:sz w:val="32"/>
          <w:szCs w:val="32"/>
        </w:rPr>
        <w:t>破产</w:t>
      </w:r>
      <w:r>
        <w:rPr>
          <w:rFonts w:hint="eastAsia" w:ascii="黑体" w:hAnsi="黑体" w:eastAsia="黑体" w:cs="黑体"/>
          <w:b/>
          <w:bCs/>
          <w:sz w:val="32"/>
          <w:szCs w:val="32"/>
          <w:lang w:val="en-US" w:eastAsia="zh-CN"/>
        </w:rPr>
        <w:t>重整</w:t>
      </w:r>
      <w:r>
        <w:rPr>
          <w:rFonts w:hint="eastAsia" w:ascii="黑体" w:hAnsi="黑体" w:eastAsia="黑体" w:cs="黑体"/>
          <w:b/>
          <w:bCs/>
          <w:sz w:val="32"/>
          <w:szCs w:val="32"/>
        </w:rPr>
        <w:t>案债权申报指南</w:t>
      </w:r>
    </w:p>
    <w:p w14:paraId="35BF8138">
      <w:pPr>
        <w:spacing w:line="380" w:lineRule="exact"/>
        <w:ind w:firstLine="480" w:firstLineChars="200"/>
        <w:rPr>
          <w:rFonts w:hint="eastAsia" w:ascii="仿宋" w:hAnsi="仿宋" w:eastAsia="仿宋" w:cs="仿宋"/>
          <w:b w:val="0"/>
          <w:bCs w:val="0"/>
          <w:sz w:val="24"/>
        </w:rPr>
      </w:pPr>
    </w:p>
    <w:p w14:paraId="0E6BA31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s="仿宋"/>
          <w:b w:val="0"/>
          <w:bCs w:val="0"/>
          <w:sz w:val="24"/>
          <w:lang w:val="en-US" w:eastAsia="zh-CN"/>
        </w:rPr>
      </w:pPr>
      <w:r>
        <w:rPr>
          <w:rFonts w:hint="eastAsia" w:ascii="仿宋" w:hAnsi="仿宋" w:eastAsia="仿宋" w:cs="仿宋"/>
          <w:b w:val="0"/>
          <w:bCs w:val="0"/>
          <w:sz w:val="24"/>
          <w:lang w:val="en-US" w:eastAsia="zh-CN"/>
        </w:rPr>
        <w:t>2025年3月28日，深圳市中级人民法院裁定受理陈淳彬（男，35岁）、孔嘉瑶（女，36岁）的个人破产重整申请【案号：（2025）粤03破262号（个79）、（2025）粤03破263号（个80）】，并指定广东经天律师事务所担任破产管理人。依照《深圳经济特区个人破产条例》等规定，</w:t>
      </w:r>
      <w:r>
        <w:rPr>
          <w:rFonts w:hint="eastAsia" w:ascii="仿宋" w:hAnsi="仿宋" w:eastAsia="仿宋"/>
          <w:color w:val="auto"/>
          <w:sz w:val="24"/>
          <w:szCs w:val="24"/>
          <w:highlight w:val="none"/>
        </w:rPr>
        <w:t>为保证</w:t>
      </w:r>
      <w:r>
        <w:rPr>
          <w:rFonts w:hint="eastAsia" w:ascii="仿宋" w:hAnsi="仿宋" w:eastAsia="仿宋"/>
          <w:color w:val="auto"/>
          <w:sz w:val="24"/>
          <w:szCs w:val="24"/>
          <w:highlight w:val="none"/>
          <w:lang w:val="en-US" w:eastAsia="zh-CN"/>
        </w:rPr>
        <w:t>陈淳彬、孔嘉瑶个人破产重整程序</w:t>
      </w:r>
      <w:r>
        <w:rPr>
          <w:rFonts w:hint="eastAsia" w:ascii="仿宋" w:hAnsi="仿宋" w:eastAsia="仿宋"/>
          <w:color w:val="auto"/>
          <w:sz w:val="24"/>
          <w:szCs w:val="24"/>
          <w:highlight w:val="none"/>
        </w:rPr>
        <w:t>债权申报登记工作合法、有序进行，现根据有关法律法规之规定，并结合实际情况，</w:t>
      </w:r>
      <w:r>
        <w:rPr>
          <w:rFonts w:hint="eastAsia" w:ascii="仿宋" w:hAnsi="仿宋" w:eastAsia="仿宋" w:cs="仿宋"/>
          <w:b w:val="0"/>
          <w:bCs w:val="0"/>
          <w:sz w:val="24"/>
          <w:lang w:val="en-US" w:eastAsia="zh-CN"/>
        </w:rPr>
        <w:t>管理人现发布如下债权申报指南：</w:t>
      </w:r>
    </w:p>
    <w:p w14:paraId="2A800CF4">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黑体" w:hAnsi="黑体" w:eastAsia="黑体" w:cs="黑体"/>
          <w:b/>
          <w:bCs/>
          <w:sz w:val="24"/>
        </w:rPr>
      </w:pPr>
    </w:p>
    <w:p w14:paraId="0A55AA71">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黑体" w:hAnsi="黑体" w:eastAsia="黑体" w:cs="黑体"/>
          <w:b/>
          <w:bCs/>
          <w:sz w:val="24"/>
          <w:lang w:val="en-US" w:eastAsia="zh-CN"/>
        </w:rPr>
      </w:pPr>
      <w:r>
        <w:rPr>
          <w:rFonts w:hint="eastAsia" w:ascii="黑体" w:hAnsi="黑体" w:eastAsia="黑体" w:cs="黑体"/>
          <w:b/>
          <w:bCs/>
          <w:sz w:val="24"/>
          <w:lang w:val="en-US" w:eastAsia="zh-CN"/>
        </w:rPr>
        <w:t>一、债权申报主体</w:t>
      </w:r>
    </w:p>
    <w:p w14:paraId="7F1E403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s="仿宋"/>
          <w:b w:val="0"/>
          <w:bCs w:val="0"/>
          <w:sz w:val="24"/>
          <w:lang w:val="en-US" w:eastAsia="zh-CN"/>
        </w:rPr>
      </w:pPr>
      <w:r>
        <w:rPr>
          <w:rFonts w:hint="eastAsia" w:ascii="仿宋" w:hAnsi="仿宋" w:eastAsia="仿宋" w:cs="仿宋"/>
          <w:b w:val="0"/>
          <w:bCs w:val="0"/>
          <w:sz w:val="24"/>
          <w:lang w:val="en-US" w:eastAsia="zh-CN"/>
        </w:rPr>
        <w:t>对陈淳彬、孔嘉瑶持有债权的债权人，均可以向管理人申报债权。</w:t>
      </w:r>
    </w:p>
    <w:p w14:paraId="6AFDF4D3">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黑体" w:hAnsi="黑体" w:eastAsia="黑体" w:cs="黑体"/>
          <w:b/>
          <w:bCs/>
          <w:sz w:val="24"/>
          <w:lang w:val="en-US" w:eastAsia="zh-CN"/>
        </w:rPr>
      </w:pPr>
    </w:p>
    <w:p w14:paraId="099C29DC">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黑体" w:hAnsi="黑体" w:eastAsia="黑体" w:cs="黑体"/>
          <w:b/>
          <w:bCs/>
          <w:sz w:val="24"/>
          <w:lang w:val="en-US" w:eastAsia="zh-CN"/>
        </w:rPr>
      </w:pPr>
      <w:r>
        <w:rPr>
          <w:rFonts w:hint="eastAsia" w:ascii="黑体" w:hAnsi="黑体" w:eastAsia="黑体" w:cs="黑体"/>
          <w:b/>
          <w:bCs/>
          <w:sz w:val="24"/>
          <w:lang w:val="en-US" w:eastAsia="zh-CN"/>
        </w:rPr>
        <w:t>二、债权申报方式及期限</w:t>
      </w:r>
    </w:p>
    <w:p w14:paraId="718B9C78">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仿宋" w:hAnsi="仿宋" w:eastAsia="仿宋" w:cs="仿宋"/>
          <w:b/>
          <w:bCs/>
          <w:sz w:val="24"/>
          <w:lang w:val="en-US" w:eastAsia="zh-CN"/>
        </w:rPr>
      </w:pPr>
      <w:r>
        <w:rPr>
          <w:rFonts w:hint="eastAsia" w:ascii="仿宋" w:hAnsi="仿宋" w:eastAsia="仿宋" w:cs="仿宋"/>
          <w:b/>
          <w:bCs/>
          <w:sz w:val="24"/>
          <w:lang w:val="en-US" w:eastAsia="zh-CN"/>
        </w:rPr>
        <w:t>（一）申报方式：</w:t>
      </w:r>
    </w:p>
    <w:p w14:paraId="45936EA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s="仿宋"/>
          <w:b w:val="0"/>
          <w:bCs w:val="0"/>
          <w:sz w:val="24"/>
          <w:lang w:val="en-US" w:eastAsia="zh-CN"/>
        </w:rPr>
      </w:pPr>
      <w:r>
        <w:rPr>
          <w:rFonts w:hint="eastAsia" w:ascii="仿宋" w:hAnsi="仿宋" w:eastAsia="仿宋" w:cs="仿宋"/>
          <w:b w:val="0"/>
          <w:bCs w:val="0"/>
          <w:sz w:val="24"/>
          <w:lang w:val="en-US" w:eastAsia="zh-CN"/>
        </w:rPr>
        <w:t>1.线上申报，登陆“深圳个人破产案件信息网”（PC端）或者“深破茧”（微信小程序）进行线上申报。具体操作流程如下：</w:t>
      </w:r>
    </w:p>
    <w:p w14:paraId="3A27C2A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s="仿宋"/>
          <w:b w:val="0"/>
          <w:bCs w:val="0"/>
          <w:sz w:val="24"/>
          <w:lang w:val="en-US" w:eastAsia="zh-CN"/>
        </w:rPr>
      </w:pPr>
      <w:r>
        <w:rPr>
          <w:rFonts w:hint="eastAsia" w:ascii="仿宋" w:hAnsi="仿宋" w:eastAsia="仿宋" w:cs="仿宋"/>
          <w:b w:val="0"/>
          <w:bCs w:val="0"/>
          <w:sz w:val="24"/>
          <w:lang w:val="en-US" w:eastAsia="zh-CN"/>
        </w:rPr>
        <w:t>（1）登陆“深圳个人破产案件信息网”或“深破茧”微信小程序，实名注册；</w:t>
      </w:r>
    </w:p>
    <w:p w14:paraId="0634D25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（2）找到“债权申报”板块，点击“申报债权”，并在债务人信息框输入“陈淳彬、孔嘉瑶”，即可按要求逐项填写申报信息。</w:t>
      </w:r>
    </w:p>
    <w:p w14:paraId="334FB97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2.线下申报，通过邮寄或者现场申报方式向管理人申报债权。管理人具体联系方式如下：</w:t>
      </w:r>
    </w:p>
    <w:p w14:paraId="31777EE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联系人：朱律师，电话：0755-83118814，地址：深圳市福田区金田路4028号荣超经贸中心33层3301室。</w:t>
      </w:r>
    </w:p>
    <w:p w14:paraId="1C63D8D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s="仿宋"/>
          <w:b w:val="0"/>
          <w:bCs w:val="0"/>
          <w:sz w:val="24"/>
          <w:lang w:val="en-US" w:eastAsia="zh-CN"/>
        </w:rPr>
      </w:pPr>
      <w:r>
        <w:rPr>
          <w:rFonts w:hint="eastAsia" w:ascii="仿宋" w:hAnsi="仿宋" w:eastAsia="仿宋" w:cs="仿宋"/>
          <w:b w:val="0"/>
          <w:bCs w:val="0"/>
          <w:sz w:val="24"/>
          <w:lang w:val="en-US" w:eastAsia="zh-CN"/>
        </w:rPr>
        <w:t>线上或者线下申报需参考的格式文书，均可通过“全国企业破产重整案件信息网”“深圳个人破产案件信息网”（PC端）或“深破茧”（微信小程序）下载。</w:t>
      </w:r>
    </w:p>
    <w:p w14:paraId="38272D3C">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仿宋" w:hAnsi="仿宋" w:eastAsia="仿宋" w:cs="仿宋"/>
          <w:b w:val="0"/>
          <w:bCs w:val="0"/>
          <w:sz w:val="24"/>
          <w:lang w:val="en-US" w:eastAsia="zh-CN"/>
        </w:rPr>
      </w:pPr>
      <w:r>
        <w:rPr>
          <w:rFonts w:hint="eastAsia" w:ascii="仿宋" w:hAnsi="仿宋" w:eastAsia="仿宋" w:cs="仿宋"/>
          <w:b/>
          <w:bCs/>
          <w:sz w:val="24"/>
          <w:lang w:val="en-US" w:eastAsia="zh-CN"/>
        </w:rPr>
        <w:t>（二）申报期限：本案债权申报期限届满日为2025年5月26日前</w:t>
      </w:r>
      <w:r>
        <w:rPr>
          <w:rFonts w:hint="eastAsia" w:ascii="仿宋" w:hAnsi="仿宋" w:eastAsia="仿宋" w:cs="仿宋"/>
          <w:b w:val="0"/>
          <w:bCs w:val="0"/>
          <w:sz w:val="24"/>
          <w:lang w:val="en-US" w:eastAsia="zh-CN"/>
        </w:rPr>
        <w:t>，债权人应当在该申报期限内申报债权。除另有规定外，不申报债权或者逾期补充申报债权的法律后果由债权人自行承担。</w:t>
      </w:r>
    </w:p>
    <w:p w14:paraId="63DC6ABB">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黑体" w:hAnsi="黑体" w:eastAsia="黑体" w:cs="黑体"/>
          <w:b/>
          <w:bCs/>
          <w:sz w:val="24"/>
        </w:rPr>
      </w:pPr>
    </w:p>
    <w:p w14:paraId="1AAF5485">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仿宋" w:hAnsi="仿宋" w:eastAsia="仿宋" w:cs="仿宋"/>
          <w:b/>
          <w:bCs/>
          <w:sz w:val="24"/>
          <w:lang w:val="en-US" w:eastAsia="zh-CN"/>
        </w:rPr>
      </w:pPr>
      <w:r>
        <w:rPr>
          <w:rFonts w:hint="eastAsia" w:ascii="黑体" w:hAnsi="黑体" w:eastAsia="黑体" w:cs="黑体"/>
          <w:b/>
          <w:bCs/>
          <w:sz w:val="24"/>
          <w:lang w:val="en-US" w:eastAsia="zh-CN"/>
        </w:rPr>
        <w:t>三、债权人应提交的材料</w:t>
      </w:r>
    </w:p>
    <w:p w14:paraId="2FB88F19">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仿宋" w:hAnsi="仿宋" w:eastAsia="仿宋" w:cs="仿宋"/>
          <w:b/>
          <w:bCs/>
          <w:sz w:val="24"/>
          <w:lang w:val="en-US" w:eastAsia="zh-CN"/>
        </w:rPr>
      </w:pPr>
      <w:r>
        <w:rPr>
          <w:rFonts w:hint="eastAsia" w:ascii="仿宋" w:hAnsi="仿宋" w:eastAsia="仿宋" w:cs="仿宋"/>
          <w:b/>
          <w:bCs/>
          <w:sz w:val="24"/>
          <w:lang w:val="en-US" w:eastAsia="zh-CN"/>
        </w:rPr>
        <w:t>（一）请将债权申报材料按照“债权申报登记表→债权申报书→债权证据目录及证据→授权材料（如有）→申报人主体资格材料”的顺序整理成PDF格式上传至相应端口或者邮寄或者现场提交给管理人。</w:t>
      </w:r>
    </w:p>
    <w:p w14:paraId="7E47E82E">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仿宋" w:hAnsi="仿宋" w:eastAsia="仿宋" w:cs="仿宋"/>
          <w:b/>
          <w:bCs/>
          <w:sz w:val="24"/>
          <w:lang w:val="en-US" w:eastAsia="zh-CN"/>
        </w:rPr>
      </w:pPr>
      <w:r>
        <w:rPr>
          <w:rFonts w:hint="eastAsia" w:ascii="仿宋" w:hAnsi="仿宋" w:eastAsia="仿宋" w:cs="仿宋"/>
          <w:b/>
          <w:bCs/>
          <w:sz w:val="24"/>
          <w:lang w:val="en-US" w:eastAsia="zh-CN"/>
        </w:rPr>
        <w:t>（二）材料统一按A4纸规格整理，每页盖公章（机构）或者签名（自然人）。具体如下：</w:t>
      </w:r>
    </w:p>
    <w:p w14:paraId="3308EDAE">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仿宋" w:hAnsi="仿宋" w:eastAsia="仿宋" w:cs="仿宋"/>
          <w:b/>
          <w:bCs/>
          <w:sz w:val="24"/>
          <w:lang w:val="en-US" w:eastAsia="zh-CN"/>
        </w:rPr>
      </w:pPr>
      <w:r>
        <w:rPr>
          <w:rFonts w:hint="eastAsia" w:ascii="仿宋" w:hAnsi="仿宋" w:eastAsia="仿宋" w:cs="仿宋"/>
          <w:b/>
          <w:bCs/>
          <w:sz w:val="24"/>
          <w:lang w:val="en-US" w:eastAsia="zh-CN"/>
        </w:rPr>
        <w:t>1.债权申报登记表及债权申报书</w:t>
      </w:r>
    </w:p>
    <w:p w14:paraId="7AB87468">
      <w:pPr>
        <w:pStyle w:val="7"/>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债权申报书须写明申报的债权金额、性质、形成原因</w:t>
      </w:r>
      <w:r>
        <w:rPr>
          <w:rFonts w:hint="eastAsia" w:ascii="仿宋" w:hAnsi="仿宋" w:eastAsia="仿宋"/>
          <w:color w:val="auto"/>
          <w:sz w:val="24"/>
          <w:szCs w:val="24"/>
          <w:highlight w:val="none"/>
          <w:lang w:val="en-US" w:eastAsia="zh-CN"/>
        </w:rPr>
        <w:t>、形成</w:t>
      </w:r>
      <w:r>
        <w:rPr>
          <w:rFonts w:hint="eastAsia" w:ascii="仿宋" w:hAnsi="仿宋" w:eastAsia="仿宋"/>
          <w:color w:val="auto"/>
          <w:sz w:val="24"/>
          <w:szCs w:val="24"/>
          <w:highlight w:val="none"/>
        </w:rPr>
        <w:t>经过、有无财产担保</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是否属于连带债权</w:t>
      </w:r>
      <w:r>
        <w:rPr>
          <w:rFonts w:hint="eastAsia" w:ascii="仿宋" w:hAnsi="仿宋" w:eastAsia="仿宋"/>
          <w:color w:val="auto"/>
          <w:sz w:val="24"/>
          <w:szCs w:val="24"/>
          <w:highlight w:val="none"/>
        </w:rPr>
        <w:t>等相关事项。机构债权人应在债权申报书上加盖债权人公章，个人债权人应在债权申报书上由本人签字并捺手印。</w:t>
      </w:r>
    </w:p>
    <w:p w14:paraId="35382276">
      <w:pPr>
        <w:pStyle w:val="7"/>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2</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若申报的债权涉及合同关系的，须同时对该合同是否已经履行完毕或合同当事人履行合同情况作出说明。</w:t>
      </w:r>
    </w:p>
    <w:p w14:paraId="7110BCEC">
      <w:pPr>
        <w:pStyle w:val="7"/>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ascii="仿宋" w:hAnsi="仿宋" w:eastAsia="仿宋"/>
          <w:b/>
          <w:bCs/>
          <w:color w:val="auto"/>
          <w:sz w:val="24"/>
          <w:szCs w:val="24"/>
          <w:highlight w:val="none"/>
        </w:rPr>
      </w:pPr>
      <w:r>
        <w:rPr>
          <w:rFonts w:hint="eastAsia" w:ascii="仿宋" w:hAnsi="仿宋" w:eastAsia="仿宋"/>
          <w:bCs/>
          <w:color w:val="auto"/>
          <w:sz w:val="24"/>
          <w:szCs w:val="24"/>
          <w:highlight w:val="none"/>
          <w:lang w:eastAsia="zh-CN"/>
        </w:rPr>
        <w:t>（</w:t>
      </w:r>
      <w:r>
        <w:rPr>
          <w:rFonts w:hint="eastAsia" w:ascii="仿宋" w:hAnsi="仿宋" w:eastAsia="仿宋"/>
          <w:bCs/>
          <w:color w:val="auto"/>
          <w:sz w:val="24"/>
          <w:szCs w:val="24"/>
          <w:highlight w:val="none"/>
          <w:lang w:val="en-US" w:eastAsia="zh-CN"/>
        </w:rPr>
        <w:t>3</w:t>
      </w:r>
      <w:r>
        <w:rPr>
          <w:rFonts w:hint="eastAsia" w:ascii="仿宋" w:hAnsi="仿宋" w:eastAsia="仿宋"/>
          <w:bCs/>
          <w:color w:val="auto"/>
          <w:sz w:val="24"/>
          <w:szCs w:val="24"/>
          <w:highlight w:val="none"/>
          <w:lang w:eastAsia="zh-CN"/>
        </w:rPr>
        <w:t>）</w:t>
      </w:r>
      <w:r>
        <w:rPr>
          <w:rFonts w:hint="eastAsia" w:ascii="仿宋" w:hAnsi="仿宋" w:eastAsia="仿宋"/>
          <w:bCs/>
          <w:color w:val="auto"/>
          <w:sz w:val="24"/>
          <w:szCs w:val="24"/>
          <w:highlight w:val="none"/>
        </w:rPr>
        <w:t>债权申报登记表和债权申报书上记载的信息应当保持一致。</w:t>
      </w:r>
      <w:r>
        <w:rPr>
          <w:rFonts w:hint="eastAsia" w:ascii="仿宋" w:hAnsi="仿宋" w:eastAsia="仿宋"/>
          <w:b/>
          <w:bCs/>
          <w:color w:val="auto"/>
          <w:sz w:val="24"/>
          <w:szCs w:val="24"/>
          <w:highlight w:val="none"/>
          <w:u w:val="single"/>
        </w:rPr>
        <w:t>如申报人提交的债权申报材料中所载的信息前后不一致，以债权申报登记表所载的信息为准。</w:t>
      </w:r>
    </w:p>
    <w:p w14:paraId="08BFB335">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仿宋" w:hAnsi="仿宋" w:eastAsia="仿宋" w:cs="仿宋"/>
          <w:b/>
          <w:bCs/>
          <w:sz w:val="24"/>
          <w:lang w:val="en-US" w:eastAsia="zh-CN"/>
        </w:rPr>
      </w:pPr>
      <w:r>
        <w:rPr>
          <w:rFonts w:hint="eastAsia" w:ascii="仿宋" w:hAnsi="仿宋" w:eastAsia="仿宋" w:cs="仿宋"/>
          <w:b/>
          <w:bCs/>
          <w:sz w:val="24"/>
          <w:lang w:val="en-US" w:eastAsia="zh-CN"/>
        </w:rPr>
        <w:t>2.证明债权发生事实及其数额的材料</w:t>
      </w:r>
    </w:p>
    <w:p w14:paraId="12E4DFA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s="仿宋"/>
          <w:b w:val="0"/>
          <w:bCs w:val="0"/>
          <w:sz w:val="24"/>
          <w:highlight w:val="yellow"/>
          <w:lang w:val="en-US" w:eastAsia="zh-CN"/>
        </w:rPr>
      </w:pPr>
      <w:r>
        <w:rPr>
          <w:rFonts w:hint="eastAsia" w:ascii="仿宋" w:hAnsi="仿宋" w:eastAsia="仿宋" w:cs="仿宋"/>
          <w:b w:val="0"/>
          <w:bCs w:val="0"/>
          <w:sz w:val="24"/>
          <w:lang w:val="en-US" w:eastAsia="zh-CN"/>
        </w:rPr>
        <w:t>债权人应当制作证据目录并提交证明债权成立及其金额的证据材料复印件，具体如下：</w:t>
      </w:r>
    </w:p>
    <w:p w14:paraId="6DC0C239">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（1）债权涉及诉讼或仲裁的：</w:t>
      </w:r>
    </w:p>
    <w:p w14:paraId="1A62CC3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1）如未审结的，请提交诉讼、仲裁有关文件，包括正在审理过程中的起诉书、仲裁申请书、立案通知书、证据材料等。</w:t>
      </w:r>
    </w:p>
    <w:p w14:paraId="1AE47E23">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2）如已审结的，请提交生效判决书、裁定书、调解书、仲裁裁决书等；</w:t>
      </w:r>
      <w:r>
        <w:rPr>
          <w:rFonts w:hint="eastAsia" w:ascii="仿宋" w:hAnsi="仿宋" w:eastAsia="仿宋"/>
          <w:color w:val="auto"/>
          <w:sz w:val="24"/>
          <w:szCs w:val="24"/>
          <w:highlight w:val="none"/>
        </w:rPr>
        <w:t>如经过两级法院审理，一、二审法院的法律文书皆需提供；仲裁机关出具的生效法律文书应附上仲裁机关关于法律文书已经生效的函件或双方当事人已签收的送达回执</w:t>
      </w:r>
      <w:r>
        <w:rPr>
          <w:rFonts w:hint="eastAsia" w:ascii="仿宋" w:hAnsi="仿宋" w:eastAsia="仿宋"/>
          <w:color w:val="auto"/>
          <w:sz w:val="24"/>
          <w:szCs w:val="24"/>
          <w:highlight w:val="none"/>
          <w:lang w:eastAsia="zh-CN"/>
        </w:rPr>
        <w:t>。</w:t>
      </w:r>
    </w:p>
    <w:p w14:paraId="0BF6B8D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rPr>
      </w:pPr>
      <w:r>
        <w:rPr>
          <w:rFonts w:hint="eastAsia" w:ascii="仿宋" w:hAnsi="仿宋" w:eastAsia="仿宋" w:cs="仿宋"/>
          <w:sz w:val="24"/>
          <w:lang w:val="en-US" w:eastAsia="zh-CN"/>
        </w:rPr>
        <w:t>3）如</w:t>
      </w:r>
      <w:r>
        <w:rPr>
          <w:rFonts w:hint="eastAsia" w:ascii="仿宋" w:hAnsi="仿宋" w:eastAsia="仿宋" w:cs="仿宋"/>
          <w:sz w:val="24"/>
        </w:rPr>
        <w:t>已申请强制执行的，</w:t>
      </w:r>
      <w:r>
        <w:rPr>
          <w:rFonts w:hint="eastAsia" w:ascii="仿宋" w:hAnsi="仿宋" w:eastAsia="仿宋" w:cs="仿宋"/>
          <w:sz w:val="24"/>
          <w:lang w:val="en-US" w:eastAsia="zh-CN"/>
        </w:rPr>
        <w:t>除前述第2）项中提及的材料外，还需</w:t>
      </w:r>
      <w:r>
        <w:rPr>
          <w:rFonts w:hint="eastAsia" w:ascii="仿宋" w:hAnsi="仿宋" w:eastAsia="仿宋" w:cs="仿宋"/>
          <w:sz w:val="24"/>
        </w:rPr>
        <w:t>同时提交</w:t>
      </w:r>
      <w:r>
        <w:rPr>
          <w:rFonts w:hint="eastAsia" w:ascii="仿宋" w:hAnsi="仿宋" w:eastAsia="仿宋" w:cs="仿宋"/>
          <w:sz w:val="24"/>
          <w:lang w:val="en-US" w:eastAsia="zh-CN"/>
        </w:rPr>
        <w:t>执行申请、受理执行通知书、执行裁定书、执行受偿凭证等</w:t>
      </w:r>
      <w:r>
        <w:rPr>
          <w:rFonts w:hint="eastAsia" w:ascii="仿宋" w:hAnsi="仿宋" w:eastAsia="仿宋" w:cs="仿宋"/>
          <w:sz w:val="24"/>
        </w:rPr>
        <w:t>。</w:t>
      </w:r>
    </w:p>
    <w:p w14:paraId="4A15B1F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s="仿宋"/>
          <w:b/>
          <w:bCs/>
          <w:sz w:val="24"/>
          <w:lang w:val="en-US" w:eastAsia="zh-CN"/>
        </w:rPr>
      </w:pPr>
      <w:r>
        <w:rPr>
          <w:rFonts w:hint="eastAsia" w:ascii="仿宋" w:hAnsi="仿宋" w:eastAsia="仿宋" w:cs="仿宋"/>
          <w:b w:val="0"/>
          <w:bCs w:val="0"/>
          <w:sz w:val="24"/>
          <w:lang w:val="en-US" w:eastAsia="zh-CN"/>
        </w:rPr>
        <w:t>4）</w:t>
      </w:r>
      <w:r>
        <w:rPr>
          <w:rFonts w:hint="eastAsia" w:ascii="仿宋" w:hAnsi="仿宋" w:eastAsia="仿宋"/>
          <w:color w:val="auto"/>
          <w:sz w:val="24"/>
          <w:szCs w:val="24"/>
          <w:highlight w:val="none"/>
        </w:rPr>
        <w:t>申报人在诉讼中或仲裁程序中申请财产保全的，须提交法院作出的保全裁定书等相关文件。</w:t>
      </w:r>
    </w:p>
    <w:p w14:paraId="004CCD2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s="仿宋"/>
          <w:b w:val="0"/>
          <w:bCs w:val="0"/>
          <w:sz w:val="24"/>
          <w:lang w:val="en-US" w:eastAsia="zh-CN"/>
        </w:rPr>
      </w:pPr>
      <w:r>
        <w:rPr>
          <w:rFonts w:hint="eastAsia" w:ascii="仿宋" w:hAnsi="仿宋" w:eastAsia="仿宋" w:cs="仿宋"/>
          <w:b w:val="0"/>
          <w:bCs w:val="0"/>
          <w:sz w:val="24"/>
          <w:lang w:val="en-US" w:eastAsia="zh-CN"/>
        </w:rPr>
        <w:t>（2）债权未涉及诉讼或仲裁的，提交相关合同、合同履行凭证、抵押和质押登记证明、人身损害证明、违约或侵权的有关证明等材料。</w:t>
      </w:r>
    </w:p>
    <w:p w14:paraId="69F7BC8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（3）</w:t>
      </w:r>
      <w:r>
        <w:rPr>
          <w:rFonts w:hint="eastAsia" w:ascii="仿宋" w:hAnsi="仿宋" w:eastAsia="仿宋"/>
          <w:b w:val="0"/>
          <w:bCs w:val="0"/>
          <w:color w:val="auto"/>
          <w:sz w:val="24"/>
          <w:szCs w:val="24"/>
          <w:highlight w:val="none"/>
        </w:rPr>
        <w:t>债权如有担保的，还须提交抵押合同、质押合同、保证合同及相关的登记证件等担保原始材料。</w:t>
      </w:r>
    </w:p>
    <w:p w14:paraId="6720F60E">
      <w:pPr>
        <w:pStyle w:val="7"/>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ascii="仿宋" w:hAnsi="仿宋" w:eastAsia="仿宋"/>
          <w:color w:val="auto"/>
          <w:sz w:val="24"/>
          <w:szCs w:val="24"/>
          <w:highlight w:val="none"/>
        </w:rPr>
      </w:pPr>
      <w:r>
        <w:rPr>
          <w:rFonts w:hint="eastAsia" w:ascii="仿宋" w:hAnsi="仿宋" w:eastAsia="仿宋" w:cs="仿宋"/>
          <w:b w:val="0"/>
          <w:bCs w:val="0"/>
          <w:sz w:val="24"/>
          <w:lang w:val="en-US" w:eastAsia="zh-CN"/>
        </w:rPr>
        <w:t>（4）</w:t>
      </w:r>
      <w:r>
        <w:rPr>
          <w:rFonts w:hint="eastAsia" w:ascii="仿宋" w:hAnsi="仿宋" w:eastAsia="仿宋"/>
          <w:b w:val="0"/>
          <w:bCs w:val="0"/>
          <w:color w:val="auto"/>
          <w:sz w:val="24"/>
          <w:szCs w:val="24"/>
          <w:highlight w:val="none"/>
        </w:rPr>
        <w:t>能</w:t>
      </w:r>
      <w:r>
        <w:rPr>
          <w:rFonts w:hint="eastAsia" w:ascii="仿宋" w:hAnsi="仿宋" w:eastAsia="仿宋"/>
          <w:color w:val="auto"/>
          <w:sz w:val="24"/>
          <w:szCs w:val="24"/>
          <w:highlight w:val="none"/>
        </w:rPr>
        <w:t>够证明债权发生、变更、存续、诉讼时效中止、中断、延长及债权金额的其他材料。</w:t>
      </w:r>
    </w:p>
    <w:p w14:paraId="7D940F1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bCs/>
          <w:sz w:val="24"/>
          <w:lang w:val="en-US"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5</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债权如有偿还或其他抵债情形的，则须提供偿债凭证、协议或以物抵债协议等。如该等偿债或以物抵债是由法院裁定认可的，须同时提交裁定书。</w:t>
      </w:r>
    </w:p>
    <w:p w14:paraId="489328C4">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仿宋" w:hAnsi="仿宋" w:eastAsia="仿宋"/>
          <w:b/>
          <w:color w:val="auto"/>
          <w:sz w:val="24"/>
          <w:szCs w:val="24"/>
          <w:highlight w:val="none"/>
          <w:u w:val="single"/>
        </w:rPr>
      </w:pPr>
      <w:r>
        <w:rPr>
          <w:rFonts w:hint="eastAsia" w:ascii="仿宋" w:hAnsi="仿宋" w:eastAsia="仿宋" w:cs="仿宋"/>
          <w:b/>
          <w:bCs/>
          <w:sz w:val="24"/>
          <w:u w:val="single"/>
          <w:lang w:val="en-US" w:eastAsia="zh-CN"/>
        </w:rPr>
        <w:t>（6）申报的债权金额涉及利息的</w:t>
      </w:r>
      <w:r>
        <w:rPr>
          <w:rFonts w:hint="eastAsia" w:ascii="仿宋" w:hAnsi="仿宋" w:eastAsia="仿宋" w:cs="仿宋"/>
          <w:sz w:val="24"/>
          <w:u w:val="single"/>
          <w:lang w:val="en-US" w:eastAsia="zh-CN"/>
        </w:rPr>
        <w:t>，</w:t>
      </w:r>
      <w:r>
        <w:rPr>
          <w:rFonts w:hint="eastAsia" w:ascii="仿宋" w:hAnsi="仿宋" w:eastAsia="仿宋"/>
          <w:b/>
          <w:bCs w:val="0"/>
          <w:color w:val="auto"/>
          <w:sz w:val="24"/>
          <w:szCs w:val="24"/>
          <w:highlight w:val="none"/>
          <w:u w:val="single"/>
          <w:lang w:val="en-US" w:eastAsia="zh-CN"/>
        </w:rPr>
        <w:t>依照</w:t>
      </w:r>
      <w:r>
        <w:rPr>
          <w:rFonts w:hint="eastAsia" w:ascii="仿宋" w:hAnsi="仿宋" w:eastAsia="仿宋"/>
          <w:b/>
          <w:bCs w:val="0"/>
          <w:color w:val="auto"/>
          <w:sz w:val="24"/>
          <w:szCs w:val="24"/>
          <w:highlight w:val="none"/>
          <w:u w:val="single"/>
        </w:rPr>
        <w:t>《</w:t>
      </w:r>
      <w:r>
        <w:rPr>
          <w:rFonts w:hint="eastAsia" w:ascii="仿宋" w:hAnsi="仿宋" w:eastAsia="仿宋"/>
          <w:b/>
          <w:bCs w:val="0"/>
          <w:color w:val="auto"/>
          <w:sz w:val="24"/>
          <w:szCs w:val="24"/>
          <w:highlight w:val="none"/>
          <w:u w:val="single"/>
          <w:lang w:val="en-US" w:eastAsia="zh-CN"/>
        </w:rPr>
        <w:t>深圳经济特区个人破产条例</w:t>
      </w:r>
      <w:r>
        <w:rPr>
          <w:rFonts w:hint="eastAsia" w:ascii="仿宋" w:hAnsi="仿宋" w:eastAsia="仿宋"/>
          <w:b/>
          <w:bCs w:val="0"/>
          <w:color w:val="auto"/>
          <w:sz w:val="24"/>
          <w:szCs w:val="24"/>
          <w:highlight w:val="none"/>
          <w:u w:val="single"/>
        </w:rPr>
        <w:t>》第</w:t>
      </w:r>
      <w:r>
        <w:rPr>
          <w:rFonts w:hint="eastAsia" w:ascii="仿宋" w:hAnsi="仿宋" w:eastAsia="仿宋"/>
          <w:b/>
          <w:bCs w:val="0"/>
          <w:color w:val="auto"/>
          <w:sz w:val="24"/>
          <w:szCs w:val="24"/>
          <w:highlight w:val="none"/>
          <w:u w:val="single"/>
          <w:lang w:val="en-US" w:eastAsia="zh-CN"/>
        </w:rPr>
        <w:t>五十九</w:t>
      </w:r>
      <w:r>
        <w:rPr>
          <w:rFonts w:hint="eastAsia" w:ascii="仿宋" w:hAnsi="仿宋" w:eastAsia="仿宋"/>
          <w:b/>
          <w:bCs w:val="0"/>
          <w:color w:val="auto"/>
          <w:sz w:val="24"/>
          <w:szCs w:val="24"/>
          <w:highlight w:val="none"/>
          <w:u w:val="single"/>
        </w:rPr>
        <w:t>款之规定，利息计算至202</w:t>
      </w:r>
      <w:r>
        <w:rPr>
          <w:rFonts w:hint="eastAsia" w:ascii="仿宋" w:hAnsi="仿宋" w:eastAsia="仿宋"/>
          <w:b/>
          <w:bCs w:val="0"/>
          <w:color w:val="auto"/>
          <w:sz w:val="24"/>
          <w:szCs w:val="24"/>
          <w:highlight w:val="none"/>
          <w:u w:val="single"/>
          <w:lang w:val="en-US" w:eastAsia="zh-CN"/>
        </w:rPr>
        <w:t>5</w:t>
      </w:r>
      <w:r>
        <w:rPr>
          <w:rFonts w:hint="eastAsia" w:ascii="仿宋" w:hAnsi="仿宋" w:eastAsia="仿宋"/>
          <w:b/>
          <w:bCs w:val="0"/>
          <w:color w:val="auto"/>
          <w:sz w:val="24"/>
          <w:szCs w:val="24"/>
          <w:highlight w:val="none"/>
          <w:u w:val="single"/>
        </w:rPr>
        <w:t>年</w:t>
      </w:r>
      <w:r>
        <w:rPr>
          <w:rFonts w:hint="eastAsia" w:ascii="仿宋" w:hAnsi="仿宋" w:eastAsia="仿宋"/>
          <w:b/>
          <w:bCs w:val="0"/>
          <w:color w:val="auto"/>
          <w:sz w:val="24"/>
          <w:szCs w:val="24"/>
          <w:highlight w:val="none"/>
          <w:u w:val="single"/>
          <w:lang w:val="en-US" w:eastAsia="zh-CN"/>
        </w:rPr>
        <w:t>3</w:t>
      </w:r>
      <w:r>
        <w:rPr>
          <w:rFonts w:hint="eastAsia" w:ascii="仿宋" w:hAnsi="仿宋" w:eastAsia="仿宋"/>
          <w:b/>
          <w:bCs w:val="0"/>
          <w:color w:val="auto"/>
          <w:sz w:val="24"/>
          <w:szCs w:val="24"/>
          <w:highlight w:val="none"/>
          <w:u w:val="single"/>
        </w:rPr>
        <w:t>月</w:t>
      </w:r>
      <w:r>
        <w:rPr>
          <w:rFonts w:hint="eastAsia" w:ascii="仿宋" w:hAnsi="仿宋" w:eastAsia="仿宋"/>
          <w:b/>
          <w:bCs w:val="0"/>
          <w:color w:val="auto"/>
          <w:sz w:val="24"/>
          <w:szCs w:val="24"/>
          <w:highlight w:val="none"/>
          <w:u w:val="single"/>
          <w:lang w:val="en-US" w:eastAsia="zh-CN"/>
        </w:rPr>
        <w:t>27</w:t>
      </w:r>
      <w:r>
        <w:rPr>
          <w:rFonts w:hint="eastAsia" w:ascii="仿宋" w:hAnsi="仿宋" w:eastAsia="仿宋"/>
          <w:b/>
          <w:bCs w:val="0"/>
          <w:color w:val="auto"/>
          <w:sz w:val="24"/>
          <w:szCs w:val="24"/>
          <w:highlight w:val="none"/>
          <w:u w:val="single"/>
        </w:rPr>
        <w:t>日。申报人应提供利息</w:t>
      </w:r>
      <w:r>
        <w:rPr>
          <w:rFonts w:hint="eastAsia" w:ascii="仿宋" w:hAnsi="仿宋" w:eastAsia="仿宋" w:cs="Times New Roman"/>
          <w:b/>
          <w:bCs w:val="0"/>
          <w:color w:val="auto"/>
          <w:sz w:val="24"/>
          <w:szCs w:val="24"/>
          <w:highlight w:val="none"/>
          <w:u w:val="single"/>
          <w:lang w:val="en-US" w:eastAsia="zh-CN"/>
        </w:rPr>
        <w:t>计算表（EXCEL格式），说明利息的计算依据、计算方法和计算结果，同时将利息</w:t>
      </w:r>
      <w:r>
        <w:rPr>
          <w:rFonts w:hint="eastAsia" w:ascii="仿宋" w:hAnsi="仿宋" w:eastAsia="仿宋"/>
          <w:b/>
          <w:color w:val="auto"/>
          <w:sz w:val="24"/>
          <w:szCs w:val="24"/>
          <w:highlight w:val="none"/>
          <w:u w:val="single"/>
          <w:lang w:eastAsia="zh-CN"/>
        </w:rPr>
        <w:t>、</w:t>
      </w:r>
      <w:r>
        <w:rPr>
          <w:rFonts w:hint="eastAsia" w:ascii="仿宋" w:hAnsi="仿宋" w:eastAsia="仿宋"/>
          <w:b/>
          <w:color w:val="auto"/>
          <w:sz w:val="24"/>
          <w:szCs w:val="24"/>
          <w:highlight w:val="none"/>
          <w:u w:val="single"/>
        </w:rPr>
        <w:t>罚息、</w:t>
      </w:r>
      <w:r>
        <w:rPr>
          <w:rFonts w:hint="eastAsia" w:ascii="仿宋" w:hAnsi="仿宋" w:eastAsia="仿宋"/>
          <w:b/>
          <w:color w:val="auto"/>
          <w:sz w:val="24"/>
          <w:szCs w:val="24"/>
          <w:highlight w:val="none"/>
          <w:u w:val="single"/>
          <w:lang w:val="en-US" w:eastAsia="zh-CN"/>
        </w:rPr>
        <w:t>复利、</w:t>
      </w:r>
      <w:r>
        <w:rPr>
          <w:rFonts w:hint="eastAsia" w:ascii="仿宋" w:hAnsi="仿宋" w:eastAsia="仿宋"/>
          <w:b/>
          <w:color w:val="auto"/>
          <w:sz w:val="24"/>
          <w:szCs w:val="24"/>
          <w:highlight w:val="none"/>
          <w:u w:val="single"/>
        </w:rPr>
        <w:t>滞纳金等分开计算。</w:t>
      </w:r>
    </w:p>
    <w:p w14:paraId="488205AD">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仿宋"/>
          <w:lang w:val="en-US" w:eastAsia="zh-CN"/>
        </w:rPr>
      </w:pPr>
      <w:r>
        <w:rPr>
          <w:rFonts w:hint="eastAsia" w:ascii="仿宋" w:hAnsi="仿宋" w:eastAsia="仿宋" w:cs="Times New Roman"/>
          <w:color w:val="auto"/>
          <w:sz w:val="24"/>
          <w:szCs w:val="24"/>
          <w:highlight w:val="none"/>
          <w:lang w:eastAsia="zh-CN"/>
        </w:rPr>
        <w:t>（</w:t>
      </w:r>
      <w:r>
        <w:rPr>
          <w:rFonts w:hint="eastAsia" w:ascii="仿宋" w:hAnsi="仿宋" w:eastAsia="仿宋" w:cs="Times New Roman"/>
          <w:color w:val="auto"/>
          <w:sz w:val="24"/>
          <w:szCs w:val="24"/>
          <w:highlight w:val="none"/>
          <w:lang w:val="en-US" w:eastAsia="zh-CN"/>
        </w:rPr>
        <w:t>7</w:t>
      </w:r>
      <w:r>
        <w:rPr>
          <w:rFonts w:hint="eastAsia" w:ascii="仿宋" w:hAnsi="仿宋" w:eastAsia="仿宋" w:cs="Times New Roman"/>
          <w:color w:val="auto"/>
          <w:sz w:val="24"/>
          <w:szCs w:val="24"/>
          <w:highlight w:val="none"/>
          <w:lang w:eastAsia="zh-CN"/>
        </w:rPr>
        <w:t>）</w:t>
      </w:r>
      <w:r>
        <w:rPr>
          <w:rFonts w:hint="eastAsia" w:ascii="仿宋" w:hAnsi="仿宋" w:eastAsia="仿宋" w:cs="Times New Roman"/>
          <w:color w:val="auto"/>
          <w:sz w:val="24"/>
          <w:szCs w:val="24"/>
          <w:highlight w:val="none"/>
        </w:rPr>
        <w:t>其他</w:t>
      </w:r>
      <w:r>
        <w:rPr>
          <w:rFonts w:hint="eastAsia" w:ascii="仿宋" w:hAnsi="仿宋" w:eastAsia="仿宋"/>
          <w:color w:val="auto"/>
          <w:sz w:val="24"/>
          <w:szCs w:val="24"/>
          <w:highlight w:val="none"/>
        </w:rPr>
        <w:t>能够证明债权成立的依据。</w:t>
      </w:r>
    </w:p>
    <w:p w14:paraId="020CECB2">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仿宋" w:hAnsi="仿宋" w:eastAsia="仿宋"/>
          <w:b/>
          <w:bCs/>
          <w:color w:val="auto"/>
          <w:sz w:val="24"/>
          <w:szCs w:val="24"/>
          <w:highlight w:val="none"/>
          <w:lang w:val="en-US" w:eastAsia="zh-CN"/>
        </w:rPr>
      </w:pPr>
      <w:r>
        <w:rPr>
          <w:rFonts w:hint="eastAsia" w:ascii="仿宋" w:hAnsi="仿宋" w:eastAsia="仿宋"/>
          <w:b/>
          <w:bCs/>
          <w:color w:val="auto"/>
          <w:sz w:val="24"/>
          <w:szCs w:val="24"/>
          <w:highlight w:val="none"/>
          <w:lang w:val="en-US" w:eastAsia="zh-CN"/>
        </w:rPr>
        <w:t>3.</w:t>
      </w:r>
      <w:r>
        <w:rPr>
          <w:rFonts w:hint="eastAsia" w:ascii="仿宋" w:hAnsi="仿宋" w:eastAsia="仿宋"/>
          <w:b/>
          <w:bCs/>
          <w:color w:val="auto"/>
          <w:sz w:val="24"/>
          <w:szCs w:val="24"/>
          <w:highlight w:val="none"/>
        </w:rPr>
        <w:t>授权材料</w:t>
      </w:r>
    </w:p>
    <w:p w14:paraId="12A8B456">
      <w:pPr>
        <w:pStyle w:val="7"/>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机构债权人须提交的材料：授权委托书原件（加盖</w:t>
      </w:r>
      <w:r>
        <w:rPr>
          <w:rFonts w:hint="eastAsia" w:ascii="仿宋" w:hAnsi="仿宋" w:eastAsia="仿宋"/>
          <w:color w:val="auto"/>
          <w:sz w:val="24"/>
          <w:szCs w:val="24"/>
          <w:highlight w:val="none"/>
          <w:lang w:val="en-US" w:eastAsia="zh-CN"/>
        </w:rPr>
        <w:t>单位</w:t>
      </w:r>
      <w:r>
        <w:rPr>
          <w:rFonts w:hint="eastAsia" w:ascii="仿宋" w:hAnsi="仿宋" w:eastAsia="仿宋"/>
          <w:color w:val="auto"/>
          <w:sz w:val="24"/>
          <w:szCs w:val="24"/>
          <w:highlight w:val="none"/>
        </w:rPr>
        <w:t>公章）和代理人的身份证等个人有效证件及复印件</w:t>
      </w:r>
      <w:r>
        <w:rPr>
          <w:rFonts w:hint="eastAsia" w:ascii="仿宋" w:hAnsi="仿宋" w:eastAsia="仿宋"/>
          <w:color w:val="auto"/>
          <w:sz w:val="24"/>
          <w:szCs w:val="24"/>
          <w:highlight w:val="none"/>
          <w:lang w:eastAsia="zh-CN"/>
        </w:rPr>
        <w:t>。</w:t>
      </w:r>
    </w:p>
    <w:p w14:paraId="7E1A7D05">
      <w:pPr>
        <w:pStyle w:val="7"/>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（2）</w:t>
      </w:r>
      <w:r>
        <w:rPr>
          <w:rFonts w:hint="eastAsia" w:ascii="仿宋" w:hAnsi="仿宋" w:eastAsia="仿宋"/>
          <w:color w:val="auto"/>
          <w:sz w:val="24"/>
          <w:szCs w:val="24"/>
          <w:highlight w:val="none"/>
        </w:rPr>
        <w:t>个人债权人须提交的材料：授权委托书原件（</w:t>
      </w:r>
      <w:r>
        <w:rPr>
          <w:rFonts w:hint="eastAsia" w:ascii="仿宋" w:hAnsi="仿宋" w:eastAsia="仿宋"/>
          <w:color w:val="auto"/>
          <w:sz w:val="24"/>
          <w:szCs w:val="24"/>
          <w:highlight w:val="none"/>
          <w:lang w:val="en-US" w:eastAsia="zh-CN"/>
        </w:rPr>
        <w:t>委托人</w:t>
      </w:r>
      <w:r>
        <w:rPr>
          <w:rFonts w:hint="eastAsia" w:ascii="仿宋" w:hAnsi="仿宋" w:eastAsia="仿宋"/>
          <w:color w:val="auto"/>
          <w:sz w:val="24"/>
          <w:szCs w:val="24"/>
          <w:highlight w:val="none"/>
        </w:rPr>
        <w:t>本人签字并捺手印）和代理人的身份证等个人有效证件复印件</w:t>
      </w:r>
      <w:r>
        <w:rPr>
          <w:rFonts w:hint="eastAsia" w:ascii="仿宋" w:hAnsi="仿宋" w:eastAsia="仿宋"/>
          <w:color w:val="auto"/>
          <w:sz w:val="24"/>
          <w:szCs w:val="24"/>
          <w:highlight w:val="none"/>
          <w:lang w:eastAsia="zh-CN"/>
        </w:rPr>
        <w:t>。</w:t>
      </w:r>
    </w:p>
    <w:p w14:paraId="4DC2E36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（3）</w:t>
      </w:r>
      <w:r>
        <w:rPr>
          <w:rFonts w:hint="eastAsia" w:ascii="仿宋" w:hAnsi="仿宋" w:eastAsia="仿宋"/>
          <w:color w:val="auto"/>
          <w:sz w:val="24"/>
          <w:szCs w:val="24"/>
          <w:highlight w:val="none"/>
        </w:rPr>
        <w:t>代理人是律师的，应提交律师执业证复印件及律师事务所所函。</w:t>
      </w:r>
    </w:p>
    <w:p w14:paraId="11E75508">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b/>
          <w:bCs/>
          <w:color w:val="auto"/>
          <w:sz w:val="24"/>
          <w:szCs w:val="24"/>
          <w:highlight w:val="none"/>
          <w:lang w:val="en-US" w:eastAsia="zh-CN"/>
        </w:rPr>
      </w:pPr>
      <w:r>
        <w:rPr>
          <w:rFonts w:hint="eastAsia" w:ascii="仿宋" w:hAnsi="仿宋" w:eastAsia="仿宋" w:cs="仿宋"/>
          <w:b w:val="0"/>
          <w:bCs w:val="0"/>
          <w:sz w:val="24"/>
          <w:lang w:val="en-US" w:eastAsia="zh-CN"/>
        </w:rPr>
        <w:t>（4）受托人为机构员工的，应提交身份证等个人有效证件复印件及员工证明原件</w:t>
      </w:r>
      <w:r>
        <w:rPr>
          <w:rFonts w:hint="eastAsia" w:ascii="仿宋" w:hAnsi="仿宋" w:eastAsia="仿宋"/>
          <w:color w:val="auto"/>
          <w:sz w:val="24"/>
          <w:szCs w:val="24"/>
          <w:highlight w:val="none"/>
        </w:rPr>
        <w:t>（加盖</w:t>
      </w:r>
      <w:r>
        <w:rPr>
          <w:rFonts w:hint="eastAsia" w:ascii="仿宋" w:hAnsi="仿宋" w:eastAsia="仿宋"/>
          <w:color w:val="auto"/>
          <w:sz w:val="24"/>
          <w:szCs w:val="24"/>
          <w:highlight w:val="none"/>
          <w:lang w:val="en-US" w:eastAsia="zh-CN"/>
        </w:rPr>
        <w:t>单位</w:t>
      </w:r>
      <w:r>
        <w:rPr>
          <w:rFonts w:hint="eastAsia" w:ascii="仿宋" w:hAnsi="仿宋" w:eastAsia="仿宋"/>
          <w:color w:val="auto"/>
          <w:sz w:val="24"/>
          <w:szCs w:val="24"/>
          <w:highlight w:val="none"/>
        </w:rPr>
        <w:t>公章）</w:t>
      </w:r>
      <w:r>
        <w:rPr>
          <w:rFonts w:hint="eastAsia" w:ascii="仿宋" w:hAnsi="仿宋" w:eastAsia="仿宋" w:cs="仿宋"/>
          <w:b w:val="0"/>
          <w:bCs w:val="0"/>
          <w:sz w:val="24"/>
          <w:lang w:val="en-US" w:eastAsia="zh-CN"/>
        </w:rPr>
        <w:t>。</w:t>
      </w:r>
    </w:p>
    <w:p w14:paraId="79A5E240">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仿宋" w:hAnsi="仿宋" w:eastAsia="仿宋" w:cs="仿宋"/>
          <w:b/>
          <w:bCs/>
          <w:sz w:val="24"/>
          <w:lang w:val="en-US" w:eastAsia="zh-CN"/>
        </w:rPr>
      </w:pPr>
      <w:r>
        <w:rPr>
          <w:rFonts w:hint="eastAsia" w:ascii="仿宋" w:hAnsi="仿宋" w:eastAsia="仿宋"/>
          <w:b/>
          <w:bCs/>
          <w:color w:val="auto"/>
          <w:sz w:val="24"/>
          <w:szCs w:val="24"/>
          <w:highlight w:val="none"/>
          <w:lang w:val="en-US" w:eastAsia="zh-CN"/>
        </w:rPr>
        <w:t>4.</w:t>
      </w:r>
      <w:r>
        <w:rPr>
          <w:rFonts w:hint="eastAsia" w:ascii="仿宋" w:hAnsi="仿宋" w:eastAsia="仿宋"/>
          <w:b/>
          <w:bCs/>
          <w:color w:val="auto"/>
          <w:sz w:val="24"/>
          <w:szCs w:val="24"/>
          <w:highlight w:val="none"/>
        </w:rPr>
        <w:t>证明债权申报人主体资格的材料</w:t>
      </w:r>
    </w:p>
    <w:p w14:paraId="5DFC04E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（1）债权人为自然人的，应提交本人身份证等个人有效证件复印件。</w:t>
      </w:r>
    </w:p>
    <w:p w14:paraId="079B0815">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（2）债权人为机构的，应提交以下主体证明材料：</w:t>
      </w:r>
    </w:p>
    <w:p w14:paraId="628E44D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i w:val="0"/>
          <w:iCs w:val="0"/>
          <w:sz w:val="24"/>
          <w:u w:val="none"/>
          <w:lang w:val="en-US" w:eastAsia="zh-CN"/>
        </w:rPr>
      </w:pPr>
      <w:r>
        <w:rPr>
          <w:rFonts w:hint="eastAsia" w:ascii="仿宋" w:hAnsi="仿宋" w:eastAsia="仿宋" w:cs="仿宋"/>
          <w:b w:val="0"/>
          <w:bCs w:val="0"/>
          <w:sz w:val="24"/>
          <w:lang w:val="en-US" w:eastAsia="zh-CN"/>
        </w:rPr>
        <w:t>1）有效企业法人营业执照、</w:t>
      </w:r>
      <w:r>
        <w:rPr>
          <w:rFonts w:hint="eastAsia" w:ascii="仿宋" w:hAnsi="仿宋" w:eastAsia="仿宋"/>
          <w:color w:val="auto"/>
          <w:sz w:val="24"/>
          <w:szCs w:val="24"/>
          <w:highlight w:val="none"/>
        </w:rPr>
        <w:t>事业和社会团体法人登记证书、组织机构代码证等</w:t>
      </w:r>
      <w:r>
        <w:rPr>
          <w:rFonts w:hint="eastAsia" w:ascii="仿宋" w:hAnsi="仿宋" w:eastAsia="仿宋" w:cs="仿宋"/>
          <w:b w:val="0"/>
          <w:bCs w:val="0"/>
          <w:sz w:val="24"/>
          <w:lang w:val="en-US" w:eastAsia="zh-CN"/>
        </w:rPr>
        <w:t>复印件</w:t>
      </w:r>
      <w:r>
        <w:rPr>
          <w:rFonts w:hint="eastAsia" w:ascii="仿宋" w:hAnsi="仿宋" w:eastAsia="仿宋"/>
          <w:color w:val="auto"/>
          <w:sz w:val="24"/>
          <w:szCs w:val="24"/>
          <w:highlight w:val="none"/>
        </w:rPr>
        <w:t>（加盖单位公章）</w:t>
      </w:r>
      <w:r>
        <w:rPr>
          <w:rFonts w:hint="eastAsia" w:ascii="仿宋" w:hAnsi="仿宋" w:eastAsia="仿宋"/>
          <w:i w:val="0"/>
          <w:iCs w:val="0"/>
          <w:color w:val="auto"/>
          <w:sz w:val="24"/>
          <w:szCs w:val="24"/>
          <w:highlight w:val="none"/>
          <w:u w:val="none"/>
          <w:lang w:eastAsia="zh-CN"/>
        </w:rPr>
        <w:t>，</w:t>
      </w:r>
      <w:r>
        <w:rPr>
          <w:rFonts w:hint="eastAsia" w:ascii="仿宋" w:hAnsi="仿宋" w:eastAsia="仿宋"/>
          <w:b/>
          <w:i w:val="0"/>
          <w:iCs w:val="0"/>
          <w:color w:val="auto"/>
          <w:sz w:val="24"/>
          <w:szCs w:val="24"/>
          <w:highlight w:val="none"/>
          <w:u w:val="none"/>
        </w:rPr>
        <w:t>如机构债权人名称发生变更的，应提交工商机关出具的名称变更证明</w:t>
      </w:r>
      <w:r>
        <w:rPr>
          <w:rFonts w:hint="eastAsia" w:ascii="仿宋" w:hAnsi="仿宋" w:eastAsia="仿宋"/>
          <w:b/>
          <w:i w:val="0"/>
          <w:iCs w:val="0"/>
          <w:color w:val="auto"/>
          <w:sz w:val="24"/>
          <w:szCs w:val="24"/>
          <w:highlight w:val="none"/>
          <w:u w:val="none"/>
          <w:lang w:val="en-US" w:eastAsia="zh-CN"/>
        </w:rPr>
        <w:t>复印件</w:t>
      </w:r>
      <w:r>
        <w:rPr>
          <w:rFonts w:hint="eastAsia" w:ascii="仿宋" w:hAnsi="仿宋" w:eastAsia="仿宋" w:cs="仿宋"/>
          <w:b w:val="0"/>
          <w:bCs w:val="0"/>
          <w:sz w:val="24"/>
          <w:lang w:val="en-US" w:eastAsia="zh-CN"/>
        </w:rPr>
        <w:t>；</w:t>
      </w:r>
    </w:p>
    <w:p w14:paraId="22A790E9">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2）法定代表人或负责人身份证明书原件；</w:t>
      </w:r>
    </w:p>
    <w:p w14:paraId="48129020">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3）法定代表人或负责人身份证等个人有效证件复印件。</w:t>
      </w:r>
    </w:p>
    <w:p w14:paraId="0968DC12">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黑体" w:hAnsi="黑体" w:eastAsia="黑体" w:cs="黑体"/>
          <w:b/>
          <w:bCs/>
          <w:sz w:val="24"/>
          <w:lang w:val="en-US" w:eastAsia="zh-CN"/>
        </w:rPr>
      </w:pPr>
    </w:p>
    <w:p w14:paraId="09DD3AC2">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黑体" w:hAnsi="黑体" w:eastAsia="黑体" w:cs="黑体"/>
          <w:b/>
          <w:bCs/>
          <w:sz w:val="24"/>
        </w:rPr>
      </w:pPr>
      <w:r>
        <w:rPr>
          <w:rFonts w:hint="eastAsia" w:ascii="黑体" w:hAnsi="黑体" w:eastAsia="黑体" w:cs="黑体"/>
          <w:b/>
          <w:bCs/>
          <w:sz w:val="24"/>
          <w:lang w:val="en-US" w:eastAsia="zh-CN"/>
        </w:rPr>
        <w:t>四</w:t>
      </w:r>
      <w:r>
        <w:rPr>
          <w:rFonts w:hint="eastAsia" w:ascii="黑体" w:hAnsi="黑体" w:eastAsia="黑体" w:cs="黑体"/>
          <w:b/>
          <w:bCs/>
          <w:sz w:val="24"/>
        </w:rPr>
        <w:t>、特别提示</w:t>
      </w:r>
    </w:p>
    <w:p w14:paraId="6EE02429">
      <w:pPr>
        <w:pStyle w:val="7"/>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ascii="仿宋" w:hAnsi="仿宋" w:eastAsia="仿宋"/>
          <w:color w:val="auto"/>
          <w:sz w:val="24"/>
          <w:szCs w:val="24"/>
          <w:highlight w:val="none"/>
        </w:rPr>
      </w:pPr>
      <w:r>
        <w:rPr>
          <w:rFonts w:hint="eastAsia" w:ascii="仿宋" w:hAnsi="仿宋" w:eastAsia="仿宋"/>
          <w:color w:val="auto"/>
          <w:sz w:val="24"/>
          <w:szCs w:val="24"/>
          <w:highlight w:val="none"/>
        </w:rPr>
        <w:t>（一）债权人未申报或逾期申报债权的法律后果包括但不限于：</w:t>
      </w:r>
    </w:p>
    <w:p w14:paraId="73E3674E">
      <w:pPr>
        <w:pStyle w:val="7"/>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lang w:eastAsia="zh-CN"/>
        </w:rPr>
        <w:t>在</w:t>
      </w:r>
      <w:r>
        <w:rPr>
          <w:rFonts w:hint="eastAsia" w:ascii="仿宋" w:hAnsi="仿宋" w:eastAsia="仿宋"/>
          <w:color w:val="auto"/>
          <w:sz w:val="24"/>
          <w:szCs w:val="24"/>
          <w:highlight w:val="none"/>
          <w:lang w:val="en-US" w:eastAsia="zh-CN"/>
        </w:rPr>
        <w:t>上述债权申报期报期限内，债权人非因不可归责于自身的事由未</w:t>
      </w:r>
      <w:r>
        <w:rPr>
          <w:rFonts w:ascii="仿宋" w:hAnsi="仿宋" w:eastAsia="仿宋"/>
          <w:color w:val="auto"/>
          <w:sz w:val="24"/>
          <w:szCs w:val="24"/>
          <w:highlight w:val="none"/>
        </w:rPr>
        <w:t>申报债权的，</w:t>
      </w:r>
      <w:r>
        <w:rPr>
          <w:rFonts w:hint="eastAsia" w:ascii="仿宋" w:hAnsi="仿宋" w:eastAsia="仿宋" w:cs="仿宋"/>
          <w:b w:val="0"/>
          <w:bCs w:val="0"/>
          <w:sz w:val="24"/>
          <w:lang w:val="en-US" w:eastAsia="zh-CN"/>
        </w:rPr>
        <w:t>不得依照《深圳经济特区个人破产条例》规定的程序行使权利。</w:t>
      </w:r>
    </w:p>
    <w:p w14:paraId="340EAA52">
      <w:pPr>
        <w:pStyle w:val="7"/>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2.</w:t>
      </w:r>
      <w:r>
        <w:rPr>
          <w:rFonts w:hint="eastAsia" w:ascii="仿宋" w:hAnsi="仿宋" w:eastAsia="仿宋"/>
          <w:color w:val="auto"/>
          <w:sz w:val="24"/>
          <w:szCs w:val="24"/>
          <w:highlight w:val="none"/>
        </w:rPr>
        <w:t>债权人</w:t>
      </w:r>
      <w:r>
        <w:rPr>
          <w:rFonts w:hint="eastAsia" w:ascii="仿宋" w:hAnsi="仿宋" w:eastAsia="仿宋"/>
          <w:color w:val="auto"/>
          <w:sz w:val="24"/>
          <w:szCs w:val="24"/>
          <w:highlight w:val="none"/>
          <w:lang w:val="en-US" w:eastAsia="zh-CN"/>
        </w:rPr>
        <w:t>非因不可归责于自身的事由</w:t>
      </w:r>
      <w:r>
        <w:rPr>
          <w:rFonts w:hint="eastAsia" w:ascii="仿宋" w:hAnsi="仿宋" w:eastAsia="仿宋"/>
          <w:color w:val="auto"/>
          <w:sz w:val="24"/>
          <w:szCs w:val="24"/>
          <w:highlight w:val="none"/>
        </w:rPr>
        <w:t>超过</w:t>
      </w:r>
      <w:r>
        <w:rPr>
          <w:rFonts w:hint="eastAsia" w:ascii="仿宋" w:hAnsi="仿宋" w:eastAsia="仿宋"/>
          <w:color w:val="auto"/>
          <w:sz w:val="24"/>
          <w:szCs w:val="24"/>
          <w:highlight w:val="none"/>
          <w:lang w:val="en-US" w:eastAsia="zh-CN"/>
        </w:rPr>
        <w:t>上述</w:t>
      </w:r>
      <w:r>
        <w:rPr>
          <w:rFonts w:ascii="仿宋" w:hAnsi="仿宋" w:eastAsia="仿宋"/>
          <w:color w:val="auto"/>
          <w:sz w:val="24"/>
          <w:szCs w:val="24"/>
          <w:highlight w:val="none"/>
        </w:rPr>
        <w:t>债权申报期限</w:t>
      </w:r>
      <w:r>
        <w:rPr>
          <w:rFonts w:hint="eastAsia" w:ascii="仿宋" w:hAnsi="仿宋" w:eastAsia="仿宋"/>
          <w:color w:val="auto"/>
          <w:sz w:val="24"/>
          <w:szCs w:val="24"/>
          <w:highlight w:val="none"/>
        </w:rPr>
        <w:t>申报</w:t>
      </w:r>
      <w:r>
        <w:rPr>
          <w:rFonts w:hint="eastAsia" w:ascii="仿宋" w:hAnsi="仿宋" w:eastAsia="仿宋"/>
          <w:color w:val="auto"/>
          <w:sz w:val="24"/>
          <w:szCs w:val="24"/>
          <w:highlight w:val="none"/>
          <w:lang w:val="en-US" w:eastAsia="zh-CN"/>
        </w:rPr>
        <w:t>债权</w:t>
      </w:r>
      <w:r>
        <w:rPr>
          <w:rFonts w:hint="eastAsia" w:ascii="仿宋" w:hAnsi="仿宋" w:eastAsia="仿宋"/>
          <w:color w:val="auto"/>
          <w:sz w:val="24"/>
          <w:szCs w:val="24"/>
          <w:highlight w:val="none"/>
        </w:rPr>
        <w:t>的</w:t>
      </w:r>
      <w:r>
        <w:rPr>
          <w:rFonts w:ascii="仿宋" w:hAnsi="仿宋" w:eastAsia="仿宋"/>
          <w:color w:val="auto"/>
          <w:sz w:val="24"/>
          <w:szCs w:val="24"/>
          <w:highlight w:val="none"/>
        </w:rPr>
        <w:t>，可以在</w:t>
      </w:r>
      <w:r>
        <w:rPr>
          <w:rFonts w:hint="eastAsia" w:ascii="仿宋" w:hAnsi="仿宋" w:eastAsia="仿宋"/>
          <w:color w:val="auto"/>
          <w:sz w:val="24"/>
          <w:szCs w:val="24"/>
          <w:highlight w:val="none"/>
          <w:lang w:val="en-US" w:eastAsia="zh-CN"/>
        </w:rPr>
        <w:t>破产</w:t>
      </w:r>
      <w:r>
        <w:rPr>
          <w:rFonts w:ascii="仿宋" w:hAnsi="仿宋" w:eastAsia="仿宋"/>
          <w:color w:val="auto"/>
          <w:sz w:val="24"/>
          <w:szCs w:val="24"/>
          <w:highlight w:val="none"/>
        </w:rPr>
        <w:t>财产</w:t>
      </w:r>
      <w:r>
        <w:rPr>
          <w:rFonts w:hint="eastAsia" w:ascii="仿宋" w:hAnsi="仿宋" w:eastAsia="仿宋"/>
          <w:color w:val="auto"/>
          <w:sz w:val="24"/>
          <w:szCs w:val="24"/>
          <w:highlight w:val="none"/>
          <w:lang w:val="en-US" w:eastAsia="zh-CN"/>
        </w:rPr>
        <w:t>最后</w:t>
      </w:r>
      <w:r>
        <w:rPr>
          <w:rFonts w:ascii="仿宋" w:hAnsi="仿宋" w:eastAsia="仿宋"/>
          <w:color w:val="auto"/>
          <w:sz w:val="24"/>
          <w:szCs w:val="24"/>
          <w:highlight w:val="none"/>
        </w:rPr>
        <w:t>分配</w:t>
      </w:r>
      <w:r>
        <w:rPr>
          <w:rFonts w:hint="eastAsia" w:ascii="仿宋" w:hAnsi="仿宋" w:eastAsia="仿宋"/>
          <w:color w:val="auto"/>
          <w:sz w:val="24"/>
          <w:szCs w:val="24"/>
          <w:highlight w:val="none"/>
          <w:lang w:val="en-US" w:eastAsia="zh-CN"/>
        </w:rPr>
        <w:t>时或者重整计划执行前</w:t>
      </w:r>
      <w:r>
        <w:rPr>
          <w:rFonts w:ascii="仿宋" w:hAnsi="仿宋" w:eastAsia="仿宋"/>
          <w:color w:val="auto"/>
          <w:sz w:val="24"/>
          <w:szCs w:val="24"/>
          <w:highlight w:val="none"/>
        </w:rPr>
        <w:t>补充申报；但是，此前已分配</w:t>
      </w:r>
      <w:r>
        <w:rPr>
          <w:rFonts w:hint="eastAsia" w:ascii="仿宋" w:hAnsi="仿宋" w:eastAsia="仿宋"/>
          <w:color w:val="auto"/>
          <w:sz w:val="24"/>
          <w:szCs w:val="24"/>
          <w:highlight w:val="none"/>
          <w:lang w:val="en-US" w:eastAsia="zh-CN"/>
        </w:rPr>
        <w:t>或者执行完毕的部分</w:t>
      </w:r>
      <w:r>
        <w:rPr>
          <w:rFonts w:ascii="仿宋" w:hAnsi="仿宋" w:eastAsia="仿宋"/>
          <w:color w:val="auto"/>
          <w:sz w:val="24"/>
          <w:szCs w:val="24"/>
          <w:highlight w:val="none"/>
        </w:rPr>
        <w:t>，不再对其补充分配。为审查和确认补充申报债权</w:t>
      </w:r>
      <w:r>
        <w:rPr>
          <w:rFonts w:hint="eastAsia" w:ascii="仿宋" w:hAnsi="仿宋" w:eastAsia="仿宋"/>
          <w:color w:val="auto"/>
          <w:sz w:val="24"/>
          <w:szCs w:val="24"/>
          <w:highlight w:val="none"/>
        </w:rPr>
        <w:t>产生</w:t>
      </w:r>
      <w:r>
        <w:rPr>
          <w:rFonts w:ascii="仿宋" w:hAnsi="仿宋" w:eastAsia="仿宋"/>
          <w:color w:val="auto"/>
          <w:sz w:val="24"/>
          <w:szCs w:val="24"/>
          <w:highlight w:val="none"/>
        </w:rPr>
        <w:t>的费用，由补充申报</w:t>
      </w:r>
      <w:r>
        <w:rPr>
          <w:rFonts w:hint="eastAsia" w:ascii="仿宋" w:hAnsi="仿宋" w:eastAsia="仿宋"/>
          <w:color w:val="auto"/>
          <w:sz w:val="24"/>
          <w:szCs w:val="24"/>
          <w:highlight w:val="none"/>
          <w:lang w:eastAsia="zh-CN"/>
        </w:rPr>
        <w:t>的</w:t>
      </w:r>
      <w:r>
        <w:rPr>
          <w:rFonts w:hint="eastAsia" w:ascii="仿宋" w:hAnsi="仿宋" w:eastAsia="仿宋"/>
          <w:color w:val="auto"/>
          <w:sz w:val="24"/>
          <w:szCs w:val="24"/>
          <w:highlight w:val="none"/>
          <w:lang w:val="en-US" w:eastAsia="zh-CN"/>
        </w:rPr>
        <w:t>债权人</w:t>
      </w:r>
      <w:r>
        <w:rPr>
          <w:rFonts w:ascii="仿宋" w:hAnsi="仿宋" w:eastAsia="仿宋"/>
          <w:color w:val="auto"/>
          <w:sz w:val="24"/>
          <w:szCs w:val="24"/>
          <w:highlight w:val="none"/>
        </w:rPr>
        <w:t>承担。</w:t>
      </w:r>
    </w:p>
    <w:p w14:paraId="7A197A3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rPr>
      </w:pPr>
      <w:r>
        <w:rPr>
          <w:rFonts w:hint="eastAsia" w:ascii="仿宋" w:hAnsi="仿宋" w:eastAsia="仿宋" w:cs="仿宋"/>
          <w:sz w:val="24"/>
          <w:lang w:eastAsia="zh-CN"/>
        </w:rPr>
        <w:t>（</w:t>
      </w:r>
      <w:r>
        <w:rPr>
          <w:rFonts w:hint="eastAsia" w:ascii="仿宋" w:hAnsi="仿宋" w:eastAsia="仿宋" w:cs="仿宋"/>
          <w:sz w:val="24"/>
          <w:lang w:val="en-US" w:eastAsia="zh-CN"/>
        </w:rPr>
        <w:t>二</w:t>
      </w:r>
      <w:r>
        <w:rPr>
          <w:rFonts w:hint="eastAsia" w:ascii="仿宋" w:hAnsi="仿宋" w:eastAsia="仿宋" w:cs="仿宋"/>
          <w:sz w:val="24"/>
          <w:lang w:eastAsia="zh-CN"/>
        </w:rPr>
        <w:t>）</w:t>
      </w:r>
      <w:r>
        <w:rPr>
          <w:rFonts w:hint="eastAsia" w:ascii="仿宋" w:hAnsi="仿宋" w:eastAsia="仿宋" w:cs="仿宋"/>
          <w:sz w:val="24"/>
        </w:rPr>
        <w:t>各债权人必须如实申报债权，否则将需承担《最高人民法院、最高人民检察院关于办理虚假诉讼刑事案件适用法律若干问题的解释》等规定</w:t>
      </w:r>
      <w:r>
        <w:rPr>
          <w:rFonts w:hint="eastAsia" w:ascii="仿宋" w:hAnsi="仿宋" w:eastAsia="仿宋" w:cs="仿宋"/>
          <w:sz w:val="24"/>
          <w:lang w:eastAsia="zh-CN"/>
        </w:rPr>
        <w:t>的</w:t>
      </w:r>
      <w:r>
        <w:rPr>
          <w:rFonts w:hint="eastAsia" w:ascii="仿宋" w:hAnsi="仿宋" w:eastAsia="仿宋" w:cs="仿宋"/>
          <w:sz w:val="24"/>
        </w:rPr>
        <w:t>法律责任。</w:t>
      </w:r>
    </w:p>
    <w:p w14:paraId="3B8D7A86">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righ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陈淳彬、孔嘉瑶破产管理人</w:t>
      </w:r>
    </w:p>
    <w:p w14:paraId="5791F258">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right"/>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二〇二五年四月二十五</w:t>
      </w:r>
      <w:bookmarkStart w:id="0" w:name="_GoBack"/>
      <w:bookmarkEnd w:id="0"/>
      <w:r>
        <w:rPr>
          <w:rFonts w:hint="eastAsia" w:ascii="仿宋" w:hAnsi="仿宋" w:eastAsia="仿宋" w:cs="仿宋"/>
          <w:sz w:val="24"/>
          <w:lang w:val="en-US" w:eastAsia="zh-CN"/>
        </w:rPr>
        <w:t>日</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BEB912">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890DFE">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B890DFE">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wNDRhZDc2YTBkMjc2ZWYwNGFkYzUwNDMwMzBjNDkifQ=="/>
  </w:docVars>
  <w:rsids>
    <w:rsidRoot w:val="05597BB8"/>
    <w:rsid w:val="00011105"/>
    <w:rsid w:val="001518A4"/>
    <w:rsid w:val="01B1169C"/>
    <w:rsid w:val="03903CEB"/>
    <w:rsid w:val="03BA5C1D"/>
    <w:rsid w:val="04904004"/>
    <w:rsid w:val="04A708D5"/>
    <w:rsid w:val="05597BB8"/>
    <w:rsid w:val="0680705F"/>
    <w:rsid w:val="082B5A6E"/>
    <w:rsid w:val="087325EF"/>
    <w:rsid w:val="091962D3"/>
    <w:rsid w:val="09F07B25"/>
    <w:rsid w:val="0A286115"/>
    <w:rsid w:val="0A845638"/>
    <w:rsid w:val="0CA44853"/>
    <w:rsid w:val="0E294810"/>
    <w:rsid w:val="0F701273"/>
    <w:rsid w:val="10FF3C5E"/>
    <w:rsid w:val="11C02A02"/>
    <w:rsid w:val="135148CB"/>
    <w:rsid w:val="13DE3253"/>
    <w:rsid w:val="147F0B94"/>
    <w:rsid w:val="14E154D4"/>
    <w:rsid w:val="16C91F6A"/>
    <w:rsid w:val="16D62477"/>
    <w:rsid w:val="17FB3C79"/>
    <w:rsid w:val="19797CA6"/>
    <w:rsid w:val="1BA244F7"/>
    <w:rsid w:val="1D5649D9"/>
    <w:rsid w:val="1E3B602A"/>
    <w:rsid w:val="1EE9464A"/>
    <w:rsid w:val="237F623C"/>
    <w:rsid w:val="23E978B5"/>
    <w:rsid w:val="244D1A3B"/>
    <w:rsid w:val="253A3D07"/>
    <w:rsid w:val="25C87A8D"/>
    <w:rsid w:val="26217ED3"/>
    <w:rsid w:val="26866504"/>
    <w:rsid w:val="2740020E"/>
    <w:rsid w:val="278F4E8D"/>
    <w:rsid w:val="28744ED3"/>
    <w:rsid w:val="29EC6282"/>
    <w:rsid w:val="2A181AB8"/>
    <w:rsid w:val="2A1F6DD5"/>
    <w:rsid w:val="2A8B6B30"/>
    <w:rsid w:val="2B1943D1"/>
    <w:rsid w:val="2D3B3620"/>
    <w:rsid w:val="2E2C4D18"/>
    <w:rsid w:val="2E391C4E"/>
    <w:rsid w:val="2E7D66CC"/>
    <w:rsid w:val="310E1AFE"/>
    <w:rsid w:val="323D7C6C"/>
    <w:rsid w:val="33FC7CF2"/>
    <w:rsid w:val="343633F8"/>
    <w:rsid w:val="346C5711"/>
    <w:rsid w:val="348A66A1"/>
    <w:rsid w:val="38A479A5"/>
    <w:rsid w:val="39223568"/>
    <w:rsid w:val="39965235"/>
    <w:rsid w:val="3B5F5F0D"/>
    <w:rsid w:val="3C594290"/>
    <w:rsid w:val="3E592DEA"/>
    <w:rsid w:val="3EC01761"/>
    <w:rsid w:val="3F274A16"/>
    <w:rsid w:val="3F2A0050"/>
    <w:rsid w:val="3FB53538"/>
    <w:rsid w:val="40476DE2"/>
    <w:rsid w:val="405A1038"/>
    <w:rsid w:val="40F9346F"/>
    <w:rsid w:val="437D7863"/>
    <w:rsid w:val="44854A14"/>
    <w:rsid w:val="462B0ED5"/>
    <w:rsid w:val="4CCC6BB9"/>
    <w:rsid w:val="4D3C1D6F"/>
    <w:rsid w:val="4F0B78F2"/>
    <w:rsid w:val="4FB41F69"/>
    <w:rsid w:val="50B9517E"/>
    <w:rsid w:val="562E5A25"/>
    <w:rsid w:val="5A2D05FA"/>
    <w:rsid w:val="5A696FA1"/>
    <w:rsid w:val="5B185A07"/>
    <w:rsid w:val="601B418A"/>
    <w:rsid w:val="614E58C4"/>
    <w:rsid w:val="62BA1053"/>
    <w:rsid w:val="63E77FB7"/>
    <w:rsid w:val="64962FB9"/>
    <w:rsid w:val="67151AF6"/>
    <w:rsid w:val="67855692"/>
    <w:rsid w:val="67BF3AC7"/>
    <w:rsid w:val="681B22FD"/>
    <w:rsid w:val="68E67C21"/>
    <w:rsid w:val="6988073C"/>
    <w:rsid w:val="69A10BF3"/>
    <w:rsid w:val="6B39116A"/>
    <w:rsid w:val="6F4A28D1"/>
    <w:rsid w:val="73311490"/>
    <w:rsid w:val="73B277F2"/>
    <w:rsid w:val="74B238C7"/>
    <w:rsid w:val="759158D1"/>
    <w:rsid w:val="7BA7215E"/>
    <w:rsid w:val="7E79269B"/>
    <w:rsid w:val="7EB378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列出段落1"/>
    <w:basedOn w:val="1"/>
    <w:autoRedefine/>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2320</Words>
  <Characters>2376</Characters>
  <Lines>0</Lines>
  <Paragraphs>0</Paragraphs>
  <TotalTime>5</TotalTime>
  <ScaleCrop>false</ScaleCrop>
  <LinksUpToDate>false</LinksUpToDate>
  <CharactersWithSpaces>2376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2020-10-30T06:03:00Z</dcterms:created>
  <dc:creator>ZHUWJ</dc:creator>
  <cp:lastModifiedBy>ZHUWJ</cp:lastModifiedBy>
  <cp:lastPrinted>2021-05-21T11:46:00Z</cp:lastPrinted>
  <dcterms:modified xsi:type="dcterms:W3CDTF">2025-04-25T13:34:18Z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94691C3A2FBE4DE8842130F4BFDD5D77</vt:lpwstr>
  </property>
  <property fmtid="{D5CDD505-2E9C-101B-9397-08002B2CF9AE}" pid="4" name="KSOTemplateDocerSaveRecord">
    <vt:lpwstr>eyJoZGlkIjoiZWUwNDRhZDc2YTBkMjc2ZWYwNGFkYzUwNDMwMzBjNDkiLCJ1c2VySWQiOiIxMDAzMzQ2ODI3In0=</vt:lpwstr>
  </property>
</Properties>
</file>