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0B19F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44"/>
          <w:szCs w:val="44"/>
        </w:rPr>
      </w:pPr>
      <w:r>
        <w:rPr>
          <w:rFonts w:hint="eastAsia" w:ascii="黑体" w:hAnsi="宋体" w:eastAsia="黑体" w:cs="黑体"/>
          <w:b/>
          <w:bCs/>
          <w:i w:val="0"/>
          <w:iCs w:val="0"/>
          <w:caps w:val="0"/>
          <w:color w:val="000000"/>
          <w:spacing w:val="8"/>
          <w:sz w:val="44"/>
          <w:szCs w:val="44"/>
          <w:lang w:eastAsia="zh-CN"/>
        </w:rPr>
        <w:t>湖南省星空娱乐有限公司</w:t>
      </w:r>
      <w:r>
        <w:rPr>
          <w:rFonts w:ascii="黑体" w:hAnsi="宋体" w:eastAsia="黑体" w:cs="黑体"/>
          <w:b/>
          <w:bCs/>
          <w:i w:val="0"/>
          <w:iCs w:val="0"/>
          <w:caps w:val="0"/>
          <w:color w:val="000000"/>
          <w:spacing w:val="8"/>
          <w:sz w:val="44"/>
          <w:szCs w:val="44"/>
        </w:rPr>
        <w:t>破产清算</w:t>
      </w:r>
      <w:r>
        <w:rPr>
          <w:rFonts w:hint="eastAsia" w:ascii="黑体" w:hAnsi="宋体" w:eastAsia="黑体" w:cs="黑体"/>
          <w:b/>
          <w:bCs/>
          <w:i w:val="0"/>
          <w:iCs w:val="0"/>
          <w:caps w:val="0"/>
          <w:color w:val="000000"/>
          <w:spacing w:val="8"/>
          <w:sz w:val="44"/>
          <w:szCs w:val="44"/>
        </w:rPr>
        <w:t>案</w:t>
      </w:r>
    </w:p>
    <w:p w14:paraId="2708C6F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44"/>
          <w:szCs w:val="44"/>
        </w:rPr>
      </w:pPr>
      <w:r>
        <w:rPr>
          <w:rFonts w:hint="eastAsia" w:ascii="黑体" w:hAnsi="宋体" w:eastAsia="黑体" w:cs="黑体"/>
          <w:b/>
          <w:bCs/>
          <w:i w:val="0"/>
          <w:iCs w:val="0"/>
          <w:caps w:val="0"/>
          <w:color w:val="000000"/>
          <w:spacing w:val="8"/>
          <w:sz w:val="44"/>
          <w:szCs w:val="44"/>
        </w:rPr>
        <w:t>职工债权审查标准及结果公示</w:t>
      </w:r>
    </w:p>
    <w:p w14:paraId="269F0D43">
      <w:pPr>
        <w:kinsoku/>
        <w:spacing w:line="560" w:lineRule="exact"/>
        <w:ind w:left="6" w:firstLine="600" w:firstLineChars="200"/>
        <w:jc w:val="both"/>
        <w:rPr>
          <w:rFonts w:hint="eastAsia" w:ascii="仿宋" w:hAnsi="仿宋" w:eastAsia="仿宋" w:cs="仿宋"/>
          <w:sz w:val="30"/>
          <w:szCs w:val="30"/>
        </w:rPr>
      </w:pPr>
      <w:r>
        <w:rPr>
          <w:rFonts w:hint="eastAsia" w:ascii="仿宋" w:hAnsi="仿宋" w:eastAsia="仿宋" w:cs="仿宋"/>
          <w:sz w:val="30"/>
          <w:szCs w:val="30"/>
        </w:rPr>
        <w:t>湖南省靖州苗族侗族自治县人民法院根据靖州县湖南省星空娱乐有限公司的申请，于2024年10月29日作出（2024）湘1229破申5号裁定书，裁定受理湖南省星空娱乐有限公司（以下简称“星空娱乐公司”）的破产清算申请，并于2024年12月10日作出（2024）湘1229破5号决定书，指定湖南怀天律师事务所担任星空娱乐公司管理人。</w:t>
      </w:r>
    </w:p>
    <w:p w14:paraId="7444D9E1">
      <w:pPr>
        <w:kinsoku/>
        <w:spacing w:line="560" w:lineRule="exact"/>
        <w:ind w:left="6" w:firstLine="600" w:firstLineChars="200"/>
        <w:jc w:val="both"/>
        <w:rPr>
          <w:rFonts w:hint="eastAsia" w:ascii="仿宋" w:hAnsi="仿宋" w:eastAsia="仿宋" w:cs="仿宋"/>
          <w:sz w:val="30"/>
          <w:szCs w:val="30"/>
        </w:rPr>
      </w:pPr>
      <w:r>
        <w:rPr>
          <w:rFonts w:hint="eastAsia" w:ascii="仿宋" w:hAnsi="仿宋" w:eastAsia="仿宋" w:cs="仿宋"/>
          <w:sz w:val="30"/>
          <w:szCs w:val="30"/>
        </w:rPr>
        <w:t>经调查，截至2025年</w:t>
      </w:r>
      <w:r>
        <w:rPr>
          <w:rFonts w:hint="eastAsia" w:ascii="仿宋" w:hAnsi="仿宋" w:eastAsia="仿宋" w:cs="仿宋"/>
          <w:sz w:val="30"/>
          <w:szCs w:val="30"/>
          <w:lang w:val="en-US" w:eastAsia="zh-CN"/>
        </w:rPr>
        <w:t>4</w:t>
      </w:r>
      <w:r>
        <w:rPr>
          <w:rFonts w:hint="eastAsia" w:ascii="仿宋" w:hAnsi="仿宋" w:eastAsia="仿宋" w:cs="仿宋"/>
          <w:sz w:val="30"/>
          <w:szCs w:val="30"/>
        </w:rPr>
        <w:t>月</w:t>
      </w:r>
      <w:r>
        <w:rPr>
          <w:rFonts w:hint="eastAsia" w:ascii="仿宋" w:hAnsi="仿宋" w:eastAsia="仿宋" w:cs="仿宋"/>
          <w:sz w:val="30"/>
          <w:szCs w:val="30"/>
          <w:lang w:val="en-US" w:eastAsia="zh-CN"/>
        </w:rPr>
        <w:t>16</w:t>
      </w:r>
      <w:r>
        <w:rPr>
          <w:rFonts w:hint="eastAsia" w:ascii="仿宋" w:hAnsi="仿宋" w:eastAsia="仿宋" w:cs="仿宋"/>
          <w:sz w:val="30"/>
          <w:szCs w:val="30"/>
        </w:rPr>
        <w:t>日，债务人欠付职工的工资（以上统称职工债权）的总额为19527</w:t>
      </w:r>
      <w:r>
        <w:rPr>
          <w:rFonts w:hint="eastAsia" w:ascii="仿宋" w:hAnsi="仿宋" w:eastAsia="仿宋" w:cs="仿宋"/>
          <w:sz w:val="30"/>
          <w:szCs w:val="30"/>
        </w:rPr>
        <w:tab/>
      </w:r>
      <w:r>
        <w:rPr>
          <w:rFonts w:hint="eastAsia" w:ascii="仿宋" w:hAnsi="仿宋" w:eastAsia="仿宋" w:cs="仿宋"/>
          <w:sz w:val="30"/>
          <w:szCs w:val="30"/>
        </w:rPr>
        <w:t>元（详见职工债权清单）。现根据《企业破产法》第四十八条的规定，对本案中的职工债权审查标准及审查结果予以公示。</w:t>
      </w:r>
    </w:p>
    <w:p w14:paraId="2B844F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sz w:val="30"/>
          <w:szCs w:val="30"/>
        </w:rPr>
      </w:pPr>
      <w:r>
        <w:rPr>
          <w:rFonts w:hint="eastAsia" w:ascii="仿宋" w:hAnsi="仿宋" w:eastAsia="仿宋" w:cs="仿宋"/>
          <w:b/>
          <w:bCs/>
          <w:i w:val="0"/>
          <w:iCs w:val="0"/>
          <w:caps w:val="0"/>
          <w:spacing w:val="8"/>
          <w:sz w:val="30"/>
          <w:szCs w:val="30"/>
        </w:rPr>
        <w:t>一、关于职工债权的审查标准及依据</w:t>
      </w:r>
    </w:p>
    <w:p w14:paraId="04B5DF8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sz w:val="30"/>
          <w:szCs w:val="30"/>
        </w:rPr>
      </w:pPr>
      <w:r>
        <w:rPr>
          <w:rFonts w:hint="eastAsia" w:ascii="仿宋" w:hAnsi="仿宋" w:eastAsia="仿宋" w:cs="仿宋"/>
          <w:b/>
          <w:bCs/>
          <w:i w:val="0"/>
          <w:iCs w:val="0"/>
          <w:caps w:val="0"/>
          <w:spacing w:val="8"/>
          <w:sz w:val="30"/>
          <w:szCs w:val="30"/>
        </w:rPr>
        <w:t>（一）审查方式及依据</w:t>
      </w:r>
    </w:p>
    <w:p w14:paraId="28DF6FC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1.管理人调查确认的职工债权包括截至2024年10月29日欠付的职工工资等款项。</w:t>
      </w:r>
    </w:p>
    <w:p w14:paraId="463075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2.管理人以向社保等行政部门调取的文件和资料、债务人移交的人事档案资料、工资表及职工债权人提供的资料为依据，审查确认用工关系、欠付的职工工资等。</w:t>
      </w:r>
    </w:p>
    <w:p w14:paraId="0C43E1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b/>
          <w:bCs/>
          <w:i w:val="0"/>
          <w:iCs w:val="0"/>
          <w:caps w:val="0"/>
          <w:spacing w:val="8"/>
          <w:sz w:val="30"/>
          <w:szCs w:val="30"/>
        </w:rPr>
      </w:pPr>
      <w:r>
        <w:rPr>
          <w:rFonts w:hint="eastAsia" w:ascii="仿宋" w:hAnsi="仿宋" w:eastAsia="仿宋" w:cs="仿宋"/>
          <w:b/>
          <w:bCs/>
          <w:i w:val="0"/>
          <w:iCs w:val="0"/>
          <w:caps w:val="0"/>
          <w:spacing w:val="8"/>
          <w:sz w:val="30"/>
          <w:szCs w:val="30"/>
        </w:rPr>
        <w:t>（二）用工关系的审查标准及依据</w:t>
      </w:r>
    </w:p>
    <w:p w14:paraId="7D12E1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highlight w:val="none"/>
          <w:lang w:val="en-US" w:eastAsia="zh-CN" w:bidi="ar-SA"/>
        </w:rPr>
      </w:pPr>
      <w:r>
        <w:rPr>
          <w:rFonts w:hint="eastAsia" w:ascii="仿宋" w:hAnsi="仿宋" w:eastAsia="仿宋" w:cs="仿宋"/>
          <w:kern w:val="2"/>
          <w:sz w:val="30"/>
          <w:szCs w:val="30"/>
          <w:highlight w:val="none"/>
          <w:lang w:val="en-US" w:eastAsia="zh-CN" w:bidi="ar-SA"/>
        </w:rPr>
        <w:t>1.法律依据</w:t>
      </w:r>
    </w:p>
    <w:p w14:paraId="471EC2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highlight w:val="none"/>
          <w:lang w:val="en-US" w:eastAsia="zh-CN" w:bidi="ar-SA"/>
        </w:rPr>
      </w:pPr>
      <w:r>
        <w:rPr>
          <w:rFonts w:hint="eastAsia" w:ascii="仿宋" w:hAnsi="仿宋" w:eastAsia="仿宋" w:cs="仿宋"/>
          <w:kern w:val="2"/>
          <w:sz w:val="30"/>
          <w:szCs w:val="30"/>
          <w:highlight w:val="none"/>
          <w:lang w:val="en-US" w:eastAsia="zh-CN" w:bidi="ar-SA"/>
        </w:rPr>
        <w:t>（1）《劳动合同法》第七条规定：“用人单位自用工之日起即与劳动者建立劳动关系。"”</w:t>
      </w:r>
    </w:p>
    <w:p w14:paraId="553B9E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highlight w:val="none"/>
          <w:lang w:val="en-US" w:eastAsia="zh-CN" w:bidi="ar-SA"/>
        </w:rPr>
      </w:pPr>
      <w:r>
        <w:rPr>
          <w:rFonts w:hint="eastAsia" w:ascii="仿宋" w:hAnsi="仿宋" w:eastAsia="仿宋" w:cs="仿宋"/>
          <w:kern w:val="2"/>
          <w:sz w:val="30"/>
          <w:szCs w:val="30"/>
          <w:highlight w:val="none"/>
          <w:lang w:val="en-US" w:eastAsia="zh-CN" w:bidi="ar-SA"/>
        </w:rPr>
        <w:t>（2）《劳动合同法实施条例》第十条规定：“已建立劳动关系，未同时订立书面劳动合同的，应当自用工之日起一个月内订立”</w:t>
      </w:r>
    </w:p>
    <w:p w14:paraId="23AB5C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highlight w:val="none"/>
          <w:lang w:val="en-US" w:eastAsia="zh-CN" w:bidi="ar-SA"/>
        </w:rPr>
      </w:pPr>
      <w:r>
        <w:rPr>
          <w:rFonts w:hint="eastAsia" w:ascii="仿宋" w:hAnsi="仿宋" w:eastAsia="仿宋" w:cs="仿宋"/>
          <w:kern w:val="2"/>
          <w:sz w:val="30"/>
          <w:szCs w:val="30"/>
          <w:highlight w:val="none"/>
          <w:lang w:val="en-US" w:eastAsia="zh-CN" w:bidi="ar-SA"/>
        </w:rPr>
        <w:t>（3）《劳动争议调解仲裁法》第六条规定：“与争议事项有关的证据属于用人单位掌握管理的，用人单位应当提供；用人单位不提供的，应当承担不利后果。”</w:t>
      </w:r>
    </w:p>
    <w:p w14:paraId="51EDA45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highlight w:val="red"/>
          <w:lang w:val="en-US" w:eastAsia="zh-CN" w:bidi="ar-SA"/>
        </w:rPr>
      </w:pPr>
      <w:r>
        <w:rPr>
          <w:rFonts w:hint="eastAsia" w:ascii="仿宋" w:hAnsi="仿宋" w:eastAsia="仿宋" w:cs="仿宋"/>
          <w:kern w:val="2"/>
          <w:sz w:val="30"/>
          <w:szCs w:val="30"/>
          <w:highlight w:val="none"/>
          <w:lang w:val="en-US" w:eastAsia="zh-CN" w:bidi="ar-SA"/>
        </w:rPr>
        <w:t>（4）《最高人民法院关于审理劳动争议案件适用法律问题的解释（一）》（法释〔2020〕26号）第四十四条规定：“劳动者主张与用人单位存在劳动关系的，应当提交初步证据。用人单位否认的，应提供相反证据。”</w:t>
      </w:r>
    </w:p>
    <w:p w14:paraId="3135F8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2.审查标准</w:t>
      </w:r>
    </w:p>
    <w:p w14:paraId="055F69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highlight w:val="none"/>
          <w:lang w:val="en-US" w:eastAsia="zh-CN" w:bidi="ar-SA"/>
        </w:rPr>
        <w:t>（1）《关于确立劳动关系有关事项的通知》（劳社部发〔2005〕12号）第一条，明确事实劳动关系的三要件：1、用人单位和劳动者符合法定主体资格；2、劳动者受用人单位管理，从事有报酬的劳动；3、劳动者提供的劳动是用人单位业务的组成部分。第二条列举可证明劳动关系的证据：1、工资支付凭证/记录（银行流水、工资条等）2、社保缴纳记录；3、工作证、服务证等身份证明4、考勤记录；5、其他劳动者证言等。</w:t>
      </w:r>
    </w:p>
    <w:p w14:paraId="027948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b/>
          <w:bCs/>
          <w:i w:val="0"/>
          <w:iCs w:val="0"/>
          <w:caps w:val="0"/>
          <w:spacing w:val="8"/>
          <w:sz w:val="30"/>
          <w:szCs w:val="30"/>
        </w:rPr>
      </w:pPr>
      <w:r>
        <w:rPr>
          <w:rFonts w:hint="eastAsia" w:ascii="仿宋" w:hAnsi="仿宋" w:eastAsia="仿宋" w:cs="仿宋"/>
          <w:b/>
          <w:bCs/>
          <w:i w:val="0"/>
          <w:iCs w:val="0"/>
          <w:caps w:val="0"/>
          <w:spacing w:val="8"/>
          <w:sz w:val="30"/>
          <w:szCs w:val="30"/>
          <w:lang w:val="en-US" w:eastAsia="zh-CN"/>
        </w:rPr>
        <w:t>二</w:t>
      </w:r>
      <w:r>
        <w:rPr>
          <w:rFonts w:hint="eastAsia" w:ascii="仿宋" w:hAnsi="仿宋" w:eastAsia="仿宋" w:cs="仿宋"/>
          <w:b/>
          <w:bCs/>
          <w:i w:val="0"/>
          <w:iCs w:val="0"/>
          <w:caps w:val="0"/>
          <w:spacing w:val="8"/>
          <w:sz w:val="30"/>
          <w:szCs w:val="30"/>
        </w:rPr>
        <w:t>、关于职工债权清偿的法律依据</w:t>
      </w:r>
    </w:p>
    <w:p w14:paraId="4497AC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《企业破产法》第一百一十三条:“破产财产在优先清偿破产费用和共益债务后，依照下列顺序清偿：</w:t>
      </w:r>
    </w:p>
    <w:p w14:paraId="404CB45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（一）破产人所欠职工的工资和医疗、伤残补助、抚恤费用，所欠的应当划入职工个人账户的基本养老保险、基本医疗保险费用，以及法律、行政法规规定应当支付给职工的补偿金；</w:t>
      </w:r>
    </w:p>
    <w:p w14:paraId="1ABF5CC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（二）破产人欠缴的除前项规定以外的社会保险费用和破产人所欠税款；</w:t>
      </w:r>
    </w:p>
    <w:p w14:paraId="3D17D4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（三）普通破产债权。</w:t>
      </w:r>
    </w:p>
    <w:p w14:paraId="014351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破产财产不足以清偿同一顺序的清偿要求的，按照比例分配。”</w:t>
      </w:r>
    </w:p>
    <w:p w14:paraId="2E2FCD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b/>
          <w:bCs/>
          <w:i w:val="0"/>
          <w:iCs w:val="0"/>
          <w:caps w:val="0"/>
          <w:spacing w:val="8"/>
          <w:sz w:val="30"/>
          <w:szCs w:val="30"/>
        </w:rPr>
      </w:pPr>
      <w:r>
        <w:rPr>
          <w:rFonts w:hint="eastAsia" w:ascii="仿宋" w:hAnsi="仿宋" w:eastAsia="仿宋" w:cs="仿宋"/>
          <w:b/>
          <w:bCs/>
          <w:i w:val="0"/>
          <w:iCs w:val="0"/>
          <w:caps w:val="0"/>
          <w:spacing w:val="8"/>
          <w:sz w:val="30"/>
          <w:szCs w:val="30"/>
          <w:lang w:val="en-US" w:eastAsia="zh-CN"/>
        </w:rPr>
        <w:t>三</w:t>
      </w:r>
      <w:r>
        <w:rPr>
          <w:rFonts w:hint="eastAsia" w:ascii="仿宋" w:hAnsi="仿宋" w:eastAsia="仿宋" w:cs="仿宋"/>
          <w:b/>
          <w:bCs/>
          <w:i w:val="0"/>
          <w:iCs w:val="0"/>
          <w:caps w:val="0"/>
          <w:spacing w:val="8"/>
          <w:sz w:val="30"/>
          <w:szCs w:val="30"/>
        </w:rPr>
        <w:t>、关于审查结果的公</w:t>
      </w:r>
      <w:bookmarkStart w:id="0" w:name="_GoBack"/>
      <w:bookmarkEnd w:id="0"/>
      <w:r>
        <w:rPr>
          <w:rFonts w:hint="eastAsia" w:ascii="仿宋" w:hAnsi="仿宋" w:eastAsia="仿宋" w:cs="仿宋"/>
          <w:b/>
          <w:bCs/>
          <w:i w:val="0"/>
          <w:iCs w:val="0"/>
          <w:caps w:val="0"/>
          <w:spacing w:val="8"/>
          <w:sz w:val="30"/>
          <w:szCs w:val="30"/>
        </w:rPr>
        <w:t>示及异议解决</w:t>
      </w:r>
    </w:p>
    <w:p w14:paraId="2815BF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b/>
          <w:bCs/>
          <w:i w:val="0"/>
          <w:iCs w:val="0"/>
          <w:caps w:val="0"/>
          <w:spacing w:val="8"/>
          <w:sz w:val="30"/>
          <w:szCs w:val="30"/>
        </w:rPr>
        <w:t>（一）异议期限。</w:t>
      </w:r>
      <w:r>
        <w:rPr>
          <w:rFonts w:hint="eastAsia" w:ascii="仿宋" w:hAnsi="仿宋" w:eastAsia="仿宋" w:cs="仿宋"/>
          <w:kern w:val="2"/>
          <w:sz w:val="30"/>
          <w:szCs w:val="30"/>
          <w:lang w:val="en-US" w:eastAsia="zh-CN" w:bidi="ar-SA"/>
        </w:rPr>
        <w:t>公示期为7天，自公示之日起算，至2025年4月24日止，职工未在公示期内向管理人提交书面异议的，视为该职工对审查结果予以确认，不得再进行更改。</w:t>
      </w:r>
    </w:p>
    <w:p w14:paraId="06C93B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b/>
          <w:bCs/>
          <w:i w:val="0"/>
          <w:iCs w:val="0"/>
          <w:caps w:val="0"/>
          <w:spacing w:val="8"/>
          <w:sz w:val="30"/>
          <w:szCs w:val="30"/>
        </w:rPr>
        <w:t>（二）异议方式。</w:t>
      </w:r>
      <w:r>
        <w:rPr>
          <w:rFonts w:hint="eastAsia" w:ascii="仿宋" w:hAnsi="仿宋" w:eastAsia="仿宋" w:cs="仿宋"/>
          <w:kern w:val="2"/>
          <w:sz w:val="30"/>
          <w:szCs w:val="30"/>
          <w:lang w:val="en-US" w:eastAsia="zh-CN" w:bidi="ar-SA"/>
        </w:rPr>
        <w:t>职工对公示内容有异议的，可以在公示期内向管理人提交书面异议并附相关证据材料，书面异议应以现场提交或邮寄方式送达管理人办公场所（邮寄/提交地址：湖南省怀化市鹤城区锦溪北路长城大酒店12楼湖南怀天律师事务所。收件人：符昱15115206333 黄振华 18797583888），管理人将在收到书面异议后复核异议内容并予答复，异议属实的，管理人依法予以调整；管理人不予调整的，职工可以向湖南省靖州苗族侗族自治县人民法院提起诉讼。</w:t>
      </w:r>
    </w:p>
    <w:p w14:paraId="0E811C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特此公示。</w:t>
      </w:r>
    </w:p>
    <w:p w14:paraId="3AFEBE3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righ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湖南省星空娱乐有限公司管理人</w:t>
      </w:r>
    </w:p>
    <w:p w14:paraId="7F6CF6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righ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二〇二五年四月十六日</w:t>
      </w:r>
    </w:p>
    <w:p w14:paraId="524A90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752990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7ED155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5110BBC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7ABEE1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0EFA5D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2369386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1A4DB1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3F7F71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0146106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31C545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6857175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kern w:val="2"/>
          <w:sz w:val="30"/>
          <w:szCs w:val="30"/>
          <w:lang w:val="en-US" w:eastAsia="zh-CN" w:bidi="ar-SA"/>
        </w:rPr>
      </w:pPr>
    </w:p>
    <w:p w14:paraId="2CA2E7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33E1EEC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30832D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6381A6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6B487CE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399F2C2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6FAA28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 w:hAnsi="仿宋" w:eastAsia="仿宋" w:cs="仿宋"/>
          <w:kern w:val="2"/>
          <w:sz w:val="30"/>
          <w:szCs w:val="30"/>
          <w:lang w:val="en-US" w:eastAsia="zh-CN" w:bidi="ar-SA"/>
        </w:rPr>
      </w:pPr>
    </w:p>
    <w:p w14:paraId="17EBCF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kern w:val="2"/>
          <w:sz w:val="30"/>
          <w:szCs w:val="30"/>
          <w:lang w:val="en-US" w:eastAsia="zh-CN" w:bidi="ar-SA"/>
        </w:rPr>
      </w:pPr>
    </w:p>
    <w:p w14:paraId="61E180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4"/>
          <w:szCs w:val="24"/>
        </w:rPr>
      </w:pPr>
      <w:r>
        <w:rPr>
          <w:rFonts w:hint="eastAsia" w:ascii="仿宋" w:hAnsi="仿宋" w:eastAsia="仿宋" w:cs="仿宋"/>
          <w:i w:val="0"/>
          <w:iCs w:val="0"/>
          <w:caps w:val="0"/>
          <w:spacing w:val="8"/>
          <w:sz w:val="24"/>
          <w:szCs w:val="24"/>
        </w:rPr>
        <w:t>附件：</w:t>
      </w:r>
      <w:r>
        <w:rPr>
          <w:rFonts w:hint="eastAsia" w:ascii="仿宋" w:hAnsi="仿宋" w:eastAsia="仿宋" w:cs="仿宋"/>
          <w:i w:val="0"/>
          <w:iCs w:val="0"/>
          <w:caps w:val="0"/>
          <w:spacing w:val="8"/>
          <w:sz w:val="24"/>
          <w:szCs w:val="24"/>
          <w:lang w:eastAsia="zh-CN"/>
        </w:rPr>
        <w:t>湖南省星空娱乐有限公司</w:t>
      </w:r>
      <w:r>
        <w:rPr>
          <w:rFonts w:hint="eastAsia" w:ascii="仿宋" w:hAnsi="仿宋" w:eastAsia="仿宋" w:cs="仿宋"/>
          <w:i w:val="0"/>
          <w:iCs w:val="0"/>
          <w:caps w:val="0"/>
          <w:spacing w:val="8"/>
          <w:sz w:val="24"/>
          <w:szCs w:val="24"/>
        </w:rPr>
        <w:t>职工债权清单</w:t>
      </w:r>
    </w:p>
    <w:p w14:paraId="1E2029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pPr>
      <w:r>
        <w:rPr>
          <w:rFonts w:hint="eastAsia" w:ascii="Microsoft YaHei UI" w:hAnsi="Microsoft YaHei UI" w:eastAsia="Microsoft YaHei UI" w:cs="Microsoft YaHei UI"/>
          <w:i w:val="0"/>
          <w:iCs w:val="0"/>
          <w:caps w:val="0"/>
          <w:spacing w:val="8"/>
          <w:kern w:val="0"/>
          <w:sz w:val="21"/>
          <w:szCs w:val="21"/>
          <w:u w:val="none"/>
          <w:lang w:val="en-US" w:eastAsia="zh-CN" w:bidi="ar"/>
        </w:rPr>
        <w:drawing>
          <wp:inline distT="0" distB="0" distL="114300" distR="114300">
            <wp:extent cx="4979035" cy="8846820"/>
            <wp:effectExtent l="0" t="0" r="12065" b="11430"/>
            <wp:docPr id="1" name="图片 1" descr="172a44c0c57bfc9620b1e6dffc345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2a44c0c57bfc9620b1e6dffc345c1"/>
                    <pic:cNvPicPr>
                      <a:picLocks noChangeAspect="1"/>
                    </pic:cNvPicPr>
                  </pic:nvPicPr>
                  <pic:blipFill>
                    <a:blip r:embed="rId4"/>
                    <a:stretch>
                      <a:fillRect/>
                    </a:stretch>
                  </pic:blipFill>
                  <pic:spPr>
                    <a:xfrm>
                      <a:off x="0" y="0"/>
                      <a:ext cx="4979035" cy="8846820"/>
                    </a:xfrm>
                    <a:prstGeom prst="rect">
                      <a:avLst/>
                    </a:prstGeom>
                  </pic:spPr>
                </pic:pic>
              </a:graphicData>
            </a:graphic>
          </wp:inline>
        </w:drawing>
      </w:r>
      <w:r>
        <w:rPr>
          <w:rFonts w:hint="eastAsia" w:ascii="Microsoft YaHei UI" w:hAnsi="Microsoft YaHei UI" w:eastAsia="Microsoft YaHei UI" w:cs="Microsoft YaHei UI"/>
          <w:i w:val="0"/>
          <w:iCs w:val="0"/>
          <w:caps w:val="0"/>
          <w:spacing w:val="8"/>
          <w:kern w:val="0"/>
          <w:sz w:val="21"/>
          <w:szCs w:val="21"/>
          <w:u w:val="none"/>
          <w:lang w:val="en-US" w:eastAsia="zh-CN" w:bidi="ar"/>
        </w:rPr>
        <w:fldChar w:fldCharType="begin"/>
      </w:r>
      <w:r>
        <w:rPr>
          <w:rFonts w:hint="eastAsia" w:ascii="Microsoft YaHei UI" w:hAnsi="Microsoft YaHei UI" w:eastAsia="Microsoft YaHei UI" w:cs="Microsoft YaHei UI"/>
          <w:i w:val="0"/>
          <w:iCs w:val="0"/>
          <w:caps w:val="0"/>
          <w:spacing w:val="8"/>
          <w:kern w:val="0"/>
          <w:sz w:val="21"/>
          <w:szCs w:val="21"/>
          <w:u w:val="none"/>
          <w:lang w:val="en-US" w:eastAsia="zh-CN" w:bidi="ar"/>
        </w:rPr>
        <w:instrText xml:space="preserve"> HYPERLINK "https://mp.weixin.qq.com/javacript:;" </w:instrText>
      </w:r>
      <w:r>
        <w:rPr>
          <w:rFonts w:hint="eastAsia" w:ascii="Microsoft YaHei UI" w:hAnsi="Microsoft YaHei UI" w:eastAsia="Microsoft YaHei UI" w:cs="Microsoft YaHei UI"/>
          <w:i w:val="0"/>
          <w:iCs w:val="0"/>
          <w:caps w:val="0"/>
          <w:spacing w:val="8"/>
          <w:kern w:val="0"/>
          <w:sz w:val="21"/>
          <w:szCs w:val="21"/>
          <w:u w:val="none"/>
          <w:lang w:val="en-US" w:eastAsia="zh-CN" w:bidi="ar"/>
        </w:rPr>
        <w:fldChar w:fldCharType="separate"/>
      </w:r>
      <w:r>
        <w:rPr>
          <w:rFonts w:hint="eastAsia" w:ascii="Microsoft YaHei UI" w:hAnsi="Microsoft YaHei UI" w:eastAsia="Microsoft YaHei UI" w:cs="Microsoft YaHei UI"/>
          <w:i w:val="0"/>
          <w:iCs w:val="0"/>
          <w:caps w:val="0"/>
          <w:spacing w:val="8"/>
          <w:kern w:val="0"/>
          <w:sz w:val="21"/>
          <w:szCs w:val="21"/>
          <w:u w:val="none"/>
          <w:lang w:val="en-US" w:eastAsia="zh-CN" w:bidi="ar"/>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9B52B8"/>
    <w:rsid w:val="02000D46"/>
    <w:rsid w:val="02D55472"/>
    <w:rsid w:val="09E206DA"/>
    <w:rsid w:val="23C5553B"/>
    <w:rsid w:val="255F294F"/>
    <w:rsid w:val="2C3342E6"/>
    <w:rsid w:val="3B9B52B8"/>
    <w:rsid w:val="45D97854"/>
    <w:rsid w:val="4827527D"/>
    <w:rsid w:val="4F4E4E0F"/>
    <w:rsid w:val="5D554FB5"/>
    <w:rsid w:val="5FA056E5"/>
    <w:rsid w:val="69205B28"/>
    <w:rsid w:val="70E46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1538</Words>
  <Characters>1610</Characters>
  <Lines>0</Lines>
  <Paragraphs>0</Paragraphs>
  <TotalTime>6</TotalTime>
  <ScaleCrop>false</ScaleCrop>
  <LinksUpToDate>false</LinksUpToDate>
  <CharactersWithSpaces>1615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2025-03-26T09:23:00Z</dcterms:created>
  <dc:creator>明天</dc:creator>
  <cp:lastModifiedBy>明天</cp:lastModifiedBy>
  <dcterms:modified xsi:type="dcterms:W3CDTF">2025-04-16T15:34:47Z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0ACB848444D24C1688C0F348F5EAC928_11</vt:lpwstr>
  </property>
  <property fmtid="{D5CDD505-2E9C-101B-9397-08002B2CF9AE}" pid="4" name="KSOTemplateDocerSaveRecord">
    <vt:lpwstr>eyJoZGlkIjoiMjM1NzRkOTc0NWVhZGQwMmRmMTJlNGExNzkxNTkyNjUiLCJ1c2VySWQiOiI0MTUwNDgyODAifQ==</vt:lpwstr>
  </property>
</Properties>
</file>