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sz w:val="84"/>
          <w:szCs w:val="84"/>
          <w:lang w:val="en-US" w:eastAsia="zh-CN"/>
        </w:rPr>
        <w:t>关于调整永州市国宇房地产开发有限责任公司债权的公告</w:t>
      </w:r>
    </w:p>
    <w:p>
      <w:pPr>
        <w:keepNext w:val="0"/>
        <w:keepLines w:val="0"/>
        <w:pageBreakBefore w:val="0"/>
        <w:widowControl w:val="0"/>
        <w:kinsoku/>
        <w:wordWrap/>
        <w:overflowPunct/>
        <w:topLinePunct w:val="0"/>
        <w:autoSpaceDE/>
        <w:autoSpaceDN/>
        <w:bidi w:val="0"/>
        <w:adjustRightInd/>
        <w:snapToGrid/>
        <w:spacing w:line="900" w:lineRule="exact"/>
        <w:ind w:left="210" w:leftChars="100" w:right="210" w:rightChars="100"/>
        <w:textAlignment w:val="auto"/>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全体债权人：</w:t>
      </w:r>
    </w:p>
    <w:p>
      <w:pPr>
        <w:keepNext w:val="0"/>
        <w:keepLines w:val="0"/>
        <w:pageBreakBefore w:val="0"/>
        <w:widowControl w:val="0"/>
        <w:kinsoku/>
        <w:wordWrap/>
        <w:overflowPunct/>
        <w:topLinePunct w:val="0"/>
        <w:autoSpaceDE/>
        <w:autoSpaceDN/>
        <w:bidi w:val="0"/>
        <w:adjustRightInd/>
        <w:snapToGrid/>
        <w:spacing w:line="900" w:lineRule="exact"/>
        <w:ind w:left="210" w:leftChars="100" w:right="210" w:rightChars="100" w:firstLine="880" w:firstLineChars="200"/>
        <w:textAlignment w:val="auto"/>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永州市零陵区人民法院于</w:t>
      </w:r>
      <w:r>
        <w:rPr>
          <w:rFonts w:hint="eastAsia" w:ascii="仿宋" w:hAnsi="仿宋" w:eastAsia="仿宋" w:cs="仿宋"/>
          <w:sz w:val="44"/>
          <w:szCs w:val="44"/>
        </w:rPr>
        <w:t>2024年4月29日作出(2024)湘1102破申2号民事裁定书，裁定受理</w:t>
      </w:r>
      <w:r>
        <w:rPr>
          <w:rFonts w:hint="eastAsia" w:ascii="仿宋" w:hAnsi="仿宋" w:eastAsia="仿宋" w:cs="仿宋"/>
          <w:sz w:val="44"/>
          <w:szCs w:val="44"/>
          <w:lang w:val="en-US" w:eastAsia="zh-CN"/>
        </w:rPr>
        <w:t>永州市国宇房地产开发有限责任公司（以下简称“国宇公司”）</w:t>
      </w:r>
      <w:r>
        <w:rPr>
          <w:rFonts w:hint="eastAsia" w:ascii="仿宋" w:hAnsi="仿宋" w:eastAsia="仿宋" w:cs="仿宋"/>
          <w:sz w:val="44"/>
          <w:szCs w:val="44"/>
        </w:rPr>
        <w:t>破产清算，并于</w:t>
      </w:r>
      <w:r>
        <w:rPr>
          <w:rFonts w:hint="eastAsia" w:ascii="仿宋" w:hAnsi="仿宋" w:eastAsia="仿宋" w:cs="仿宋"/>
          <w:sz w:val="44"/>
          <w:szCs w:val="44"/>
          <w:lang w:val="en-US" w:eastAsia="zh-CN"/>
        </w:rPr>
        <w:t>2024年4月30日指定湖南人和人（永州）律师事务所担任破产管理人（以下简称“管理人”）。2025年1月10日，国宇公司召开第一次网络债权人会议，会上管理人作出提请债权人会议核查国宇公司债权的报告，并公布了国宇公司债权表。</w:t>
      </w:r>
    </w:p>
    <w:p>
      <w:pPr>
        <w:keepNext w:val="0"/>
        <w:keepLines w:val="0"/>
        <w:pageBreakBefore w:val="0"/>
        <w:widowControl w:val="0"/>
        <w:kinsoku/>
        <w:wordWrap/>
        <w:overflowPunct/>
        <w:topLinePunct w:val="0"/>
        <w:autoSpaceDE/>
        <w:autoSpaceDN/>
        <w:bidi w:val="0"/>
        <w:adjustRightInd/>
        <w:snapToGrid/>
        <w:spacing w:line="900" w:lineRule="exact"/>
        <w:ind w:left="210" w:leftChars="100" w:right="210" w:rightChars="100" w:firstLine="880" w:firstLineChars="200"/>
        <w:textAlignment w:val="auto"/>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国宇公司第一次债权人会议后部分普通债权人向管理人提出了债权异议，现管理人结合债权的实际情况与法律法规的规定，对国宇公司普通债权进行调整，调整情况详见附表。</w:t>
      </w:r>
    </w:p>
    <w:p>
      <w:pPr>
        <w:keepNext w:val="0"/>
        <w:keepLines w:val="0"/>
        <w:pageBreakBefore w:val="0"/>
        <w:widowControl w:val="0"/>
        <w:kinsoku/>
        <w:wordWrap/>
        <w:overflowPunct/>
        <w:topLinePunct w:val="0"/>
        <w:autoSpaceDE/>
        <w:autoSpaceDN/>
        <w:bidi w:val="0"/>
        <w:adjustRightInd/>
        <w:snapToGrid/>
        <w:spacing w:line="900" w:lineRule="exact"/>
        <w:ind w:left="210" w:leftChars="100" w:right="210" w:rightChars="100" w:firstLine="880" w:firstLineChars="200"/>
        <w:textAlignment w:val="auto"/>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债权人对债权表记载的债权有异议的，应当书面提出并说明理由和法律依据。经管理人解释或调整后，异议人仍然不服的，或者管理人不予解释或调整的，异议人应当在2025年5月13日前向零陵区人民法院提起债权确认诉讼。各债权人对债权表记载的债权无异议的，或未在规定时间内向人民法院提起诉讼的，提请人民法院裁定确认。</w:t>
      </w:r>
    </w:p>
    <w:p>
      <w:pPr>
        <w:keepNext w:val="0"/>
        <w:keepLines w:val="0"/>
        <w:pageBreakBefore w:val="0"/>
        <w:widowControl w:val="0"/>
        <w:kinsoku/>
        <w:wordWrap/>
        <w:overflowPunct/>
        <w:topLinePunct w:val="0"/>
        <w:autoSpaceDE/>
        <w:autoSpaceDN/>
        <w:bidi w:val="0"/>
        <w:adjustRightInd/>
        <w:snapToGrid/>
        <w:spacing w:line="900" w:lineRule="exact"/>
        <w:ind w:left="210" w:leftChars="100" w:right="210" w:rightChars="100" w:firstLine="880" w:firstLineChars="200"/>
        <w:textAlignment w:val="auto"/>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附：《国宇公司普通债权表》</w:t>
      </w:r>
    </w:p>
    <w:p>
      <w:pPr>
        <w:keepNext w:val="0"/>
        <w:keepLines w:val="0"/>
        <w:pageBreakBefore w:val="0"/>
        <w:widowControl w:val="0"/>
        <w:kinsoku/>
        <w:wordWrap/>
        <w:overflowPunct/>
        <w:topLinePunct w:val="0"/>
        <w:autoSpaceDE/>
        <w:autoSpaceDN/>
        <w:bidi w:val="0"/>
        <w:adjustRightInd/>
        <w:snapToGrid/>
        <w:spacing w:line="900" w:lineRule="exact"/>
        <w:ind w:left="210" w:leftChars="100" w:right="210" w:rightChars="100" w:firstLine="880" w:firstLineChars="200"/>
        <w:jc w:val="right"/>
        <w:textAlignment w:val="auto"/>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永州市国宇房地产开发有限责任公司管理人</w:t>
      </w:r>
    </w:p>
    <w:p>
      <w:pPr>
        <w:keepNext w:val="0"/>
        <w:keepLines w:val="0"/>
        <w:pageBreakBefore w:val="0"/>
        <w:widowControl w:val="0"/>
        <w:kinsoku/>
        <w:wordWrap/>
        <w:overflowPunct/>
        <w:topLinePunct w:val="0"/>
        <w:autoSpaceDE/>
        <w:autoSpaceDN/>
        <w:bidi w:val="0"/>
        <w:adjustRightInd/>
        <w:snapToGrid/>
        <w:spacing w:line="900" w:lineRule="exact"/>
        <w:ind w:left="210" w:leftChars="100" w:right="210" w:rightChars="100" w:firstLine="880" w:firstLineChars="200"/>
        <w:jc w:val="right"/>
        <w:textAlignment w:val="auto"/>
        <w:rPr>
          <w:rFonts w:hint="default" w:ascii="仿宋" w:hAnsi="仿宋" w:eastAsia="仿宋" w:cs="仿宋"/>
          <w:sz w:val="44"/>
          <w:szCs w:val="44"/>
          <w:lang w:val="en-US" w:eastAsia="zh-CN"/>
        </w:rPr>
      </w:pPr>
      <w:r>
        <w:rPr>
          <w:rFonts w:hint="eastAsia" w:ascii="仿宋" w:hAnsi="仿宋" w:eastAsia="仿宋" w:cs="仿宋"/>
          <w:sz w:val="44"/>
          <w:szCs w:val="44"/>
          <w:lang w:val="en-US" w:eastAsia="zh-CN"/>
        </w:rPr>
        <w:t>2025年4月27</w:t>
      </w:r>
      <w:bookmarkStart w:id="0" w:name="_GoBack"/>
      <w:bookmarkEnd w:id="0"/>
      <w:r>
        <w:rPr>
          <w:rFonts w:hint="eastAsia" w:ascii="仿宋" w:hAnsi="仿宋" w:eastAsia="仿宋" w:cs="仿宋"/>
          <w:sz w:val="44"/>
          <w:szCs w:val="44"/>
          <w:lang w:val="en-US" w:eastAsia="zh-CN"/>
        </w:rPr>
        <w:t>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p>
    <w:sectPr>
      <w:pgSz w:w="16838" w:h="23811"/>
      <w:pgMar w:top="1803" w:right="1701" w:bottom="1803"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0MjA5NmQ1OWFiNjRiMjcxMmY0NTJlOTVmZTdiYjMifQ=="/>
  </w:docVars>
  <w:rsids>
    <w:rsidRoot w:val="00000000"/>
    <w:rsid w:val="03C77586"/>
    <w:rsid w:val="09C17B2C"/>
    <w:rsid w:val="11A04C0B"/>
    <w:rsid w:val="15413196"/>
    <w:rsid w:val="17367C2F"/>
    <w:rsid w:val="1CEC7274"/>
    <w:rsid w:val="22CA7943"/>
    <w:rsid w:val="26C40B4C"/>
    <w:rsid w:val="3AE36DA4"/>
    <w:rsid w:val="60241B4C"/>
    <w:rsid w:val="744369E2"/>
    <w:rsid w:val="75CD6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2025-04-24T03:45:00Z</dcterms:created>
  <dc:creator>huangjiapeng</dc:creator>
  <cp:lastModifiedBy>三生三世</cp:lastModifiedBy>
  <dcterms:modified xsi:type="dcterms:W3CDTF">2025-04-27T12:28:51Z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FA97F6D8618242778EE0C792019E4E10_12</vt:lpwstr>
  </property>
</Properties>
</file>