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77519E">
      <w:pPr>
        <w:keepNext w:val="0"/>
        <w:keepLines w:val="0"/>
        <w:pageBreakBefore w:val="0"/>
        <w:widowControl w:val="0"/>
        <w:kinsoku/>
        <w:wordWrap w:val="0"/>
        <w:overflowPunct/>
        <w:topLinePunct w:val="0"/>
        <w:autoSpaceDE/>
        <w:autoSpaceDN/>
        <w:bidi w:val="0"/>
        <w:adjustRightInd/>
        <w:snapToGrid w:val="0"/>
        <w:spacing w:line="360" w:lineRule="auto"/>
        <w:jc w:val="right"/>
        <w:textAlignment w:val="auto"/>
        <w:rPr>
          <w:rFonts w:ascii="宋体" w:hAnsi="宋体" w:eastAsia="宋体"/>
          <w:b/>
          <w:sz w:val="21"/>
          <w:szCs w:val="18"/>
        </w:rPr>
      </w:pPr>
      <w:r>
        <w:rPr>
          <w:rFonts w:hint="eastAsia" w:ascii="宋体" w:hAnsi="宋体" w:eastAsia="宋体"/>
          <w:b/>
          <w:szCs w:val="21"/>
        </w:rPr>
        <w:t xml:space="preserve">     </w:t>
      </w:r>
      <w:r>
        <w:rPr>
          <w:rFonts w:hint="eastAsia" w:ascii="仿宋" w:hAnsi="仿宋" w:eastAsia="仿宋" w:cs="仿宋"/>
          <w:b/>
          <w:sz w:val="24"/>
          <w:szCs w:val="24"/>
        </w:rPr>
        <w:t xml:space="preserve"> （202</w:t>
      </w:r>
      <w:r>
        <w:rPr>
          <w:rFonts w:hint="eastAsia" w:ascii="仿宋" w:hAnsi="仿宋" w:eastAsia="仿宋" w:cs="仿宋"/>
          <w:b/>
          <w:sz w:val="24"/>
          <w:szCs w:val="24"/>
          <w:lang w:val="en-US" w:eastAsia="zh-CN"/>
        </w:rPr>
        <w:t>5</w:t>
      </w:r>
      <w:r>
        <w:rPr>
          <w:rFonts w:hint="eastAsia" w:ascii="仿宋" w:hAnsi="仿宋" w:eastAsia="仿宋" w:cs="仿宋"/>
          <w:b/>
          <w:sz w:val="24"/>
          <w:szCs w:val="24"/>
        </w:rPr>
        <w:t>）</w:t>
      </w:r>
      <w:r>
        <w:rPr>
          <w:rFonts w:hint="eastAsia" w:ascii="仿宋" w:hAnsi="仿宋" w:eastAsia="仿宋" w:cs="仿宋"/>
          <w:b/>
          <w:sz w:val="24"/>
          <w:szCs w:val="24"/>
          <w:lang w:val="en-US" w:eastAsia="zh-CN"/>
        </w:rPr>
        <w:t>广源商业</w:t>
      </w:r>
      <w:r>
        <w:rPr>
          <w:rFonts w:hint="eastAsia" w:ascii="仿宋" w:hAnsi="仿宋" w:eastAsia="仿宋" w:cs="仿宋"/>
          <w:b/>
          <w:sz w:val="24"/>
          <w:szCs w:val="24"/>
        </w:rPr>
        <w:t>强清发字第</w:t>
      </w:r>
      <w:r>
        <w:rPr>
          <w:rFonts w:hint="eastAsia" w:ascii="仿宋" w:hAnsi="仿宋" w:eastAsia="仿宋" w:cs="仿宋"/>
          <w:b/>
          <w:sz w:val="24"/>
          <w:szCs w:val="24"/>
          <w:lang w:val="en-US" w:eastAsia="zh-CN"/>
        </w:rPr>
        <w:t>14</w:t>
      </w:r>
      <w:r>
        <w:rPr>
          <w:rFonts w:hint="eastAsia" w:ascii="仿宋" w:hAnsi="仿宋" w:eastAsia="仿宋" w:cs="仿宋"/>
          <w:b/>
          <w:sz w:val="24"/>
          <w:szCs w:val="24"/>
        </w:rPr>
        <w:t>号</w:t>
      </w:r>
    </w:p>
    <w:p w14:paraId="60A48469">
      <w:pPr>
        <w:tabs>
          <w:tab w:val="center" w:pos="4150"/>
          <w:tab w:val="left" w:pos="7063"/>
        </w:tabs>
        <w:spacing w:before="163" w:beforeLines="50" w:line="360" w:lineRule="auto"/>
        <w:jc w:val="center"/>
        <w:rPr>
          <w:rFonts w:ascii="宋体" w:hAnsi="宋体" w:eastAsia="宋体"/>
          <w:b/>
          <w:kern w:val="0"/>
          <w:sz w:val="36"/>
          <w:szCs w:val="36"/>
        </w:rPr>
      </w:pPr>
      <w:r>
        <w:rPr>
          <w:rFonts w:hint="eastAsia" w:ascii="宋体" w:hAnsi="宋体" w:eastAsia="宋体"/>
          <w:b/>
          <w:kern w:val="0"/>
          <w:sz w:val="36"/>
          <w:szCs w:val="36"/>
          <w:lang w:eastAsia="zh-CN"/>
        </w:rPr>
        <w:t>广州市广源商业股份有限公司</w:t>
      </w:r>
      <w:r>
        <w:rPr>
          <w:rFonts w:hint="eastAsia" w:ascii="宋体" w:hAnsi="宋体" w:eastAsia="宋体"/>
          <w:b/>
          <w:kern w:val="0"/>
          <w:sz w:val="36"/>
          <w:szCs w:val="36"/>
        </w:rPr>
        <w:t>清算组</w:t>
      </w:r>
    </w:p>
    <w:p w14:paraId="23C622F5">
      <w:pPr>
        <w:tabs>
          <w:tab w:val="center" w:pos="4150"/>
          <w:tab w:val="left" w:pos="7063"/>
        </w:tabs>
        <w:spacing w:after="163" w:afterLines="50" w:line="360" w:lineRule="auto"/>
        <w:jc w:val="center"/>
        <w:rPr>
          <w:rFonts w:ascii="宋体" w:hAnsi="宋体" w:eastAsia="宋体"/>
          <w:b/>
          <w:kern w:val="0"/>
          <w:sz w:val="32"/>
          <w:szCs w:val="32"/>
        </w:rPr>
      </w:pPr>
      <w:r>
        <w:rPr>
          <w:rFonts w:hint="eastAsia" w:ascii="宋体" w:hAnsi="宋体" w:eastAsia="宋体"/>
          <w:b/>
          <w:kern w:val="0"/>
          <w:sz w:val="36"/>
          <w:szCs w:val="36"/>
          <w:lang w:val="en-US" w:eastAsia="zh-CN"/>
        </w:rPr>
        <w:t>拟</w:t>
      </w:r>
      <w:r>
        <w:rPr>
          <w:rFonts w:hint="eastAsia" w:ascii="宋体" w:hAnsi="宋体" w:eastAsia="宋体"/>
          <w:b/>
          <w:kern w:val="0"/>
          <w:sz w:val="36"/>
          <w:szCs w:val="36"/>
        </w:rPr>
        <w:t>提请终结强制清算程序告知函</w:t>
      </w:r>
    </w:p>
    <w:p w14:paraId="00D42839">
      <w:pPr>
        <w:spacing w:line="360" w:lineRule="auto"/>
        <w:rPr>
          <w:rFonts w:hint="eastAsia" w:ascii="仿宋" w:hAnsi="仿宋" w:eastAsia="仿宋" w:cs="仿宋"/>
          <w:b/>
          <w:color w:val="auto"/>
          <w:kern w:val="0"/>
          <w:sz w:val="28"/>
          <w:szCs w:val="28"/>
          <w:lang w:eastAsia="zh-CN"/>
        </w:rPr>
      </w:pPr>
      <w:r>
        <w:rPr>
          <w:rFonts w:hint="eastAsia" w:ascii="仿宋" w:hAnsi="仿宋" w:eastAsia="仿宋" w:cs="仿宋"/>
          <w:b/>
          <w:color w:val="auto"/>
          <w:kern w:val="0"/>
          <w:sz w:val="28"/>
          <w:szCs w:val="28"/>
          <w:lang w:val="en-US" w:eastAsia="zh-CN"/>
        </w:rPr>
        <w:t>广州市白云区供销合作总社、广州市白云区供销总公司、广州市白云区商业企业总公司、广州市沙河百货有限公司和广州沙河大饭店</w:t>
      </w:r>
      <w:r>
        <w:rPr>
          <w:rFonts w:hint="eastAsia" w:ascii="仿宋" w:hAnsi="仿宋" w:eastAsia="仿宋" w:cs="仿宋"/>
          <w:b/>
          <w:color w:val="auto"/>
          <w:kern w:val="0"/>
          <w:sz w:val="28"/>
          <w:szCs w:val="28"/>
          <w:lang w:eastAsia="zh-CN"/>
        </w:rPr>
        <w:t>：</w:t>
      </w:r>
    </w:p>
    <w:p w14:paraId="50D70604">
      <w:pPr>
        <w:spacing w:line="360" w:lineRule="auto"/>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2025年3月3日，广州市中级人民法院依法作出（2025）粤01清申5号《民事裁定书》受理广州市沙河百货有限公司（以下简称沙河公司）对广州市广源商业股份有限公司（以下简称广源公司）的强制清算申请，并于2025年3月4日作出（2025）粤01强清15号《指定清算组决定书》，指定钱少武[北京天驰君泰（广州）律师事务所]为广州市广源商业股份有限公司清算组（以下简称清算组），负责清算工作。</w:t>
      </w:r>
    </w:p>
    <w:p w14:paraId="3F463CB9">
      <w:pPr>
        <w:spacing w:line="360" w:lineRule="auto"/>
        <w:ind w:firstLine="560" w:firstLineChars="200"/>
        <w:outlineLvl w:val="0"/>
        <w:rPr>
          <w:rFonts w:hint="eastAsia" w:ascii="仿宋" w:hAnsi="仿宋" w:eastAsia="仿宋" w:cs="仿宋"/>
          <w:bCs/>
          <w:sz w:val="28"/>
          <w:szCs w:val="28"/>
          <w:lang w:val="en-US" w:eastAsia="zh-CN"/>
        </w:rPr>
      </w:pPr>
      <w:r>
        <w:rPr>
          <w:rFonts w:hint="eastAsia" w:ascii="仿宋" w:hAnsi="仿宋" w:eastAsia="仿宋" w:cs="仿宋"/>
          <w:sz w:val="28"/>
          <w:szCs w:val="28"/>
        </w:rPr>
        <w:t>接受指定后，清算组积极履行职责</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根据广源公司工商档案，广州市广源商业股份有限公司成立于1994年8月20日，企业类型为股份有限公司，营业期限自1994年8月20日至无固定期限，统一社会信用代码为91440101MA9WJ2WJ01，法定代表人为陈翊翔，注册资本为人民币1500万元，股东为广州市白云区供销合作总社（已注销，股份占比10%）、广州市白云区供销总公司（股份占比40%）、广州市白云区商业企业总公司（已吊销，股份占比42%）、广州市白云百货有限公司（现用名广州市沙河百货有限公司，股份占比6.66%）和广州沙河大饭店（已注销，股份占比1.34%）。</w:t>
      </w:r>
      <w:r>
        <w:rPr>
          <w:rFonts w:hint="eastAsia" w:ascii="仿宋" w:hAnsi="仿宋" w:eastAsia="仿宋" w:cs="仿宋"/>
          <w:sz w:val="28"/>
          <w:szCs w:val="28"/>
          <w:lang w:eastAsia="zh-CN"/>
        </w:rPr>
        <w:t>2025年3月5日，清算组在全国企业破产重整案件信息网上刊登公告，告知广源公司的债权人申报债权、债务人清偿债务。</w:t>
      </w:r>
      <w:r>
        <w:rPr>
          <w:rFonts w:hint="eastAsia" w:ascii="仿宋" w:hAnsi="仿宋" w:eastAsia="仿宋" w:cs="仿宋"/>
          <w:bCs/>
          <w:sz w:val="28"/>
          <w:szCs w:val="28"/>
        </w:rPr>
        <w:t>202</w:t>
      </w:r>
      <w:r>
        <w:rPr>
          <w:rFonts w:hint="eastAsia" w:ascii="仿宋" w:hAnsi="仿宋" w:eastAsia="仿宋" w:cs="仿宋"/>
          <w:bCs/>
          <w:sz w:val="28"/>
          <w:szCs w:val="28"/>
          <w:lang w:val="en-US" w:eastAsia="zh-CN"/>
        </w:rPr>
        <w:t>5</w:t>
      </w:r>
      <w:r>
        <w:rPr>
          <w:rFonts w:hint="eastAsia" w:ascii="仿宋" w:hAnsi="仿宋" w:eastAsia="仿宋" w:cs="仿宋"/>
          <w:bCs/>
          <w:sz w:val="28"/>
          <w:szCs w:val="28"/>
        </w:rPr>
        <w:t>年</w:t>
      </w:r>
      <w:r>
        <w:rPr>
          <w:rFonts w:hint="eastAsia" w:ascii="仿宋" w:hAnsi="仿宋" w:eastAsia="仿宋" w:cs="仿宋"/>
          <w:bCs/>
          <w:sz w:val="28"/>
          <w:szCs w:val="28"/>
          <w:lang w:val="en-US" w:eastAsia="zh-CN"/>
        </w:rPr>
        <w:t>3</w:t>
      </w:r>
      <w:r>
        <w:rPr>
          <w:rFonts w:hint="eastAsia" w:ascii="仿宋" w:hAnsi="仿宋" w:eastAsia="仿宋" w:cs="仿宋"/>
          <w:bCs/>
          <w:sz w:val="28"/>
          <w:szCs w:val="28"/>
        </w:rPr>
        <w:t>月2</w:t>
      </w:r>
      <w:r>
        <w:rPr>
          <w:rFonts w:hint="eastAsia" w:ascii="仿宋" w:hAnsi="仿宋" w:eastAsia="仿宋" w:cs="仿宋"/>
          <w:bCs/>
          <w:sz w:val="28"/>
          <w:szCs w:val="28"/>
          <w:lang w:val="en-US" w:eastAsia="zh-CN"/>
        </w:rPr>
        <w:t>0</w:t>
      </w:r>
      <w:r>
        <w:rPr>
          <w:rFonts w:hint="eastAsia" w:ascii="仿宋" w:hAnsi="仿宋" w:eastAsia="仿宋" w:cs="仿宋"/>
          <w:bCs/>
          <w:sz w:val="28"/>
          <w:szCs w:val="28"/>
        </w:rPr>
        <w:t>日，清算组在全国企业破产重整案件信息网上刊登</w:t>
      </w:r>
      <w:r>
        <w:rPr>
          <w:rFonts w:hint="eastAsia" w:ascii="仿宋" w:hAnsi="仿宋" w:eastAsia="仿宋" w:cs="仿宋"/>
          <w:bCs/>
          <w:sz w:val="28"/>
          <w:szCs w:val="28"/>
          <w:lang w:eastAsia="zh-CN"/>
        </w:rPr>
        <w:t>《</w:t>
      </w:r>
      <w:r>
        <w:rPr>
          <w:rFonts w:hint="eastAsia" w:ascii="仿宋" w:hAnsi="仿宋" w:eastAsia="仿宋" w:cs="仿宋"/>
          <w:bCs/>
          <w:sz w:val="28"/>
          <w:szCs w:val="28"/>
        </w:rPr>
        <w:t>接管通知书</w:t>
      </w:r>
      <w:r>
        <w:rPr>
          <w:rFonts w:hint="eastAsia" w:ascii="仿宋" w:hAnsi="仿宋" w:eastAsia="仿宋" w:cs="仿宋"/>
          <w:bCs/>
          <w:sz w:val="28"/>
          <w:szCs w:val="28"/>
          <w:lang w:eastAsia="zh-CN"/>
        </w:rPr>
        <w:t>》</w:t>
      </w:r>
      <w:r>
        <w:rPr>
          <w:rFonts w:hint="eastAsia" w:ascii="仿宋" w:hAnsi="仿宋" w:eastAsia="仿宋" w:cs="仿宋"/>
          <w:bCs/>
          <w:sz w:val="28"/>
          <w:szCs w:val="28"/>
        </w:rPr>
        <w:t>，要求</w:t>
      </w:r>
      <w:r>
        <w:rPr>
          <w:rFonts w:hint="eastAsia" w:ascii="仿宋" w:hAnsi="仿宋" w:eastAsia="仿宋" w:cs="仿宋"/>
          <w:bCs/>
          <w:sz w:val="28"/>
          <w:szCs w:val="28"/>
          <w:lang w:eastAsia="zh-CN"/>
        </w:rPr>
        <w:t>广源公司</w:t>
      </w:r>
      <w:r>
        <w:rPr>
          <w:rFonts w:hint="eastAsia" w:ascii="仿宋" w:hAnsi="仿宋" w:eastAsia="仿宋" w:cs="仿宋"/>
          <w:bCs/>
          <w:sz w:val="28"/>
          <w:szCs w:val="28"/>
        </w:rPr>
        <w:t>、股东和法定代表人陈翊翔自</w:t>
      </w:r>
      <w:r>
        <w:rPr>
          <w:rFonts w:hint="eastAsia" w:ascii="仿宋" w:hAnsi="仿宋" w:eastAsia="仿宋" w:cs="仿宋"/>
          <w:bCs/>
          <w:sz w:val="28"/>
          <w:szCs w:val="28"/>
          <w:lang w:val="en-US" w:eastAsia="zh-CN"/>
        </w:rPr>
        <w:t>收到本通知书</w:t>
      </w:r>
      <w:r>
        <w:rPr>
          <w:rFonts w:hint="eastAsia" w:ascii="仿宋" w:hAnsi="仿宋" w:eastAsia="仿宋" w:cs="仿宋"/>
          <w:bCs/>
          <w:sz w:val="28"/>
          <w:szCs w:val="28"/>
        </w:rPr>
        <w:t>之日起十日</w:t>
      </w:r>
      <w:r>
        <w:rPr>
          <w:rFonts w:hint="eastAsia" w:ascii="仿宋" w:hAnsi="仿宋" w:eastAsia="仿宋" w:cs="仿宋"/>
          <w:bCs/>
          <w:sz w:val="28"/>
          <w:szCs w:val="28"/>
          <w:lang w:val="en-US" w:eastAsia="zh-CN"/>
        </w:rPr>
        <w:t>内</w:t>
      </w:r>
      <w:r>
        <w:rPr>
          <w:rFonts w:hint="eastAsia" w:ascii="仿宋" w:hAnsi="仿宋" w:eastAsia="仿宋" w:cs="仿宋"/>
          <w:bCs/>
          <w:sz w:val="28"/>
          <w:szCs w:val="28"/>
        </w:rPr>
        <w:t>向清算组移交</w:t>
      </w:r>
      <w:r>
        <w:rPr>
          <w:rFonts w:hint="eastAsia" w:ascii="仿宋" w:hAnsi="仿宋" w:eastAsia="仿宋" w:cs="仿宋"/>
          <w:bCs/>
          <w:sz w:val="28"/>
          <w:szCs w:val="28"/>
          <w:lang w:eastAsia="zh-CN"/>
        </w:rPr>
        <w:t>广源公司</w:t>
      </w:r>
      <w:r>
        <w:rPr>
          <w:rFonts w:hint="eastAsia" w:ascii="仿宋" w:hAnsi="仿宋" w:eastAsia="仿宋" w:cs="仿宋"/>
          <w:bCs/>
          <w:sz w:val="28"/>
          <w:szCs w:val="28"/>
        </w:rPr>
        <w:t>资料，并告知不向清算组移交资料可能需要承担的资料灭失的风险和相关法律责任。202</w:t>
      </w:r>
      <w:r>
        <w:rPr>
          <w:rFonts w:hint="eastAsia" w:ascii="仿宋" w:hAnsi="仿宋" w:eastAsia="仿宋" w:cs="仿宋"/>
          <w:bCs/>
          <w:sz w:val="28"/>
          <w:szCs w:val="28"/>
          <w:lang w:val="en-US" w:eastAsia="zh-CN"/>
        </w:rPr>
        <w:t>5</w:t>
      </w:r>
      <w:r>
        <w:rPr>
          <w:rFonts w:hint="eastAsia" w:ascii="仿宋" w:hAnsi="仿宋" w:eastAsia="仿宋" w:cs="仿宋"/>
          <w:bCs/>
          <w:sz w:val="28"/>
          <w:szCs w:val="28"/>
        </w:rPr>
        <w:t>年</w:t>
      </w:r>
      <w:r>
        <w:rPr>
          <w:rFonts w:hint="eastAsia" w:ascii="仿宋" w:hAnsi="仿宋" w:eastAsia="仿宋" w:cs="仿宋"/>
          <w:bCs/>
          <w:sz w:val="28"/>
          <w:szCs w:val="28"/>
          <w:lang w:val="en-US" w:eastAsia="zh-CN"/>
        </w:rPr>
        <w:t>3</w:t>
      </w:r>
      <w:r>
        <w:rPr>
          <w:rFonts w:hint="eastAsia" w:ascii="仿宋" w:hAnsi="仿宋" w:eastAsia="仿宋" w:cs="仿宋"/>
          <w:bCs/>
          <w:sz w:val="28"/>
          <w:szCs w:val="28"/>
        </w:rPr>
        <w:t>月</w:t>
      </w:r>
      <w:r>
        <w:rPr>
          <w:rFonts w:hint="eastAsia" w:ascii="仿宋" w:hAnsi="仿宋" w:eastAsia="仿宋" w:cs="仿宋"/>
          <w:bCs/>
          <w:sz w:val="28"/>
          <w:szCs w:val="28"/>
          <w:lang w:val="en-US" w:eastAsia="zh-CN"/>
        </w:rPr>
        <w:t>21</w:t>
      </w:r>
      <w:r>
        <w:rPr>
          <w:rFonts w:hint="eastAsia" w:ascii="仿宋" w:hAnsi="仿宋" w:eastAsia="仿宋" w:cs="仿宋"/>
          <w:bCs/>
          <w:sz w:val="28"/>
          <w:szCs w:val="28"/>
        </w:rPr>
        <w:t>日</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清算组</w:t>
      </w:r>
      <w:r>
        <w:rPr>
          <w:rFonts w:hint="eastAsia" w:ascii="仿宋" w:hAnsi="仿宋" w:eastAsia="仿宋" w:cs="仿宋"/>
          <w:bCs/>
          <w:sz w:val="28"/>
          <w:szCs w:val="28"/>
        </w:rPr>
        <w:t>向广源公司、法</w:t>
      </w:r>
      <w:r>
        <w:rPr>
          <w:rFonts w:hint="eastAsia" w:ascii="仿宋" w:hAnsi="仿宋" w:eastAsia="仿宋" w:cs="仿宋"/>
          <w:bCs/>
          <w:sz w:val="28"/>
          <w:szCs w:val="28"/>
          <w:lang w:val="en-US" w:eastAsia="zh-CN"/>
        </w:rPr>
        <w:t>定代表人</w:t>
      </w:r>
      <w:r>
        <w:rPr>
          <w:rFonts w:hint="eastAsia" w:ascii="仿宋" w:hAnsi="仿宋" w:eastAsia="仿宋" w:cs="仿宋"/>
          <w:bCs/>
          <w:sz w:val="28"/>
          <w:szCs w:val="28"/>
        </w:rPr>
        <w:t>陈翊翔</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股东沙河公司管理人寄送了</w:t>
      </w:r>
      <w:r>
        <w:rPr>
          <w:rFonts w:hint="eastAsia" w:ascii="仿宋" w:hAnsi="仿宋" w:eastAsia="仿宋" w:cs="仿宋"/>
          <w:bCs/>
          <w:sz w:val="28"/>
          <w:szCs w:val="28"/>
          <w:lang w:eastAsia="zh-CN"/>
        </w:rPr>
        <w:t>《</w:t>
      </w:r>
      <w:r>
        <w:rPr>
          <w:rFonts w:hint="eastAsia" w:ascii="仿宋" w:hAnsi="仿宋" w:eastAsia="仿宋" w:cs="仿宋"/>
          <w:bCs/>
          <w:sz w:val="28"/>
          <w:szCs w:val="28"/>
        </w:rPr>
        <w:t>接管通知书</w:t>
      </w:r>
      <w:r>
        <w:rPr>
          <w:rFonts w:hint="eastAsia" w:ascii="仿宋" w:hAnsi="仿宋" w:eastAsia="仿宋" w:cs="仿宋"/>
          <w:bCs/>
          <w:sz w:val="28"/>
          <w:szCs w:val="28"/>
          <w:lang w:eastAsia="zh-CN"/>
        </w:rPr>
        <w:t>》《</w:t>
      </w:r>
      <w:r>
        <w:rPr>
          <w:rFonts w:hint="eastAsia" w:ascii="仿宋" w:hAnsi="仿宋" w:eastAsia="仿宋" w:cs="仿宋"/>
          <w:bCs/>
          <w:sz w:val="28"/>
          <w:szCs w:val="28"/>
        </w:rPr>
        <w:t>接管</w:t>
      </w:r>
      <w:r>
        <w:rPr>
          <w:rFonts w:hint="eastAsia" w:ascii="仿宋" w:hAnsi="仿宋" w:eastAsia="仿宋" w:cs="仿宋"/>
          <w:bCs/>
          <w:sz w:val="28"/>
          <w:szCs w:val="28"/>
          <w:lang w:val="en-US" w:eastAsia="zh-CN"/>
        </w:rPr>
        <w:t>材料</w:t>
      </w:r>
      <w:r>
        <w:rPr>
          <w:rFonts w:hint="eastAsia" w:ascii="仿宋" w:hAnsi="仿宋" w:eastAsia="仿宋" w:cs="仿宋"/>
          <w:bCs/>
          <w:sz w:val="28"/>
          <w:szCs w:val="28"/>
        </w:rPr>
        <w:t>清单</w:t>
      </w:r>
      <w:r>
        <w:rPr>
          <w:rFonts w:hint="eastAsia" w:ascii="仿宋" w:hAnsi="仿宋" w:eastAsia="仿宋" w:cs="仿宋"/>
          <w:bCs/>
          <w:sz w:val="28"/>
          <w:szCs w:val="28"/>
          <w:lang w:eastAsia="zh-CN"/>
        </w:rPr>
        <w:t>》</w:t>
      </w:r>
      <w:r>
        <w:rPr>
          <w:rFonts w:hint="eastAsia" w:ascii="仿宋" w:hAnsi="仿宋" w:eastAsia="仿宋" w:cs="仿宋"/>
          <w:bCs/>
          <w:sz w:val="28"/>
          <w:szCs w:val="28"/>
        </w:rPr>
        <w:t>和</w:t>
      </w:r>
      <w:r>
        <w:rPr>
          <w:rFonts w:hint="eastAsia" w:ascii="仿宋" w:hAnsi="仿宋" w:eastAsia="仿宋" w:cs="仿宋"/>
          <w:bCs/>
          <w:sz w:val="28"/>
          <w:szCs w:val="28"/>
          <w:lang w:eastAsia="zh-CN"/>
        </w:rPr>
        <w:t>《</w:t>
      </w:r>
      <w:r>
        <w:rPr>
          <w:rFonts w:hint="eastAsia" w:ascii="仿宋" w:hAnsi="仿宋" w:eastAsia="仿宋" w:cs="仿宋"/>
          <w:bCs/>
          <w:sz w:val="28"/>
          <w:szCs w:val="28"/>
        </w:rPr>
        <w:t>无法清算情形下风险责任告知书</w:t>
      </w:r>
      <w:r>
        <w:rPr>
          <w:rFonts w:hint="eastAsia" w:ascii="仿宋" w:hAnsi="仿宋" w:eastAsia="仿宋" w:cs="仿宋"/>
          <w:bCs/>
          <w:sz w:val="28"/>
          <w:szCs w:val="28"/>
          <w:lang w:eastAsia="zh-CN"/>
        </w:rPr>
        <w:t>》。</w:t>
      </w:r>
    </w:p>
    <w:p w14:paraId="53BBDCF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lang w:val="en-US" w:eastAsia="zh-CN"/>
        </w:rPr>
        <w:t>截至2025年4月23日，清算组未接管到广源公司的任何资料，也未发现广源公司名下具有财产。现清算组拟向广州市中级人民法院申请以无法清算为由裁定终结广源公司强制清算程序，</w:t>
      </w:r>
      <w:r>
        <w:rPr>
          <w:rFonts w:hint="eastAsia" w:ascii="仿宋" w:hAnsi="仿宋" w:eastAsia="仿宋" w:cs="仿宋"/>
          <w:sz w:val="28"/>
          <w:szCs w:val="28"/>
          <w:u w:val="single"/>
          <w:lang w:val="en-US" w:eastAsia="zh-CN"/>
        </w:rPr>
        <w:t>若贵方欲提起诉讼追究广源公司法定代表人、董监高人员或者其他股东的强制清算责任，请于收到本告知函之日起</w:t>
      </w:r>
      <w:r>
        <w:rPr>
          <w:rFonts w:hint="eastAsia" w:ascii="仿宋" w:hAnsi="仿宋" w:eastAsia="仿宋" w:cs="仿宋"/>
          <w:b/>
          <w:bCs/>
          <w:sz w:val="28"/>
          <w:szCs w:val="28"/>
          <w:u w:val="single"/>
          <w:lang w:val="en-US" w:eastAsia="zh-CN"/>
        </w:rPr>
        <w:t>三日内</w:t>
      </w:r>
      <w:r>
        <w:rPr>
          <w:rFonts w:hint="eastAsia" w:ascii="仿宋" w:hAnsi="仿宋" w:eastAsia="仿宋" w:cs="仿宋"/>
          <w:b w:val="0"/>
          <w:bCs w:val="0"/>
          <w:sz w:val="28"/>
          <w:szCs w:val="28"/>
          <w:u w:val="single"/>
          <w:lang w:val="en-US" w:eastAsia="zh-CN"/>
        </w:rPr>
        <w:t>并就“是否垫付诉讼费用”</w:t>
      </w:r>
      <w:r>
        <w:rPr>
          <w:rFonts w:hint="eastAsia" w:ascii="仿宋" w:hAnsi="仿宋" w:eastAsia="仿宋" w:cs="仿宋"/>
          <w:sz w:val="28"/>
          <w:szCs w:val="28"/>
          <w:u w:val="single"/>
          <w:lang w:val="en-US" w:eastAsia="zh-CN"/>
        </w:rPr>
        <w:t>告知清算组。逾期未告知的，视为不追究广源公司其他股东的强制清算责任。</w:t>
      </w:r>
    </w:p>
    <w:p w14:paraId="79D6B0D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特此函告。</w:t>
      </w:r>
    </w:p>
    <w:p w14:paraId="0245F1EA">
      <w:pPr>
        <w:spacing w:line="360" w:lineRule="auto"/>
        <w:ind w:firstLine="560" w:firstLineChars="200"/>
        <w:jc w:val="righ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eastAsia="zh-CN"/>
        </w:rPr>
        <w:t>广州市广源商业股份有限公司清算组</w:t>
      </w:r>
      <w:r>
        <w:rPr>
          <w:rFonts w:hint="eastAsia" w:ascii="仿宋" w:hAnsi="仿宋" w:eastAsia="仿宋" w:cs="仿宋"/>
          <w:sz w:val="28"/>
          <w:szCs w:val="28"/>
        </w:rPr>
        <w:t xml:space="preserve">     </w:t>
      </w:r>
    </w:p>
    <w:p w14:paraId="35715D0D">
      <w:pPr>
        <w:spacing w:line="360" w:lineRule="auto"/>
        <w:ind w:firstLine="560" w:firstLineChars="200"/>
        <w:jc w:val="right"/>
        <w:rPr>
          <w:rFonts w:hint="eastAsia" w:ascii="仿宋" w:hAnsi="仿宋" w:eastAsia="仿宋" w:cs="仿宋"/>
          <w:color w:val="auto"/>
          <w:sz w:val="28"/>
          <w:szCs w:val="28"/>
        </w:rPr>
      </w:pPr>
      <w:r>
        <w:rPr>
          <w:rFonts w:hint="eastAsia" w:ascii="仿宋" w:hAnsi="仿宋" w:eastAsia="仿宋" w:cs="仿宋"/>
          <w:sz w:val="28"/>
          <w:szCs w:val="28"/>
        </w:rPr>
        <w:t>二〇二</w:t>
      </w:r>
      <w:r>
        <w:rPr>
          <w:rFonts w:hint="eastAsia" w:ascii="仿宋" w:hAnsi="仿宋" w:eastAsia="仿宋" w:cs="仿宋"/>
          <w:sz w:val="28"/>
          <w:szCs w:val="28"/>
          <w:lang w:val="en-US" w:eastAsia="zh-CN"/>
        </w:rPr>
        <w:t>五</w:t>
      </w:r>
      <w:r>
        <w:rPr>
          <w:rFonts w:hint="eastAsia" w:ascii="仿宋" w:hAnsi="仿宋" w:eastAsia="仿宋" w:cs="仿宋"/>
          <w:sz w:val="28"/>
          <w:szCs w:val="28"/>
        </w:rPr>
        <w:t>年</w:t>
      </w:r>
      <w:bookmarkStart w:id="0" w:name="_GoBack"/>
      <w:bookmarkEnd w:id="0"/>
      <w:r>
        <w:rPr>
          <w:rFonts w:hint="eastAsia" w:ascii="仿宋" w:hAnsi="仿宋" w:eastAsia="仿宋" w:cs="仿宋"/>
          <w:sz w:val="28"/>
          <w:szCs w:val="28"/>
          <w:lang w:val="en-US" w:eastAsia="zh-CN"/>
        </w:rPr>
        <w:t>四</w:t>
      </w:r>
      <w:r>
        <w:rPr>
          <w:rFonts w:hint="eastAsia" w:ascii="仿宋" w:hAnsi="仿宋" w:eastAsia="仿宋" w:cs="仿宋"/>
          <w:sz w:val="28"/>
          <w:szCs w:val="28"/>
        </w:rPr>
        <w:t>月</w:t>
      </w:r>
      <w:r>
        <w:rPr>
          <w:rFonts w:hint="eastAsia" w:ascii="仿宋" w:hAnsi="仿宋" w:eastAsia="仿宋" w:cs="仿宋"/>
          <w:sz w:val="28"/>
          <w:szCs w:val="28"/>
          <w:lang w:val="en-US" w:eastAsia="zh-CN"/>
        </w:rPr>
        <w:t>二十三</w:t>
      </w:r>
      <w:r>
        <w:rPr>
          <w:rFonts w:hint="eastAsia" w:ascii="仿宋" w:hAnsi="仿宋" w:eastAsia="仿宋" w:cs="仿宋"/>
          <w:sz w:val="28"/>
          <w:szCs w:val="28"/>
        </w:rPr>
        <w:t>日</w:t>
      </w:r>
    </w:p>
    <w:p w14:paraId="032D3653">
      <w:pPr>
        <w:spacing w:line="360" w:lineRule="auto"/>
        <w:ind w:firstLine="560" w:firstLineChars="200"/>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附：</w:t>
      </w:r>
      <w:r>
        <w:rPr>
          <w:rFonts w:hint="eastAsia" w:ascii="仿宋" w:hAnsi="仿宋" w:eastAsia="仿宋" w:cs="仿宋"/>
          <w:color w:val="auto"/>
          <w:sz w:val="28"/>
          <w:szCs w:val="28"/>
        </w:rPr>
        <w:t>清算组</w:t>
      </w:r>
      <w:r>
        <w:rPr>
          <w:rFonts w:hint="eastAsia" w:ascii="仿宋" w:hAnsi="仿宋" w:eastAsia="仿宋" w:cs="仿宋"/>
          <w:color w:val="auto"/>
          <w:sz w:val="28"/>
          <w:szCs w:val="28"/>
          <w:lang w:val="en-US" w:eastAsia="zh-CN"/>
        </w:rPr>
        <w:t>联系</w:t>
      </w:r>
      <w:r>
        <w:rPr>
          <w:rFonts w:hint="eastAsia" w:ascii="仿宋" w:hAnsi="仿宋" w:eastAsia="仿宋" w:cs="仿宋"/>
          <w:color w:val="auto"/>
          <w:sz w:val="28"/>
          <w:szCs w:val="28"/>
        </w:rPr>
        <w:t>人</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罗雄督，联系电话：19357505943，</w:t>
      </w:r>
      <w:r>
        <w:rPr>
          <w:rFonts w:hint="eastAsia" w:ascii="仿宋" w:hAnsi="仿宋" w:eastAsia="仿宋" w:cs="仿宋"/>
          <w:color w:val="auto"/>
          <w:sz w:val="28"/>
          <w:szCs w:val="28"/>
        </w:rPr>
        <w:t>联系地址：广州市天河区员村街道金硕一路 11 号汉银广场43 层4301-4303A单元 。</w:t>
      </w:r>
    </w:p>
    <w:sectPr>
      <w:headerReference r:id="rId3" w:type="default"/>
      <w:footerReference r:id="rId4" w:type="default"/>
      <w:pgSz w:w="11900" w:h="16840"/>
      <w:pgMar w:top="1440" w:right="1800" w:bottom="1440" w:left="1800" w:header="397" w:footer="113"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Songti SC">
    <w:altName w:val="宋体"/>
    <w:panose1 w:val="00000000000000000000"/>
    <w:charset w:val="86"/>
    <w:family w:val="roman"/>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4CC552">
    <w:pPr>
      <w:spacing w:line="360" w:lineRule="auto"/>
      <w:rPr>
        <w:rFonts w:ascii="Songti SC" w:hAnsi="Songti SC" w:eastAsia="Songti SC"/>
        <w:color w:val="ED7D31"/>
        <w:sz w:val="18"/>
        <w:szCs w:val="18"/>
      </w:rPr>
    </w:pPr>
    <w:r>
      <w:rPr>
        <w:rFonts w:hint="eastAsia" w:ascii="Songti SC" w:hAnsi="Songti SC" w:eastAsia="Songti SC"/>
        <w:color w:val="ED7D31"/>
        <w:sz w:val="18"/>
        <w:szCs w:val="18"/>
      </w:rPr>
      <w:t>清算组：</w:t>
    </w:r>
    <w:r>
      <w:rPr>
        <w:rFonts w:ascii="Songti SC" w:hAnsi="Songti SC" w:eastAsia="Songti SC"/>
        <w:color w:val="ED7D31"/>
        <w:sz w:val="18"/>
        <w:szCs w:val="18"/>
      </w:rPr>
      <w:t>北京天驰君泰（广州）律师事务所</w:t>
    </w:r>
    <w:r>
      <w:rPr>
        <w:rFonts w:hint="eastAsia" w:ascii="Songti SC" w:hAnsi="Songti SC" w:eastAsia="Songti SC"/>
        <w:color w:val="ED7D31"/>
        <w:sz w:val="18"/>
        <w:szCs w:val="18"/>
      </w:rPr>
      <w:t xml:space="preserve">     </w:t>
    </w:r>
    <w:r>
      <w:rPr>
        <w:rFonts w:ascii="Songti SC" w:hAnsi="Songti SC" w:eastAsia="Songti SC"/>
        <w:color w:val="ED7D31"/>
        <w:sz w:val="18"/>
        <w:szCs w:val="18"/>
        <w:lang w:val="zh-CN"/>
      </w:rPr>
      <w:t xml:space="preserve"> </w:t>
    </w:r>
    <w:r>
      <w:rPr>
        <w:rFonts w:ascii="Songti SC" w:hAnsi="Songti SC" w:eastAsia="Songti SC"/>
        <w:b/>
        <w:bCs/>
        <w:color w:val="ED7D31"/>
        <w:sz w:val="18"/>
        <w:szCs w:val="18"/>
      </w:rPr>
      <w:fldChar w:fldCharType="begin"/>
    </w:r>
    <w:r>
      <w:rPr>
        <w:rFonts w:ascii="Songti SC" w:hAnsi="Songti SC" w:eastAsia="Songti SC"/>
        <w:b/>
        <w:bCs/>
        <w:color w:val="ED7D31"/>
        <w:sz w:val="18"/>
        <w:szCs w:val="18"/>
      </w:rPr>
      <w:instrText xml:space="preserve">PAGE  \* Arabic  \* MERGEFORMAT</w:instrText>
    </w:r>
    <w:r>
      <w:rPr>
        <w:rFonts w:ascii="Songti SC" w:hAnsi="Songti SC" w:eastAsia="Songti SC"/>
        <w:b/>
        <w:bCs/>
        <w:color w:val="ED7D31"/>
        <w:sz w:val="18"/>
        <w:szCs w:val="18"/>
      </w:rPr>
      <w:fldChar w:fldCharType="separate"/>
    </w:r>
    <w:r>
      <w:rPr>
        <w:rFonts w:ascii="Songti SC" w:hAnsi="Songti SC" w:eastAsia="Songti SC"/>
        <w:b/>
        <w:bCs/>
        <w:color w:val="ED7D31"/>
        <w:sz w:val="18"/>
        <w:szCs w:val="18"/>
        <w:lang w:val="zh-CN"/>
      </w:rPr>
      <w:t>1</w:t>
    </w:r>
    <w:r>
      <w:rPr>
        <w:rFonts w:ascii="Songti SC" w:hAnsi="Songti SC" w:eastAsia="Songti SC"/>
        <w:b/>
        <w:bCs/>
        <w:color w:val="ED7D31"/>
        <w:sz w:val="18"/>
        <w:szCs w:val="18"/>
      </w:rPr>
      <w:fldChar w:fldCharType="end"/>
    </w:r>
    <w:r>
      <w:rPr>
        <w:rFonts w:ascii="Songti SC" w:hAnsi="Songti SC" w:eastAsia="Songti SC"/>
        <w:color w:val="ED7D31"/>
        <w:sz w:val="18"/>
        <w:szCs w:val="18"/>
        <w:lang w:val="zh-CN"/>
      </w:rPr>
      <w:t xml:space="preserve"> / </w:t>
    </w:r>
    <w:r>
      <w:rPr>
        <w:rFonts w:ascii="Songti SC" w:hAnsi="Songti SC" w:eastAsia="Songti SC"/>
        <w:b/>
        <w:bCs/>
        <w:color w:val="ED7D31"/>
        <w:sz w:val="18"/>
        <w:szCs w:val="18"/>
      </w:rPr>
      <w:fldChar w:fldCharType="begin"/>
    </w:r>
    <w:r>
      <w:rPr>
        <w:rFonts w:ascii="Songti SC" w:hAnsi="Songti SC" w:eastAsia="Songti SC"/>
        <w:b/>
        <w:bCs/>
        <w:color w:val="ED7D31"/>
        <w:sz w:val="18"/>
        <w:szCs w:val="18"/>
      </w:rPr>
      <w:instrText xml:space="preserve">NUMPAGES  \* Arabic  \* MERGEFORMAT</w:instrText>
    </w:r>
    <w:r>
      <w:rPr>
        <w:rFonts w:ascii="Songti SC" w:hAnsi="Songti SC" w:eastAsia="Songti SC"/>
        <w:b/>
        <w:bCs/>
        <w:color w:val="ED7D31"/>
        <w:sz w:val="18"/>
        <w:szCs w:val="18"/>
      </w:rPr>
      <w:fldChar w:fldCharType="separate"/>
    </w:r>
    <w:r>
      <w:rPr>
        <w:rFonts w:ascii="Songti SC" w:hAnsi="Songti SC" w:eastAsia="Songti SC"/>
        <w:b/>
        <w:bCs/>
        <w:color w:val="ED7D31"/>
        <w:sz w:val="18"/>
        <w:szCs w:val="18"/>
        <w:lang w:val="zh-CN"/>
      </w:rPr>
      <w:t>2</w:t>
    </w:r>
    <w:r>
      <w:rPr>
        <w:rFonts w:ascii="Songti SC" w:hAnsi="Songti SC" w:eastAsia="Songti SC"/>
        <w:b/>
        <w:bCs/>
        <w:color w:val="ED7D31"/>
        <w:sz w:val="18"/>
        <w:szCs w:val="18"/>
      </w:rPr>
      <w:fldChar w:fldCharType="end"/>
    </w:r>
    <w:r>
      <w:rPr>
        <w:rFonts w:hint="eastAsia" w:ascii="Songti SC" w:hAnsi="Songti SC" w:eastAsia="Songti SC"/>
        <w:color w:val="ED7D31"/>
        <w:sz w:val="18"/>
        <w:szCs w:val="18"/>
      </w:rPr>
      <w:t xml:space="preserve">      负责人：钱少武          电话：</w:t>
    </w:r>
    <w:r>
      <w:rPr>
        <w:rFonts w:ascii="Songti SC" w:hAnsi="Songti SC" w:eastAsia="Songti SC"/>
        <w:color w:val="ED7D31"/>
        <w:sz w:val="18"/>
        <w:szCs w:val="18"/>
      </w:rPr>
      <w:t>020-38331670</w:t>
    </w:r>
  </w:p>
  <w:p w14:paraId="0773A7CE">
    <w:pPr>
      <w:spacing w:line="360" w:lineRule="auto"/>
      <w:rPr>
        <w:rFonts w:ascii="Songti SC" w:hAnsi="Songti SC" w:eastAsia="Songti SC"/>
        <w:color w:val="ED7D31"/>
        <w:sz w:val="18"/>
        <w:szCs w:val="18"/>
      </w:rPr>
    </w:pPr>
    <w:r>
      <w:rPr>
        <w:rFonts w:hint="eastAsia" w:ascii="Songti SC" w:hAnsi="Songti SC" w:eastAsia="Songti SC"/>
        <w:color w:val="ED7D31"/>
        <w:sz w:val="18"/>
        <w:szCs w:val="18"/>
      </w:rPr>
      <w:t>邮政编码：510665    通讯地址：广州市天河区员村街道金硕一路 11 号汉银广场43 层4301-4303A单元</w:t>
    </w:r>
  </w:p>
  <w:p w14:paraId="45D5AF34">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0369D">
    <w:pPr>
      <w:pStyle w:val="3"/>
      <w:jc w:val="both"/>
      <w:rPr>
        <w:rFonts w:ascii="黑体" w:hAnsi="黑体" w:eastAsia="黑体"/>
        <w:sz w:val="14"/>
        <w:szCs w:val="14"/>
      </w:rPr>
    </w:pPr>
    <w:r>
      <w:rPr>
        <w:rFonts w:ascii="黑体" w:hAnsi="黑体" w:eastAsia="黑体"/>
        <w:sz w:val="14"/>
        <w:szCs w:val="14"/>
      </w:rPr>
      <w:drawing>
        <wp:inline distT="0" distB="0" distL="114300" distR="114300">
          <wp:extent cx="1085850" cy="4953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1085850" cy="495300"/>
                  </a:xfrm>
                  <a:prstGeom prst="rect">
                    <a:avLst/>
                  </a:prstGeom>
                  <a:noFill/>
                  <a:ln>
                    <a:noFill/>
                  </a:ln>
                </pic:spPr>
              </pic:pic>
            </a:graphicData>
          </a:graphic>
        </wp:inline>
      </w:drawing>
    </w:r>
  </w:p>
  <w:p w14:paraId="589EE87B">
    <w:pPr>
      <w:pStyle w:val="3"/>
      <w:jc w:val="both"/>
      <w:rPr>
        <w:rFonts w:ascii="宋体" w:hAnsi="宋体" w:eastAsia="宋体"/>
        <w:color w:val="E46C0A" w:themeColor="accent6" w:themeShade="BF"/>
      </w:rPr>
    </w:pPr>
    <w:r>
      <w:rPr>
        <w:rFonts w:hint="eastAsia" w:ascii="宋体" w:hAnsi="宋体" w:eastAsia="宋体"/>
        <w:color w:val="ED7D31"/>
        <w:lang w:eastAsia="zh-CN"/>
      </w:rPr>
      <w:t>广州市广源商业股份有限公司</w:t>
    </w:r>
    <w:r>
      <w:rPr>
        <w:rFonts w:hint="eastAsia" w:ascii="宋体" w:hAnsi="宋体" w:eastAsia="宋体"/>
        <w:color w:val="ED7D31"/>
      </w:rPr>
      <w:t xml:space="preserve">清算组 </w:t>
    </w:r>
    <w:r>
      <w:rPr>
        <w:rFonts w:hint="eastAsia" w:ascii="宋体" w:hAnsi="宋体" w:eastAsia="宋体"/>
        <w:color w:val="92D050"/>
      </w:rPr>
      <w:t xml:space="preserve">  </w:t>
    </w:r>
    <w:r>
      <w:rPr>
        <w:rFonts w:hint="eastAsia" w:ascii="Songti SC" w:hAnsi="Songti SC" w:eastAsia="Songti SC"/>
        <w:color w:val="92D050"/>
      </w:rPr>
      <w:t xml:space="preserve">                                   </w:t>
    </w:r>
    <w:r>
      <w:rPr>
        <w:rFonts w:hint="eastAsia" w:ascii="宋体" w:hAnsi="宋体" w:eastAsia="宋体"/>
        <w:color w:val="E46C0A" w:themeColor="accent6" w:themeShade="BF"/>
      </w:rPr>
      <w:t>（202</w:t>
    </w:r>
    <w:r>
      <w:rPr>
        <w:rFonts w:hint="eastAsia" w:ascii="宋体" w:hAnsi="宋体" w:eastAsia="宋体"/>
        <w:color w:val="E46C0A" w:themeColor="accent6" w:themeShade="BF"/>
        <w:lang w:val="en-US" w:eastAsia="zh-CN"/>
      </w:rPr>
      <w:t>5</w:t>
    </w:r>
    <w:r>
      <w:rPr>
        <w:rFonts w:hint="eastAsia" w:ascii="宋体" w:hAnsi="宋体" w:eastAsia="宋体"/>
        <w:color w:val="E46C0A" w:themeColor="accent6" w:themeShade="BF"/>
      </w:rPr>
      <w:t>）粤01强清</w:t>
    </w:r>
    <w:r>
      <w:rPr>
        <w:rFonts w:hint="eastAsia" w:ascii="宋体" w:hAnsi="宋体" w:eastAsia="宋体"/>
        <w:color w:val="E46C0A" w:themeColor="accent6" w:themeShade="BF"/>
        <w:lang w:val="en-US" w:eastAsia="zh-CN"/>
      </w:rPr>
      <w:t>15</w:t>
    </w:r>
    <w:r>
      <w:rPr>
        <w:rFonts w:hint="eastAsia" w:ascii="宋体" w:hAnsi="宋体" w:eastAsia="宋体"/>
        <w:color w:val="E46C0A" w:themeColor="accent6" w:themeShade="BF"/>
      </w:rPr>
      <w:t>号</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1YzA1ZjJiNThiN2FiN2ZiMGQ5ZDhiYmRiNTg5NTgifQ=="/>
  </w:docVars>
  <w:rsids>
    <w:rsidRoot w:val="00D724C3"/>
    <w:rsid w:val="00013766"/>
    <w:rsid w:val="0003762A"/>
    <w:rsid w:val="00074816"/>
    <w:rsid w:val="000811B2"/>
    <w:rsid w:val="00086E9C"/>
    <w:rsid w:val="000A7B76"/>
    <w:rsid w:val="000F1D1F"/>
    <w:rsid w:val="00173F85"/>
    <w:rsid w:val="001D2713"/>
    <w:rsid w:val="001D3D37"/>
    <w:rsid w:val="00205D06"/>
    <w:rsid w:val="002200B7"/>
    <w:rsid w:val="00232D31"/>
    <w:rsid w:val="002649D9"/>
    <w:rsid w:val="00287FFB"/>
    <w:rsid w:val="002A1757"/>
    <w:rsid w:val="002B4BB4"/>
    <w:rsid w:val="002D327D"/>
    <w:rsid w:val="002F3290"/>
    <w:rsid w:val="0031049E"/>
    <w:rsid w:val="003212BF"/>
    <w:rsid w:val="003422CB"/>
    <w:rsid w:val="0042194D"/>
    <w:rsid w:val="00480873"/>
    <w:rsid w:val="004A3037"/>
    <w:rsid w:val="00501A14"/>
    <w:rsid w:val="00555BED"/>
    <w:rsid w:val="00570286"/>
    <w:rsid w:val="005B1FF4"/>
    <w:rsid w:val="006C4C1F"/>
    <w:rsid w:val="007306DA"/>
    <w:rsid w:val="0073590B"/>
    <w:rsid w:val="007706E2"/>
    <w:rsid w:val="007A5A2A"/>
    <w:rsid w:val="007D279A"/>
    <w:rsid w:val="00816138"/>
    <w:rsid w:val="0081639E"/>
    <w:rsid w:val="00830ED7"/>
    <w:rsid w:val="0083564F"/>
    <w:rsid w:val="008603F4"/>
    <w:rsid w:val="00864E2C"/>
    <w:rsid w:val="00904BEE"/>
    <w:rsid w:val="009B1361"/>
    <w:rsid w:val="009C6974"/>
    <w:rsid w:val="009D7690"/>
    <w:rsid w:val="00A01953"/>
    <w:rsid w:val="00A60D00"/>
    <w:rsid w:val="00A72081"/>
    <w:rsid w:val="00A81854"/>
    <w:rsid w:val="00A84C72"/>
    <w:rsid w:val="00B72D4A"/>
    <w:rsid w:val="00C25A24"/>
    <w:rsid w:val="00C46CAD"/>
    <w:rsid w:val="00CB5AFA"/>
    <w:rsid w:val="00CC5594"/>
    <w:rsid w:val="00CF07D0"/>
    <w:rsid w:val="00D724C3"/>
    <w:rsid w:val="00DD45F1"/>
    <w:rsid w:val="00EE1B4B"/>
    <w:rsid w:val="00EF11C9"/>
    <w:rsid w:val="00F72546"/>
    <w:rsid w:val="00FB71E6"/>
    <w:rsid w:val="00FD62A1"/>
    <w:rsid w:val="01277E1F"/>
    <w:rsid w:val="01A8419C"/>
    <w:rsid w:val="04E46482"/>
    <w:rsid w:val="05D5432C"/>
    <w:rsid w:val="07F07024"/>
    <w:rsid w:val="09D00A6A"/>
    <w:rsid w:val="0A7E0376"/>
    <w:rsid w:val="0B64126E"/>
    <w:rsid w:val="0C236ED1"/>
    <w:rsid w:val="0EA92A1E"/>
    <w:rsid w:val="0F2D3C86"/>
    <w:rsid w:val="0F386586"/>
    <w:rsid w:val="0F9C29B1"/>
    <w:rsid w:val="11536F26"/>
    <w:rsid w:val="14F87789"/>
    <w:rsid w:val="17573091"/>
    <w:rsid w:val="18BB7FC5"/>
    <w:rsid w:val="192C16DF"/>
    <w:rsid w:val="1C015254"/>
    <w:rsid w:val="1C512181"/>
    <w:rsid w:val="1CB47291"/>
    <w:rsid w:val="1DC079BE"/>
    <w:rsid w:val="1F5008F0"/>
    <w:rsid w:val="21A170C1"/>
    <w:rsid w:val="247A780E"/>
    <w:rsid w:val="25382DC5"/>
    <w:rsid w:val="25F35C8F"/>
    <w:rsid w:val="271018A2"/>
    <w:rsid w:val="28F409A9"/>
    <w:rsid w:val="2FB04920"/>
    <w:rsid w:val="30412ED4"/>
    <w:rsid w:val="308271CF"/>
    <w:rsid w:val="3166650A"/>
    <w:rsid w:val="326932EA"/>
    <w:rsid w:val="34B02528"/>
    <w:rsid w:val="34E4359E"/>
    <w:rsid w:val="353B335F"/>
    <w:rsid w:val="36697F1B"/>
    <w:rsid w:val="36BD5CE8"/>
    <w:rsid w:val="36EE1A3E"/>
    <w:rsid w:val="38FC4989"/>
    <w:rsid w:val="3A182B15"/>
    <w:rsid w:val="3AB17449"/>
    <w:rsid w:val="3E9D26DC"/>
    <w:rsid w:val="3EBD4A7C"/>
    <w:rsid w:val="400369CC"/>
    <w:rsid w:val="42832E2D"/>
    <w:rsid w:val="44802E5E"/>
    <w:rsid w:val="47B765EC"/>
    <w:rsid w:val="4A965D14"/>
    <w:rsid w:val="4ED17C62"/>
    <w:rsid w:val="51791D32"/>
    <w:rsid w:val="51831A37"/>
    <w:rsid w:val="52592449"/>
    <w:rsid w:val="541923EC"/>
    <w:rsid w:val="58064EFF"/>
    <w:rsid w:val="58666AE0"/>
    <w:rsid w:val="59BA41B1"/>
    <w:rsid w:val="5E9C3DA9"/>
    <w:rsid w:val="5EB95303"/>
    <w:rsid w:val="5EED6110"/>
    <w:rsid w:val="5F397D9A"/>
    <w:rsid w:val="5F5B1F09"/>
    <w:rsid w:val="60FC09C1"/>
    <w:rsid w:val="63885887"/>
    <w:rsid w:val="666F6B5A"/>
    <w:rsid w:val="668B57B2"/>
    <w:rsid w:val="670F711A"/>
    <w:rsid w:val="683E1A6D"/>
    <w:rsid w:val="68CC1A0B"/>
    <w:rsid w:val="73282022"/>
    <w:rsid w:val="73510653"/>
    <w:rsid w:val="73EB3467"/>
    <w:rsid w:val="740376F0"/>
    <w:rsid w:val="76DE0A4B"/>
    <w:rsid w:val="787760CA"/>
    <w:rsid w:val="79770ADA"/>
    <w:rsid w:val="7BE63AD5"/>
    <w:rsid w:val="7D5D21DC"/>
    <w:rsid w:val="7D621902"/>
    <w:rsid w:val="7F7168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4"/>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semiHidden/>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1015</Words>
  <Characters>1112</Characters>
  <Lines>28</Lines>
  <Paragraphs>8</Paragraphs>
  <TotalTime>6</TotalTime>
  <ScaleCrop>false</ScaleCrop>
  <LinksUpToDate>false</LinksUpToDate>
  <CharactersWithSpaces>1130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2019-07-18T09:46:00Z</dcterms:created>
  <dc:creator>PC</dc:creator>
  <cp:lastModifiedBy>Lawyer_lxd</cp:lastModifiedBy>
  <cp:lastPrinted>2025-04-23T10:23:00Z</cp:lastPrinted>
  <dcterms:modified xsi:type="dcterms:W3CDTF">2025-04-23T10:39:48Z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06EB3E8F186E422F98FC63717EFCF0D3_13</vt:lpwstr>
  </property>
  <property fmtid="{D5CDD505-2E9C-101B-9397-08002B2CF9AE}" pid="4" name="KSOTemplateDocerSaveRecord">
    <vt:lpwstr>eyJoZGlkIjoiODA4ZTQyMDJmNWJkMDQ1MzczZDg2OWVhZDZkNTY5NjMiLCJ1c2VySWQiOiIyNTUxODk2OTMifQ==</vt:lpwstr>
  </property>
</Properties>
</file>