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CCDB51">
      <w:pPr>
        <w:keepNext w:val="0"/>
        <w:keepLines w:val="0"/>
        <w:pageBreakBefore w:val="0"/>
        <w:widowControl w:val="0"/>
        <w:kinsoku/>
        <w:wordWrap/>
        <w:overflowPunct/>
        <w:topLinePunct w:val="0"/>
        <w:autoSpaceDE/>
        <w:autoSpaceDN/>
        <w:bidi w:val="0"/>
        <w:adjustRightInd/>
        <w:snapToGrid/>
        <w:spacing w:before="157" w:beforeLines="50"/>
        <w:ind w:left="0" w:firstLine="0" w:firstLineChars="0"/>
        <w:jc w:val="center"/>
        <w:textAlignment w:val="auto"/>
        <w:rPr>
          <w:rFonts w:hint="eastAsia" w:ascii="仿宋_GB2312" w:hAnsi="仿宋_GB2312" w:eastAsia="仿宋_GB2312" w:cs="仿宋_GB2312"/>
          <w:b/>
          <w:bCs/>
          <w:sz w:val="44"/>
          <w:szCs w:val="44"/>
          <w:lang w:val="en-US" w:eastAsia="zh-CN"/>
        </w:rPr>
      </w:pPr>
      <w:r>
        <w:rPr>
          <w:rFonts w:hint="eastAsia" w:ascii="宋体" w:hAnsi="宋体" w:eastAsia="宋体" w:cs="宋体"/>
          <w:b/>
          <w:bCs/>
          <w:sz w:val="44"/>
          <w:szCs w:val="44"/>
          <w:lang w:val="en-US" w:eastAsia="zh-CN"/>
        </w:rPr>
        <w:t>菏泽华鸿置业有限公司破产重整案招募投资人公告</w:t>
      </w:r>
    </w:p>
    <w:p w14:paraId="3819FCDE">
      <w:pPr>
        <w:keepNext w:val="0"/>
        <w:keepLines w:val="0"/>
        <w:pageBreakBefore w:val="0"/>
        <w:kinsoku/>
        <w:wordWrap/>
        <w:overflowPunct/>
        <w:topLinePunct w:val="0"/>
        <w:autoSpaceDE/>
        <w:autoSpaceDN/>
        <w:bidi w:val="0"/>
        <w:adjustRightInd/>
        <w:snapToGrid/>
        <w:ind w:left="0"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2024年7月5日，菏泽市中级人民法院（简称“菏泽中院”）作出（2024）鲁17破申1号民事裁定书，裁定受理菏泽华鸿置业有限公司（简称“华鸿公司”）的重整申请。2024年7月8日，菏泽市中级人民法院作出（2024）鲁17破1号决定书，指定菏泽华鸿置业有限公司清算组担任菏泽华鸿置业有限公司管理人。</w:t>
      </w:r>
    </w:p>
    <w:p w14:paraId="2B4CB619">
      <w:pPr>
        <w:keepNext w:val="0"/>
        <w:keepLines w:val="0"/>
        <w:pageBreakBefore w:val="0"/>
        <w:kinsoku/>
        <w:wordWrap/>
        <w:overflowPunct/>
        <w:topLinePunct w:val="0"/>
        <w:autoSpaceDE/>
        <w:autoSpaceDN/>
        <w:bidi w:val="0"/>
        <w:adjustRightInd/>
        <w:snapToGrid/>
        <w:ind w:left="0"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为维护全体债权人合法权益，加快推进本案破产重整进展，实现债务人重整，管理人依据《企业破产法》及相关法律规定公开招募投资人，现就招募事项公告如下：</w:t>
      </w:r>
    </w:p>
    <w:p w14:paraId="01F6075C">
      <w:pPr>
        <w:keepNext w:val="0"/>
        <w:keepLines w:val="0"/>
        <w:pageBreakBefore w:val="0"/>
        <w:kinsoku/>
        <w:wordWrap/>
        <w:overflowPunct/>
        <w:topLinePunct w:val="0"/>
        <w:autoSpaceDE/>
        <w:autoSpaceDN/>
        <w:bidi w:val="0"/>
        <w:adjustRightInd/>
        <w:snapToGrid/>
        <w:ind w:left="0" w:firstLine="600" w:firstLineChars="200"/>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一、招募须知</w:t>
      </w:r>
    </w:p>
    <w:p w14:paraId="6C37484C">
      <w:pPr>
        <w:keepNext w:val="0"/>
        <w:keepLines w:val="0"/>
        <w:pageBreakBefore w:val="0"/>
        <w:kinsoku/>
        <w:wordWrap/>
        <w:overflowPunct/>
        <w:topLinePunct w:val="0"/>
        <w:autoSpaceDE/>
        <w:autoSpaceDN/>
        <w:bidi w:val="0"/>
        <w:adjustRightInd/>
        <w:snapToGrid/>
        <w:ind w:left="0"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（一）为公平、公正引入重整投资人，本次招募采取公开的方式，以接受各方的监督。本招募公告对全体意向投资人具有同等效力。</w:t>
      </w:r>
    </w:p>
    <w:p w14:paraId="5A4F84FE">
      <w:pPr>
        <w:keepNext w:val="0"/>
        <w:keepLines w:val="0"/>
        <w:pageBreakBefore w:val="0"/>
        <w:kinsoku/>
        <w:wordWrap/>
        <w:overflowPunct/>
        <w:topLinePunct w:val="0"/>
        <w:autoSpaceDE/>
        <w:autoSpaceDN/>
        <w:bidi w:val="0"/>
        <w:adjustRightInd/>
        <w:snapToGrid/>
        <w:ind w:left="0"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（二）意向重整投资人缴纳保证金并向管理人提交重整投资文件的，视为同意按债务人现状进行投资，相关投资风险需自行承担。</w:t>
      </w:r>
    </w:p>
    <w:p w14:paraId="2D2747CE">
      <w:pPr>
        <w:keepNext w:val="0"/>
        <w:keepLines w:val="0"/>
        <w:pageBreakBefore w:val="0"/>
        <w:widowControl/>
        <w:suppressLineNumbers w:val="0"/>
        <w:kinsoku/>
        <w:wordWrap/>
        <w:overflowPunct/>
        <w:topLinePunct w:val="0"/>
        <w:autoSpaceDE/>
        <w:autoSpaceDN/>
        <w:bidi w:val="0"/>
        <w:adjustRightInd/>
        <w:snapToGrid/>
        <w:ind w:left="0" w:firstLine="600" w:firstLineChars="200"/>
        <w:jc w:val="lef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三）本招募公告编制目的是让意向重整投资人对华鸿公司情况有所了解，并不当然代替投资人的尽职调查，也不代表管理人的确认或承诺。本招募公告并非要约文件，不具有投资协议的约束性效力，只作为参考材料使用。</w:t>
      </w:r>
    </w:p>
    <w:p w14:paraId="03721D04">
      <w:pPr>
        <w:keepNext w:val="0"/>
        <w:keepLines w:val="0"/>
        <w:pageBreakBefore w:val="0"/>
        <w:widowControl/>
        <w:suppressLineNumbers w:val="0"/>
        <w:kinsoku/>
        <w:wordWrap/>
        <w:overflowPunct/>
        <w:topLinePunct w:val="0"/>
        <w:autoSpaceDE/>
        <w:autoSpaceDN/>
        <w:bidi w:val="0"/>
        <w:adjustRightInd/>
        <w:snapToGrid/>
        <w:ind w:left="0" w:firstLine="600" w:firstLineChars="200"/>
        <w:jc w:val="left"/>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（四）如有影响本次招募的重大事项发生或依法院要求，管理人可中止或撤回本次招募公告，管理人无须对意向投资人的工作作任何补偿。</w:t>
      </w:r>
    </w:p>
    <w:p w14:paraId="4088BB7B">
      <w:pPr>
        <w:keepNext w:val="0"/>
        <w:keepLines w:val="0"/>
        <w:pageBreakBefore w:val="0"/>
        <w:kinsoku/>
        <w:wordWrap/>
        <w:overflowPunct/>
        <w:topLinePunct w:val="0"/>
        <w:autoSpaceDE/>
        <w:autoSpaceDN/>
        <w:bidi w:val="0"/>
        <w:adjustRightInd/>
        <w:snapToGrid/>
        <w:ind w:left="0"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（五）本公告各项事宜的实施时间和内容，如有变动，以管理人公告或书面通知为准。本招募公告由管理人编制，最终解释权属于管理人。</w:t>
      </w:r>
    </w:p>
    <w:p w14:paraId="263B3E45">
      <w:pPr>
        <w:keepNext w:val="0"/>
        <w:keepLines w:val="0"/>
        <w:pageBreakBefore w:val="0"/>
        <w:kinsoku/>
        <w:wordWrap/>
        <w:overflowPunct/>
        <w:topLinePunct w:val="0"/>
        <w:autoSpaceDE/>
        <w:autoSpaceDN/>
        <w:bidi w:val="0"/>
        <w:adjustRightInd/>
        <w:snapToGrid/>
        <w:ind w:left="0" w:firstLine="600" w:firstLineChars="200"/>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二、菏泽华鸿置业有限公司基本情况</w:t>
      </w:r>
    </w:p>
    <w:p w14:paraId="5C1094D1">
      <w:pPr>
        <w:keepNext w:val="0"/>
        <w:keepLines w:val="0"/>
        <w:pageBreakBefore w:val="0"/>
        <w:kinsoku/>
        <w:wordWrap/>
        <w:overflowPunct/>
        <w:topLinePunct w:val="0"/>
        <w:autoSpaceDE/>
        <w:autoSpaceDN/>
        <w:bidi w:val="0"/>
        <w:adjustRightInd/>
        <w:snapToGrid/>
        <w:ind w:left="0" w:firstLine="602" w:firstLineChars="200"/>
        <w:textAlignment w:val="auto"/>
        <w:rPr>
          <w:rFonts w:hint="eastAsia" w:ascii="楷体" w:hAnsi="楷体" w:eastAsia="楷体" w:cs="楷体"/>
          <w:b/>
          <w:bCs/>
          <w:sz w:val="30"/>
          <w:szCs w:val="30"/>
          <w:lang w:val="en-US" w:eastAsia="zh-CN"/>
        </w:rPr>
      </w:pPr>
      <w:r>
        <w:rPr>
          <w:rFonts w:hint="eastAsia" w:ascii="楷体" w:hAnsi="楷体" w:eastAsia="楷体" w:cs="楷体"/>
          <w:b/>
          <w:bCs/>
          <w:sz w:val="30"/>
          <w:szCs w:val="30"/>
          <w:lang w:val="en-US" w:eastAsia="zh-CN"/>
        </w:rPr>
        <w:t>（一）工商登记信息</w:t>
      </w:r>
    </w:p>
    <w:p w14:paraId="4B320A9F">
      <w:pPr>
        <w:keepNext w:val="0"/>
        <w:keepLines w:val="0"/>
        <w:pageBreakBefore w:val="0"/>
        <w:kinsoku/>
        <w:wordWrap/>
        <w:overflowPunct/>
        <w:topLinePunct w:val="0"/>
        <w:autoSpaceDE/>
        <w:autoSpaceDN/>
        <w:bidi w:val="0"/>
        <w:adjustRightInd/>
        <w:snapToGrid/>
        <w:ind w:left="0"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1、统一社会信用代码：91371700552237460G；</w:t>
      </w:r>
    </w:p>
    <w:p w14:paraId="64A79B93">
      <w:pPr>
        <w:keepNext w:val="0"/>
        <w:keepLines w:val="0"/>
        <w:pageBreakBefore w:val="0"/>
        <w:kinsoku/>
        <w:wordWrap/>
        <w:overflowPunct/>
        <w:topLinePunct w:val="0"/>
        <w:autoSpaceDE/>
        <w:autoSpaceDN/>
        <w:bidi w:val="0"/>
        <w:adjustRightInd/>
        <w:snapToGrid/>
        <w:ind w:left="0"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2、成立日期：2010年3月19日；</w:t>
      </w:r>
    </w:p>
    <w:p w14:paraId="00764C15">
      <w:pPr>
        <w:keepNext w:val="0"/>
        <w:keepLines w:val="0"/>
        <w:pageBreakBefore w:val="0"/>
        <w:kinsoku/>
        <w:wordWrap/>
        <w:overflowPunct/>
        <w:topLinePunct w:val="0"/>
        <w:autoSpaceDE/>
        <w:autoSpaceDN/>
        <w:bidi w:val="0"/>
        <w:adjustRightInd/>
        <w:snapToGrid/>
        <w:ind w:left="0"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3、法定代表人：张跃如；</w:t>
      </w:r>
    </w:p>
    <w:p w14:paraId="15F77761">
      <w:pPr>
        <w:keepNext w:val="0"/>
        <w:keepLines w:val="0"/>
        <w:pageBreakBefore w:val="0"/>
        <w:kinsoku/>
        <w:wordWrap/>
        <w:overflowPunct/>
        <w:topLinePunct w:val="0"/>
        <w:autoSpaceDE/>
        <w:autoSpaceDN/>
        <w:bidi w:val="0"/>
        <w:adjustRightInd/>
        <w:snapToGrid/>
        <w:ind w:left="0"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4、注册资本：人民币5000万元；</w:t>
      </w:r>
    </w:p>
    <w:p w14:paraId="74177C57">
      <w:pPr>
        <w:keepNext w:val="0"/>
        <w:keepLines w:val="0"/>
        <w:pageBreakBefore w:val="0"/>
        <w:kinsoku/>
        <w:wordWrap/>
        <w:overflowPunct/>
        <w:topLinePunct w:val="0"/>
        <w:autoSpaceDE/>
        <w:autoSpaceDN/>
        <w:bidi w:val="0"/>
        <w:adjustRightInd/>
        <w:snapToGrid/>
        <w:ind w:left="0"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5、住所地：山东省菏泽市开发区人民南路99号；</w:t>
      </w:r>
    </w:p>
    <w:p w14:paraId="0CE49CF8">
      <w:pPr>
        <w:keepNext w:val="0"/>
        <w:keepLines w:val="0"/>
        <w:pageBreakBefore w:val="0"/>
        <w:kinsoku/>
        <w:wordWrap/>
        <w:overflowPunct/>
        <w:topLinePunct w:val="0"/>
        <w:autoSpaceDE/>
        <w:autoSpaceDN/>
        <w:bidi w:val="0"/>
        <w:adjustRightInd/>
        <w:snapToGrid/>
        <w:ind w:left="0"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6、股权结构：（1）孙海波出资4200万元，占比84%；（2）张跃如出资800万元，占比16%；</w:t>
      </w:r>
    </w:p>
    <w:p w14:paraId="67FEA343">
      <w:pPr>
        <w:keepNext w:val="0"/>
        <w:keepLines w:val="0"/>
        <w:pageBreakBefore w:val="0"/>
        <w:kinsoku/>
        <w:wordWrap/>
        <w:overflowPunct/>
        <w:topLinePunct w:val="0"/>
        <w:autoSpaceDE/>
        <w:autoSpaceDN/>
        <w:bidi w:val="0"/>
        <w:adjustRightInd/>
        <w:snapToGrid/>
        <w:ind w:left="0"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7、经营范围：房地产开发；商品房销售；物业管理；建材、钢材、木材、铝材、装饰装修材料的销售；工业与民用建筑的装饰装修；桥梁、公路、水利、市政工程的承包与施工；通风管道、电器、阀门的安装（依法须经批准的项目，经相关部门批准后方可开展经营活动）。</w:t>
      </w:r>
    </w:p>
    <w:p w14:paraId="7E866B27">
      <w:pPr>
        <w:keepNext w:val="0"/>
        <w:keepLines w:val="0"/>
        <w:pageBreakBefore w:val="0"/>
        <w:kinsoku/>
        <w:wordWrap/>
        <w:overflowPunct/>
        <w:topLinePunct w:val="0"/>
        <w:autoSpaceDE/>
        <w:autoSpaceDN/>
        <w:bidi w:val="0"/>
        <w:adjustRightInd/>
        <w:snapToGrid/>
        <w:ind w:left="0"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8、分支机构：（1）菏泽华鸿置业有限公司开发区分公司，统一社会信用代码为：9137170008088671X6，成立时间为：2013-10-17，负责人：张海兵，企业地址位于菏泽市佃户屯东丰路东开发段C段北段。经管理人初步调查，分公司未实际经营，存在总公司收付款通过分公司银行账户结算的情况。（2）出资企业：菏泽亲和源置业有限公司，统一社会信用代码为：913717000673801674，成立时间为：2013-4-27，法定代表人：张海兵，企业地址位于菏泽市东丰路东开发段G段北段（开发区佃户屯行政村菏商路东临）。经管理人初步调查，该公司未实际经营，华鸿公司未实际出资。</w:t>
      </w:r>
    </w:p>
    <w:p w14:paraId="3F379E6D">
      <w:pPr>
        <w:keepNext w:val="0"/>
        <w:keepLines w:val="0"/>
        <w:pageBreakBefore w:val="0"/>
        <w:kinsoku/>
        <w:wordWrap/>
        <w:overflowPunct/>
        <w:topLinePunct w:val="0"/>
        <w:autoSpaceDE/>
        <w:autoSpaceDN/>
        <w:bidi w:val="0"/>
        <w:adjustRightInd/>
        <w:snapToGrid/>
        <w:ind w:left="0" w:firstLine="602" w:firstLineChars="200"/>
        <w:textAlignment w:val="auto"/>
        <w:rPr>
          <w:rFonts w:hint="eastAsia" w:ascii="楷体" w:hAnsi="楷体" w:eastAsia="楷体" w:cs="楷体"/>
          <w:b/>
          <w:bCs/>
          <w:sz w:val="30"/>
          <w:szCs w:val="30"/>
          <w:lang w:val="en-US" w:eastAsia="zh-CN"/>
        </w:rPr>
      </w:pPr>
      <w:r>
        <w:rPr>
          <w:rFonts w:hint="eastAsia" w:ascii="楷体" w:hAnsi="楷体" w:eastAsia="楷体" w:cs="楷体"/>
          <w:b/>
          <w:bCs/>
          <w:sz w:val="30"/>
          <w:szCs w:val="30"/>
          <w:lang w:val="en-US" w:eastAsia="zh-CN"/>
        </w:rPr>
        <w:t>（二）资产情况</w:t>
      </w:r>
    </w:p>
    <w:p w14:paraId="0F34CD08">
      <w:pPr>
        <w:keepNext w:val="0"/>
        <w:keepLines w:val="0"/>
        <w:pageBreakBefore w:val="0"/>
        <w:kinsoku/>
        <w:wordWrap/>
        <w:overflowPunct/>
        <w:topLinePunct w:val="0"/>
        <w:autoSpaceDE/>
        <w:autoSpaceDN/>
        <w:bidi w:val="0"/>
        <w:adjustRightInd/>
        <w:snapToGrid/>
        <w:ind w:left="0"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华鸿公司名下资产主要系其开发的位于人民路以东、南外环以南900米的“青禾苑”项目。</w:t>
      </w:r>
    </w:p>
    <w:p w14:paraId="6BF8BF88">
      <w:pPr>
        <w:keepNext w:val="0"/>
        <w:keepLines w:val="0"/>
        <w:pageBreakBefore w:val="0"/>
        <w:kinsoku/>
        <w:wordWrap/>
        <w:overflowPunct/>
        <w:topLinePunct w:val="0"/>
        <w:autoSpaceDE/>
        <w:autoSpaceDN/>
        <w:bidi w:val="0"/>
        <w:adjustRightInd/>
        <w:snapToGrid/>
        <w:ind w:left="0"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1、土地使用权</w:t>
      </w:r>
    </w:p>
    <w:p w14:paraId="16EE6B0C">
      <w:pPr>
        <w:keepNext w:val="0"/>
        <w:keepLines w:val="0"/>
        <w:pageBreakBefore w:val="0"/>
        <w:kinsoku/>
        <w:wordWrap/>
        <w:overflowPunct/>
        <w:topLinePunct w:val="0"/>
        <w:autoSpaceDE/>
        <w:autoSpaceDN/>
        <w:bidi w:val="0"/>
        <w:adjustRightInd/>
        <w:snapToGrid/>
        <w:ind w:left="0"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债务人共有3块土地，面积约192.95亩。其中：（1）菏国用（2013）第15270号土地使用权。坐落于菏泽市人民路东侧，用途为居住、商业，使用权类型为出让，居住用地终止日期为2083年9月29日，商业用地终止日期为2053年9月29日，面积为19567.38平方米（约29.35亩）。（2）菏国用（2013）第15271号土地使用权。坐落于菏泽市人民路东侧、规划支路南侧，用途为居住用地，使用权类型为出让，终止日期为2083年9月29日，面积为40558.9平方米（约60.84亩）。（3）菏国用（2013）第15272号土地使用权。坐落于菏泽市人民路东侧、规划支路南侧，用途为居住和商业用地，使用权类型为出让，居住用地终止日期为2083年9月29日，商业用地终止日期为2053年9月29日。面积为68508.18平方米（约102.76亩）。</w:t>
      </w:r>
    </w:p>
    <w:p w14:paraId="63DCB259">
      <w:pPr>
        <w:keepNext w:val="0"/>
        <w:keepLines w:val="0"/>
        <w:pageBreakBefore w:val="0"/>
        <w:numPr>
          <w:ilvl w:val="0"/>
          <w:numId w:val="1"/>
        </w:numPr>
        <w:kinsoku/>
        <w:wordWrap/>
        <w:overflowPunct/>
        <w:topLinePunct w:val="0"/>
        <w:autoSpaceDE/>
        <w:autoSpaceDN/>
        <w:bidi w:val="0"/>
        <w:adjustRightInd/>
        <w:snapToGrid/>
        <w:ind w:left="0"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房屋</w:t>
      </w:r>
    </w:p>
    <w:p w14:paraId="5849138B">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债务人青禾苑小区项目计划建设共计44栋房屋，其中：34、35、41、44号楼尚未建设；一期别墅（共15栋楼，楼号为-3、7-9、13-15、19-21、27-29）、37、38、39、42号楼已经基本建设完毕；二期别墅（共18栋楼，楼号为4-6、10-12、16-18、22-26、30-33）、36、40、43号楼尚未竣工，不具备交付条件。</w:t>
      </w:r>
    </w:p>
    <w:p w14:paraId="64B7191F">
      <w:pPr>
        <w:pStyle w:val="3"/>
        <w:keepNext w:val="0"/>
        <w:keepLines w:val="0"/>
        <w:pageBreakBefore w:val="0"/>
        <w:kinsoku/>
        <w:wordWrap/>
        <w:overflowPunct/>
        <w:topLinePunct w:val="0"/>
        <w:autoSpaceDE/>
        <w:autoSpaceDN/>
        <w:bidi w:val="0"/>
        <w:adjustRightInd/>
        <w:snapToGrid/>
        <w:ind w:left="0"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具体资产情况最终以审计、评估机构出具的数值为准。</w:t>
      </w:r>
    </w:p>
    <w:p w14:paraId="3DE1E401">
      <w:pPr>
        <w:pStyle w:val="3"/>
        <w:keepNext w:val="0"/>
        <w:keepLines w:val="0"/>
        <w:pageBreakBefore w:val="0"/>
        <w:numPr>
          <w:ilvl w:val="0"/>
          <w:numId w:val="2"/>
        </w:numPr>
        <w:kinsoku/>
        <w:wordWrap/>
        <w:overflowPunct/>
        <w:topLinePunct w:val="0"/>
        <w:autoSpaceDE/>
        <w:autoSpaceDN/>
        <w:bidi w:val="0"/>
        <w:adjustRightInd/>
        <w:snapToGrid/>
        <w:ind w:left="0" w:firstLine="602" w:firstLineChars="200"/>
        <w:textAlignment w:val="auto"/>
        <w:rPr>
          <w:rFonts w:hint="eastAsia" w:ascii="楷体" w:hAnsi="楷体" w:eastAsia="楷体" w:cs="楷体"/>
          <w:b/>
          <w:bCs/>
          <w:sz w:val="30"/>
          <w:szCs w:val="30"/>
          <w:lang w:val="en-US" w:eastAsia="zh-CN"/>
        </w:rPr>
      </w:pPr>
      <w:r>
        <w:rPr>
          <w:rFonts w:hint="eastAsia" w:ascii="楷体" w:hAnsi="楷体" w:eastAsia="楷体" w:cs="楷体"/>
          <w:b/>
          <w:bCs/>
          <w:sz w:val="30"/>
          <w:szCs w:val="30"/>
          <w:lang w:val="en-US" w:eastAsia="zh-CN"/>
        </w:rPr>
        <w:t>负债情况</w:t>
      </w:r>
    </w:p>
    <w:p w14:paraId="7C01EE73">
      <w:pPr>
        <w:pStyle w:val="3"/>
        <w:keepNext w:val="0"/>
        <w:keepLines w:val="0"/>
        <w:pageBreakBefore w:val="0"/>
        <w:widowControl w:val="0"/>
        <w:numPr>
          <w:ilvl w:val="0"/>
          <w:numId w:val="0"/>
        </w:numPr>
        <w:kinsoku/>
        <w:wordWrap/>
        <w:overflowPunct/>
        <w:topLinePunct w:val="0"/>
        <w:autoSpaceDE/>
        <w:autoSpaceDN/>
        <w:bidi w:val="0"/>
        <w:adjustRightInd/>
        <w:snapToGrid/>
        <w:spacing w:afterLines="0" w:afterAutospacing="0"/>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截至本招募公告发布之日，债权初步确认总额约6.7亿元。</w:t>
      </w:r>
    </w:p>
    <w:p w14:paraId="394E18AF">
      <w:pPr>
        <w:pStyle w:val="3"/>
        <w:keepNext w:val="0"/>
        <w:keepLines w:val="0"/>
        <w:pageBreakBefore w:val="0"/>
        <w:widowControl w:val="0"/>
        <w:numPr>
          <w:ilvl w:val="0"/>
          <w:numId w:val="0"/>
        </w:numPr>
        <w:kinsoku/>
        <w:wordWrap/>
        <w:overflowPunct/>
        <w:topLinePunct w:val="0"/>
        <w:autoSpaceDE/>
        <w:autoSpaceDN/>
        <w:bidi w:val="0"/>
        <w:adjustRightInd/>
        <w:snapToGrid/>
        <w:spacing w:afterLines="0" w:afterAutospacing="0"/>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具体负债情况以人民法院裁定确认的债权表为准，重整投资人可根据重整案件进展情况跟进了解。</w:t>
      </w:r>
    </w:p>
    <w:p w14:paraId="36D0481E">
      <w:pPr>
        <w:keepNext w:val="0"/>
        <w:keepLines w:val="0"/>
        <w:pageBreakBefore w:val="0"/>
        <w:widowControl w:val="0"/>
        <w:numPr>
          <w:ilvl w:val="0"/>
          <w:numId w:val="3"/>
        </w:numPr>
        <w:kinsoku/>
        <w:wordWrap/>
        <w:overflowPunct/>
        <w:topLinePunct w:val="0"/>
        <w:autoSpaceDE/>
        <w:autoSpaceDN/>
        <w:bidi w:val="0"/>
        <w:adjustRightInd/>
        <w:snapToGrid/>
        <w:ind w:left="0" w:firstLine="600" w:firstLineChars="200"/>
        <w:jc w:val="both"/>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意向重整投资人资格条件</w:t>
      </w:r>
    </w:p>
    <w:p w14:paraId="4EF74B0A">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有意向参与本案的重整投资人，应同时具备如下条件：</w:t>
      </w:r>
    </w:p>
    <w:p w14:paraId="7647FFAE">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（一）中华人民共和国境内依法成立且合法存续的企业法人、非法人组织或具有完全民事行为能力的自然人；</w:t>
      </w:r>
    </w:p>
    <w:p w14:paraId="6D2E98A8">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（二）具有足够的资金实力、良好的商业信誉及较高的社会责任感；重整投资人或其控股股东、实际控制人在过去三年内无重大违法违规行为，未被人民法院列入失信被执行人或限制消费人员名单；</w:t>
      </w:r>
    </w:p>
    <w:p w14:paraId="64051CC9">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（三）重整投资人按招募要求缴纳重整保证金且提交报名材料后方具备参与重整的遴选资格；</w:t>
      </w:r>
    </w:p>
    <w:p w14:paraId="69045235">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（四）两个或两个以上的投资人可以组成联合体参投本项目，但联合体中至少有一个须符合以上条件，并明确牵头人，说明每个成员的角色及分工。</w:t>
      </w:r>
    </w:p>
    <w:p w14:paraId="7A90807D">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四、招募程序</w:t>
      </w:r>
    </w:p>
    <w:p w14:paraId="2E00D677">
      <w:pPr>
        <w:keepNext w:val="0"/>
        <w:keepLines w:val="0"/>
        <w:pageBreakBefore w:val="0"/>
        <w:widowControl w:val="0"/>
        <w:numPr>
          <w:ilvl w:val="0"/>
          <w:numId w:val="0"/>
        </w:numPr>
        <w:kinsoku/>
        <w:wordWrap/>
        <w:overflowPunct/>
        <w:topLinePunct w:val="0"/>
        <w:autoSpaceDE/>
        <w:autoSpaceDN/>
        <w:bidi w:val="0"/>
        <w:adjustRightInd/>
        <w:snapToGrid/>
        <w:ind w:left="0" w:firstLine="602" w:firstLineChars="200"/>
        <w:jc w:val="both"/>
        <w:textAlignment w:val="auto"/>
        <w:rPr>
          <w:rFonts w:hint="eastAsia" w:ascii="楷体" w:hAnsi="楷体" w:eastAsia="楷体" w:cs="楷体"/>
          <w:b/>
          <w:bCs/>
          <w:sz w:val="30"/>
          <w:szCs w:val="30"/>
          <w:lang w:val="en-US" w:eastAsia="zh-CN"/>
        </w:rPr>
      </w:pPr>
      <w:r>
        <w:rPr>
          <w:rFonts w:hint="eastAsia" w:ascii="楷体" w:hAnsi="楷体" w:eastAsia="楷体" w:cs="楷体"/>
          <w:b/>
          <w:bCs/>
          <w:sz w:val="30"/>
          <w:szCs w:val="30"/>
          <w:lang w:val="en-US" w:eastAsia="zh-CN"/>
        </w:rPr>
        <w:t>（一）报名方式及期限</w:t>
      </w:r>
    </w:p>
    <w:p w14:paraId="34DFBEEF">
      <w:pPr>
        <w:pStyle w:val="3"/>
        <w:keepNext w:val="0"/>
        <w:keepLines w:val="0"/>
        <w:pageBreakBefore w:val="0"/>
        <w:kinsoku/>
        <w:wordWrap/>
        <w:overflowPunct/>
        <w:topLinePunct w:val="0"/>
        <w:autoSpaceDE/>
        <w:autoSpaceDN/>
        <w:bidi w:val="0"/>
        <w:adjustRightInd/>
        <w:snapToGrid/>
        <w:ind w:left="0"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1、报名方式：意向重整投资人可通过邮寄、现场递交报名材料的方式向管理人报名（管理人联系方式见公告下方）。</w:t>
      </w:r>
    </w:p>
    <w:p w14:paraId="0A1FD9B8">
      <w:pPr>
        <w:pStyle w:val="3"/>
        <w:keepNext w:val="0"/>
        <w:keepLines w:val="0"/>
        <w:pageBreakBefore w:val="0"/>
        <w:kinsoku/>
        <w:wordWrap/>
        <w:overflowPunct/>
        <w:topLinePunct w:val="0"/>
        <w:autoSpaceDE/>
        <w:autoSpaceDN/>
        <w:bidi w:val="0"/>
        <w:adjustRightInd/>
        <w:snapToGrid/>
        <w:ind w:left="0"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2、报名期限：自本招募公告在全国企业破产重整案件信息网发布之日起至</w:t>
      </w:r>
      <w:r>
        <w:rPr>
          <w:rFonts w:hint="eastAsia" w:ascii="仿宋_GB2312" w:hAnsi="仿宋_GB2312" w:eastAsia="仿宋_GB2312" w:cs="仿宋_GB2312"/>
          <w:sz w:val="30"/>
          <w:szCs w:val="30"/>
          <w:highlight w:val="none"/>
          <w:lang w:val="en-US" w:eastAsia="zh-CN"/>
        </w:rPr>
        <w:t>2025年6月3</w:t>
      </w:r>
      <w:r>
        <w:rPr>
          <w:rFonts w:hint="eastAsia" w:ascii="仿宋_GB2312" w:hAnsi="仿宋_GB2312" w:eastAsia="仿宋_GB2312" w:cs="仿宋_GB2312"/>
          <w:sz w:val="30"/>
          <w:szCs w:val="30"/>
          <w:lang w:val="en-US" w:eastAsia="zh-CN"/>
        </w:rPr>
        <w:t>日。</w:t>
      </w:r>
    </w:p>
    <w:p w14:paraId="5EA3C6D9">
      <w:pPr>
        <w:keepNext w:val="0"/>
        <w:keepLines w:val="0"/>
        <w:pageBreakBefore w:val="0"/>
        <w:widowControl w:val="0"/>
        <w:numPr>
          <w:ilvl w:val="0"/>
          <w:numId w:val="0"/>
        </w:numPr>
        <w:kinsoku/>
        <w:wordWrap/>
        <w:overflowPunct/>
        <w:topLinePunct w:val="0"/>
        <w:autoSpaceDE/>
        <w:autoSpaceDN/>
        <w:bidi w:val="0"/>
        <w:adjustRightInd/>
        <w:snapToGrid/>
        <w:ind w:left="0" w:firstLine="602" w:firstLineChars="200"/>
        <w:jc w:val="both"/>
        <w:textAlignment w:val="auto"/>
        <w:rPr>
          <w:rFonts w:hint="eastAsia" w:ascii="楷体" w:hAnsi="楷体" w:eastAsia="楷体" w:cs="楷体"/>
          <w:b/>
          <w:bCs/>
          <w:sz w:val="30"/>
          <w:szCs w:val="30"/>
          <w:lang w:val="en-US" w:eastAsia="zh-CN"/>
        </w:rPr>
      </w:pPr>
      <w:r>
        <w:rPr>
          <w:rFonts w:hint="eastAsia" w:ascii="楷体" w:hAnsi="楷体" w:eastAsia="楷体" w:cs="楷体"/>
          <w:b/>
          <w:bCs/>
          <w:sz w:val="30"/>
          <w:szCs w:val="30"/>
          <w:lang w:val="en-US" w:eastAsia="zh-CN"/>
        </w:rPr>
        <w:t>（二）提交报名材料</w:t>
      </w:r>
    </w:p>
    <w:p w14:paraId="488DA5BF">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意向重整投资人报名时，需提交如下报名材料并加盖意向重整投资人公章、由其法定代表人或负责人签章（一式两份）：</w:t>
      </w:r>
    </w:p>
    <w:p w14:paraId="7A9C386A">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1、《参与重整投资意向书》（附件1）；</w:t>
      </w:r>
    </w:p>
    <w:p w14:paraId="4414CFD3">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2、《意向投资人报名承诺函》（附件2）</w:t>
      </w:r>
    </w:p>
    <w:p w14:paraId="5389EC61">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3、《保密承诺函》（附件3）</w:t>
      </w:r>
    </w:p>
    <w:p w14:paraId="2A40D9D6">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4、意向重整投资人简介，内容包括：投资人主体资格、股权结构、经营范围、资金实力以及相关经验或优势等；</w:t>
      </w:r>
    </w:p>
    <w:p w14:paraId="594F3F57">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5、营业执照副本复印件；法定代表人或负责人身份证明书；意向投资人为自然人的，应提交身份证复印件；授权委托书原件（载明受托人姓名、联系方式、职务、授权范围等）、受托人身份证复印件；意向投资人详细联系方式（地址、电话、邮件等）；公司章程；公司决策机构依据章程规定同意对华鸿公司重整投资的决议文件；</w:t>
      </w:r>
    </w:p>
    <w:p w14:paraId="24C0C7AF">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6、近三年的财务审计报告原件或能够反映近三年主要财务指标的报表（包括资产负债、主营业务收入、利润总额、净利润、现金流量等）；</w:t>
      </w:r>
    </w:p>
    <w:p w14:paraId="240D2051">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7、若联合报名的须提交联合报名合作协议书，分别同时按要求提供上述相关资料，并注明各自职责分工、权利义务；</w:t>
      </w:r>
    </w:p>
    <w:p w14:paraId="5EDF04EA">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8、其他用以证明符合报名条件的相关材料。</w:t>
      </w:r>
    </w:p>
    <w:p w14:paraId="4FE84410">
      <w:pPr>
        <w:keepNext w:val="0"/>
        <w:keepLines w:val="0"/>
        <w:pageBreakBefore w:val="0"/>
        <w:widowControl w:val="0"/>
        <w:numPr>
          <w:ilvl w:val="0"/>
          <w:numId w:val="0"/>
        </w:numPr>
        <w:kinsoku/>
        <w:wordWrap/>
        <w:overflowPunct/>
        <w:topLinePunct w:val="0"/>
        <w:autoSpaceDE/>
        <w:autoSpaceDN/>
        <w:bidi w:val="0"/>
        <w:adjustRightInd/>
        <w:snapToGrid/>
        <w:ind w:left="0" w:firstLine="602" w:firstLineChars="200"/>
        <w:jc w:val="both"/>
        <w:textAlignment w:val="auto"/>
        <w:rPr>
          <w:rFonts w:hint="eastAsia" w:ascii="楷体" w:hAnsi="楷体" w:eastAsia="楷体" w:cs="楷体"/>
          <w:b/>
          <w:bCs/>
          <w:sz w:val="30"/>
          <w:szCs w:val="30"/>
          <w:lang w:val="en-US" w:eastAsia="zh-CN"/>
        </w:rPr>
      </w:pPr>
      <w:r>
        <w:rPr>
          <w:rFonts w:hint="eastAsia" w:ascii="楷体" w:hAnsi="楷体" w:eastAsia="楷体" w:cs="楷体"/>
          <w:b/>
          <w:bCs/>
          <w:sz w:val="30"/>
          <w:szCs w:val="30"/>
          <w:lang w:val="en-US" w:eastAsia="zh-CN"/>
        </w:rPr>
        <w:t>（三）缴纳保证金</w:t>
      </w:r>
    </w:p>
    <w:p w14:paraId="5703988B">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因本项目资产价值较高，重整保证金为</w:t>
      </w:r>
      <w:r>
        <w:rPr>
          <w:rFonts w:hint="eastAsia" w:ascii="仿宋_GB2312" w:hAnsi="仿宋_GB2312" w:eastAsia="仿宋_GB2312" w:cs="仿宋_GB2312"/>
          <w:sz w:val="30"/>
          <w:szCs w:val="30"/>
          <w:highlight w:val="none"/>
          <w:lang w:val="en-US" w:eastAsia="zh-CN"/>
        </w:rPr>
        <w:t>300</w:t>
      </w:r>
      <w:r>
        <w:rPr>
          <w:rFonts w:hint="eastAsia" w:ascii="仿宋_GB2312" w:hAnsi="仿宋_GB2312" w:eastAsia="仿宋_GB2312" w:cs="仿宋_GB2312"/>
          <w:sz w:val="30"/>
          <w:szCs w:val="30"/>
          <w:lang w:val="en-US" w:eastAsia="zh-CN"/>
        </w:rPr>
        <w:t>万元。向管理人报名并被确认报名资格的意向重整投资人，应在2025年</w:t>
      </w:r>
      <w:r>
        <w:rPr>
          <w:rFonts w:hint="eastAsia" w:ascii="仿宋_GB2312" w:hAnsi="仿宋_GB2312" w:eastAsia="仿宋_GB2312" w:cs="仿宋_GB2312"/>
          <w:sz w:val="30"/>
          <w:szCs w:val="30"/>
          <w:highlight w:val="none"/>
          <w:lang w:val="en-US" w:eastAsia="zh-CN"/>
        </w:rPr>
        <w:t>6月3日</w:t>
      </w:r>
      <w:r>
        <w:rPr>
          <w:rFonts w:hint="eastAsia" w:ascii="仿宋_GB2312" w:hAnsi="仿宋_GB2312" w:eastAsia="仿宋_GB2312" w:cs="仿宋_GB2312"/>
          <w:sz w:val="30"/>
          <w:szCs w:val="30"/>
          <w:lang w:val="en-US" w:eastAsia="zh-CN"/>
        </w:rPr>
        <w:t>前向管理人缴纳</w:t>
      </w:r>
      <w:r>
        <w:rPr>
          <w:rFonts w:hint="eastAsia" w:ascii="仿宋_GB2312" w:hAnsi="仿宋_GB2312" w:eastAsia="仿宋_GB2312" w:cs="仿宋_GB2312"/>
          <w:sz w:val="30"/>
          <w:szCs w:val="30"/>
          <w:highlight w:val="none"/>
          <w:lang w:val="en-US" w:eastAsia="zh-CN"/>
        </w:rPr>
        <w:t>300</w:t>
      </w:r>
      <w:r>
        <w:rPr>
          <w:rFonts w:hint="eastAsia" w:ascii="仿宋_GB2312" w:hAnsi="仿宋_GB2312" w:eastAsia="仿宋_GB2312" w:cs="仿宋_GB2312"/>
          <w:sz w:val="30"/>
          <w:szCs w:val="30"/>
          <w:lang w:val="en-US" w:eastAsia="zh-CN"/>
        </w:rPr>
        <w:t>万元的</w:t>
      </w:r>
      <w:r>
        <w:rPr>
          <w:rFonts w:hint="eastAsia" w:ascii="仿宋_GB2312" w:hAnsi="仿宋_GB2312" w:eastAsia="仿宋_GB2312" w:cs="仿宋_GB2312"/>
          <w:b w:val="0"/>
          <w:bCs w:val="0"/>
          <w:sz w:val="30"/>
          <w:szCs w:val="30"/>
          <w:lang w:val="en-US"/>
        </w:rPr>
        <w:t>保证金</w:t>
      </w:r>
      <w:r>
        <w:rPr>
          <w:rFonts w:hint="eastAsia" w:ascii="仿宋_GB2312" w:hAnsi="仿宋_GB2312" w:eastAsia="仿宋_GB2312" w:cs="仿宋_GB2312"/>
          <w:sz w:val="30"/>
          <w:szCs w:val="30"/>
          <w:lang w:val="en-US" w:eastAsia="zh-CN"/>
        </w:rPr>
        <w:t>。保证金汇入下列账户：</w:t>
      </w:r>
    </w:p>
    <w:p w14:paraId="68BA39AA">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户  名：菏泽华鸿置业有限公司管理人</w:t>
      </w:r>
    </w:p>
    <w:p w14:paraId="0E9A5858">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开户行：中国工商银行股份有限公司菏泽鲁西新区支行</w:t>
      </w:r>
    </w:p>
    <w:p w14:paraId="12199D2A">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账  号：1609030039200745559</w:t>
      </w:r>
    </w:p>
    <w:p w14:paraId="3E2D4139">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缴纳了保证金的意向投资人在尽职调查完成后若无意继续参与华鸿公司重整投资或逾期未向管理人提交重整投资方案的，可向管理人递交书面申请，经管理人审查确认不存在违反保密承诺函情况的，则保证金将按照本公告规定无息退回；如发现违反保密承诺的，管理人将对保证金予以没收，如保证金无法弥补损失的，管理人保留主张赔偿责任的权利;</w:t>
      </w:r>
    </w:p>
    <w:p w14:paraId="58F63AF1">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如有意继续参与重整投资的，在管理人确定最终投资人后，未被确定为最终投资人的意向投资人可向管理人递交书面退款申请，经管理人审查确认不存在违反保密承诺函情况的，则保证金将按照本公告规定无息退回；如发现违反保密承诺的，管理人将对保证金予以没收，如保证金无法弥补损失的，管理人保留主张赔偿责任的权利;</w:t>
      </w:r>
    </w:p>
    <w:p w14:paraId="546C8D11">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default" w:ascii="仿宋_GB2312" w:hAnsi="仿宋_GB2312" w:eastAsia="仿宋_GB2312" w:cs="仿宋_GB2312"/>
          <w:sz w:val="30"/>
          <w:szCs w:val="30"/>
          <w:highlight w:val="yellow"/>
          <w:lang w:val="en-US" w:eastAsia="zh-CN"/>
        </w:rPr>
      </w:pPr>
      <w:r>
        <w:rPr>
          <w:rFonts w:hint="eastAsia" w:ascii="仿宋_GB2312" w:hAnsi="仿宋_GB2312" w:eastAsia="仿宋_GB2312" w:cs="仿宋_GB2312"/>
          <w:sz w:val="30"/>
          <w:szCs w:val="30"/>
          <w:lang w:val="en-US" w:eastAsia="zh-CN"/>
        </w:rPr>
        <w:t xml:space="preserve">3、在意向投资人提交投资方案，并被管理人确定为最终投资人后，如果最终投资人未能按照管理人要求签订重整投资协议，则管理人将对保证金予以没收。在投资人与管理人签订重整投资协议后，已缴纳的保证金将转为后续正式的重整投资保证金。 </w:t>
      </w:r>
    </w:p>
    <w:p w14:paraId="23F09C2B">
      <w:pPr>
        <w:keepNext w:val="0"/>
        <w:keepLines w:val="0"/>
        <w:pageBreakBefore w:val="0"/>
        <w:widowControl w:val="0"/>
        <w:numPr>
          <w:ilvl w:val="0"/>
          <w:numId w:val="2"/>
        </w:numPr>
        <w:kinsoku/>
        <w:wordWrap/>
        <w:overflowPunct/>
        <w:topLinePunct w:val="0"/>
        <w:autoSpaceDE/>
        <w:autoSpaceDN/>
        <w:bidi w:val="0"/>
        <w:adjustRightInd/>
        <w:snapToGrid/>
        <w:ind w:left="0" w:leftChars="0" w:firstLine="602" w:firstLineChars="200"/>
        <w:jc w:val="both"/>
        <w:textAlignment w:val="auto"/>
        <w:rPr>
          <w:rFonts w:hint="eastAsia" w:ascii="楷体" w:hAnsi="楷体" w:eastAsia="楷体" w:cs="楷体"/>
          <w:b/>
          <w:bCs/>
          <w:sz w:val="30"/>
          <w:szCs w:val="30"/>
          <w:lang w:val="en-US" w:eastAsia="zh-CN"/>
        </w:rPr>
      </w:pPr>
      <w:r>
        <w:rPr>
          <w:rFonts w:hint="eastAsia" w:ascii="楷体" w:hAnsi="楷体" w:eastAsia="楷体" w:cs="楷体"/>
          <w:b/>
          <w:bCs/>
          <w:sz w:val="30"/>
          <w:szCs w:val="30"/>
          <w:lang w:val="en-US" w:eastAsia="zh-CN"/>
        </w:rPr>
        <w:t>初步筛选及提交重整投资方案</w:t>
      </w:r>
    </w:p>
    <w:p w14:paraId="73E02C72">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管理人将对意向重整投资人的报名资料进行审查，确认意向重整投资人报名资格后，将提供与华鸿公司有关的基础材料，配合其开展尽职调查工作。开展尽职调查工作所需的费用由意向投资人自行承担。意向重整投资人应根据尽调结果，按照管理人要求的期限向管理人提交具有可操作性的《重整投资方案》，包括重整资金来源、出资人权益调整、债权调整、债权清偿及后续经营方案等。</w:t>
      </w:r>
    </w:p>
    <w:p w14:paraId="17F81E0E">
      <w:pPr>
        <w:keepNext w:val="0"/>
        <w:keepLines w:val="0"/>
        <w:pageBreakBefore w:val="0"/>
        <w:widowControl w:val="0"/>
        <w:numPr>
          <w:ilvl w:val="0"/>
          <w:numId w:val="2"/>
        </w:numPr>
        <w:kinsoku/>
        <w:wordWrap/>
        <w:overflowPunct/>
        <w:topLinePunct w:val="0"/>
        <w:autoSpaceDE/>
        <w:autoSpaceDN/>
        <w:bidi w:val="0"/>
        <w:adjustRightInd/>
        <w:snapToGrid/>
        <w:ind w:left="0" w:leftChars="0" w:firstLine="602" w:firstLineChars="200"/>
        <w:jc w:val="both"/>
        <w:textAlignment w:val="auto"/>
        <w:rPr>
          <w:rFonts w:hint="eastAsia" w:ascii="楷体" w:hAnsi="楷体" w:eastAsia="楷体" w:cs="楷体"/>
          <w:b/>
          <w:bCs/>
          <w:sz w:val="30"/>
          <w:szCs w:val="30"/>
          <w:lang w:val="en-US" w:eastAsia="zh-CN"/>
        </w:rPr>
      </w:pPr>
      <w:r>
        <w:rPr>
          <w:rFonts w:hint="eastAsia" w:ascii="楷体" w:hAnsi="楷体" w:eastAsia="楷体" w:cs="楷体"/>
          <w:b/>
          <w:bCs/>
          <w:sz w:val="30"/>
          <w:szCs w:val="30"/>
          <w:lang w:val="en-US" w:eastAsia="zh-CN"/>
        </w:rPr>
        <w:t>重整投资人的遴选</w:t>
      </w:r>
    </w:p>
    <w:p w14:paraId="35BBC957">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为了保证意向重整投资人遴选工作的公正、透明，管理人将在菏泽中院的指导监督下，根据意向重整投资人的综合实力及《重整投资方案》的内容，遴选出最终重整投资人。</w:t>
      </w:r>
    </w:p>
    <w:p w14:paraId="6F601B5F">
      <w:pPr>
        <w:keepNext w:val="0"/>
        <w:keepLines w:val="0"/>
        <w:pageBreakBefore w:val="0"/>
        <w:widowControl w:val="0"/>
        <w:numPr>
          <w:ilvl w:val="0"/>
          <w:numId w:val="2"/>
        </w:numPr>
        <w:kinsoku/>
        <w:wordWrap/>
        <w:overflowPunct/>
        <w:topLinePunct w:val="0"/>
        <w:autoSpaceDE/>
        <w:autoSpaceDN/>
        <w:bidi w:val="0"/>
        <w:adjustRightInd/>
        <w:snapToGrid/>
        <w:ind w:left="0" w:leftChars="0" w:firstLine="602" w:firstLineChars="200"/>
        <w:jc w:val="both"/>
        <w:textAlignment w:val="auto"/>
        <w:rPr>
          <w:rFonts w:hint="eastAsia" w:ascii="楷体" w:hAnsi="楷体" w:eastAsia="楷体" w:cs="楷体"/>
          <w:b/>
          <w:bCs/>
          <w:sz w:val="30"/>
          <w:szCs w:val="30"/>
          <w:lang w:val="en-US" w:eastAsia="zh-CN"/>
        </w:rPr>
      </w:pPr>
      <w:r>
        <w:rPr>
          <w:rFonts w:hint="eastAsia" w:ascii="楷体" w:hAnsi="楷体" w:eastAsia="楷体" w:cs="楷体"/>
          <w:b/>
          <w:bCs/>
          <w:sz w:val="30"/>
          <w:szCs w:val="30"/>
          <w:lang w:val="en-US" w:eastAsia="zh-CN"/>
        </w:rPr>
        <w:t>签订重整投资协议</w:t>
      </w:r>
    </w:p>
    <w:p w14:paraId="282DCBFD">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管理人将根据本案具体情况及重整投资人提交的重整投资预案可行性，与重整投资人签署重整投资协议，并按照重整投资协议的主要内容制定重整计划草案提交人民法院和债权人会议。</w:t>
      </w:r>
    </w:p>
    <w:p w14:paraId="7A5AA6E5">
      <w:pPr>
        <w:keepNext w:val="0"/>
        <w:keepLines w:val="0"/>
        <w:pageBreakBefore w:val="0"/>
        <w:widowControl w:val="0"/>
        <w:numPr>
          <w:ilvl w:val="0"/>
          <w:numId w:val="2"/>
        </w:numPr>
        <w:kinsoku/>
        <w:wordWrap/>
        <w:overflowPunct/>
        <w:topLinePunct w:val="0"/>
        <w:autoSpaceDE/>
        <w:autoSpaceDN/>
        <w:bidi w:val="0"/>
        <w:adjustRightInd/>
        <w:snapToGrid/>
        <w:ind w:left="0" w:leftChars="0" w:firstLine="602" w:firstLineChars="200"/>
        <w:jc w:val="both"/>
        <w:textAlignment w:val="auto"/>
        <w:rPr>
          <w:rFonts w:hint="eastAsia" w:ascii="楷体" w:hAnsi="楷体" w:eastAsia="楷体" w:cs="楷体"/>
          <w:b/>
          <w:bCs/>
          <w:sz w:val="30"/>
          <w:szCs w:val="30"/>
          <w:lang w:val="en-US" w:eastAsia="zh-CN"/>
        </w:rPr>
      </w:pPr>
      <w:r>
        <w:rPr>
          <w:rFonts w:hint="eastAsia" w:ascii="楷体" w:hAnsi="楷体" w:eastAsia="楷体" w:cs="楷体"/>
          <w:b/>
          <w:bCs/>
          <w:sz w:val="30"/>
          <w:szCs w:val="30"/>
          <w:lang w:val="en-US" w:eastAsia="zh-CN"/>
        </w:rPr>
        <w:t>退款安排</w:t>
      </w:r>
    </w:p>
    <w:p w14:paraId="0560527E">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1、保证金缴存期间不计付利息；</w:t>
      </w:r>
    </w:p>
    <w:p w14:paraId="6B8F9559">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2、管理人自最终确定重整投资人后三十个工作日内退还其他意向重整投资人所缴纳的尽职调查保证金；</w:t>
      </w:r>
    </w:p>
    <w:p w14:paraId="4A1D40CE">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3、《重整计划草案》未获法院裁定批准后，管理人将在十五个工作日内无息退还重整保证金；</w:t>
      </w:r>
    </w:p>
    <w:p w14:paraId="0ACA029A">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4</w:t>
      </w:r>
      <w:bookmarkStart w:id="0" w:name="_GoBack"/>
      <w:bookmarkEnd w:id="0"/>
      <w:r>
        <w:rPr>
          <w:rFonts w:hint="eastAsia" w:ascii="仿宋_GB2312" w:hAnsi="仿宋_GB2312" w:eastAsia="仿宋_GB2312" w:cs="仿宋_GB2312"/>
          <w:sz w:val="30"/>
          <w:szCs w:val="30"/>
          <w:lang w:val="en-US" w:eastAsia="zh-CN"/>
        </w:rPr>
        <w:t>、出现以下情形的，管理人有权不予返还保证金并有权取消其投资人资格：</w:t>
      </w:r>
    </w:p>
    <w:p w14:paraId="0838208A">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（1）意向重整投资人违反保密协议或在尽调过程中泄露关键信息及出现其他导致</w:t>
      </w:r>
      <w:r>
        <w:rPr>
          <w:rFonts w:hint="eastAsia" w:ascii="仿宋_GB2312" w:hAnsi="仿宋_GB2312" w:eastAsia="仿宋_GB2312" w:cs="仿宋_GB2312"/>
          <w:sz w:val="30"/>
          <w:szCs w:val="30"/>
          <w:highlight w:val="none"/>
          <w:lang w:val="en-US" w:eastAsia="zh-CN"/>
        </w:rPr>
        <w:t>华鸿</w:t>
      </w:r>
      <w:r>
        <w:rPr>
          <w:rFonts w:hint="eastAsia" w:ascii="仿宋_GB2312" w:hAnsi="仿宋_GB2312" w:eastAsia="仿宋_GB2312" w:cs="仿宋_GB2312"/>
          <w:sz w:val="30"/>
          <w:szCs w:val="30"/>
          <w:lang w:val="en-US" w:eastAsia="zh-CN"/>
        </w:rPr>
        <w:t>公司财产贬损或商誉受损行为的；</w:t>
      </w:r>
    </w:p>
    <w:p w14:paraId="0F9A0DF8">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（2）经重整投资人修改后提交的《重整投资方案》，劣于此前提交的方案且拒绝按照管理人要求修改的；</w:t>
      </w:r>
    </w:p>
    <w:p w14:paraId="3CB1D089">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（3）经管理人两次通知，未缴纳履约保证金或未签订投资协议的；</w:t>
      </w:r>
    </w:p>
    <w:p w14:paraId="3BF19003">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（4）最终确认的重整投资人因其自身原因导致投资行为不能或拒不配合破产程序推进的；</w:t>
      </w:r>
    </w:p>
    <w:p w14:paraId="460CB3BC">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（5）在《重整计划草案》获得人民法院裁定批准后，未按照《重整计划草案》的约定履行义务的。</w:t>
      </w:r>
    </w:p>
    <w:p w14:paraId="3725D2B1">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五、联系方式</w:t>
      </w:r>
    </w:p>
    <w:p w14:paraId="7F35AE0E">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邮寄地址：山东省菏泽市人民南路东南郡A区商业楼1楼；</w:t>
      </w:r>
    </w:p>
    <w:p w14:paraId="0297DE1C">
      <w:pPr>
        <w:keepNext w:val="0"/>
        <w:keepLines w:val="0"/>
        <w:pageBreakBefore w:val="0"/>
        <w:widowControl w:val="0"/>
        <w:numPr>
          <w:ilvl w:val="0"/>
          <w:numId w:val="0"/>
        </w:numPr>
        <w:kinsoku/>
        <w:wordWrap/>
        <w:overflowPunct/>
        <w:topLinePunct w:val="0"/>
        <w:autoSpaceDE/>
        <w:autoSpaceDN/>
        <w:bidi w:val="0"/>
        <w:adjustRightInd/>
        <w:snapToGrid/>
        <w:ind w:left="0" w:firstLine="600" w:firstLineChars="2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电    话：18553701369（张律师）、17865888372（马律师）。</w:t>
      </w:r>
    </w:p>
    <w:p w14:paraId="162FC633">
      <w:pPr>
        <w:pStyle w:val="3"/>
        <w:keepNext w:val="0"/>
        <w:keepLines w:val="0"/>
        <w:pageBreakBefore w:val="0"/>
        <w:widowControl w:val="0"/>
        <w:kinsoku/>
        <w:wordWrap/>
        <w:overflowPunct/>
        <w:topLinePunct w:val="0"/>
        <w:autoSpaceDE/>
        <w:autoSpaceDN/>
        <w:bidi w:val="0"/>
        <w:adjustRightInd/>
        <w:snapToGrid/>
        <w:ind w:firstLine="600" w:firstLineChars="200"/>
        <w:textAlignment w:val="auto"/>
        <w:rPr>
          <w:rFonts w:hint="default"/>
          <w:lang w:val="en-US" w:eastAsia="zh-CN"/>
        </w:rPr>
      </w:pPr>
      <w:r>
        <w:rPr>
          <w:rFonts w:hint="eastAsia" w:ascii="仿宋_GB2312" w:hAnsi="仿宋_GB2312" w:eastAsia="仿宋_GB2312" w:cs="仿宋_GB2312"/>
          <w:sz w:val="30"/>
          <w:szCs w:val="30"/>
          <w:lang w:val="en-US" w:eastAsia="zh-CN"/>
        </w:rPr>
        <w:t>特此公告！</w:t>
      </w:r>
    </w:p>
    <w:p w14:paraId="3CFF3F94">
      <w:pPr>
        <w:keepNext w:val="0"/>
        <w:keepLines w:val="0"/>
        <w:pageBreakBefore w:val="0"/>
        <w:widowControl w:val="0"/>
        <w:numPr>
          <w:ilvl w:val="0"/>
          <w:numId w:val="0"/>
        </w:numPr>
        <w:kinsoku/>
        <w:wordWrap/>
        <w:overflowPunct/>
        <w:topLinePunct w:val="0"/>
        <w:autoSpaceDE/>
        <w:autoSpaceDN/>
        <w:bidi w:val="0"/>
        <w:adjustRightInd/>
        <w:snapToGrid/>
        <w:spacing w:before="937" w:beforeLines="300"/>
        <w:ind w:left="0" w:firstLine="0" w:firstLineChars="0"/>
        <w:jc w:val="righ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菏泽华鸿置业有限公司管理人</w:t>
      </w:r>
    </w:p>
    <w:p w14:paraId="573862D5">
      <w:pPr>
        <w:keepNext w:val="0"/>
        <w:keepLines w:val="0"/>
        <w:pageBreakBefore w:val="0"/>
        <w:widowControl w:val="0"/>
        <w:numPr>
          <w:ilvl w:val="0"/>
          <w:numId w:val="0"/>
        </w:numPr>
        <w:kinsoku/>
        <w:wordWrap w:val="0"/>
        <w:overflowPunct/>
        <w:topLinePunct w:val="0"/>
        <w:autoSpaceDE/>
        <w:autoSpaceDN/>
        <w:bidi w:val="0"/>
        <w:adjustRightInd/>
        <w:snapToGrid/>
        <w:spacing w:before="313" w:beforeLines="100"/>
        <w:ind w:left="0" w:firstLine="0" w:firstLineChars="0"/>
        <w:jc w:val="righ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二〇二五年五月十九日   </w:t>
      </w:r>
    </w:p>
    <w:p w14:paraId="1E418069">
      <w:pPr>
        <w:keepNext w:val="0"/>
        <w:keepLines w:val="0"/>
        <w:pageBreakBefore w:val="0"/>
        <w:widowControl/>
        <w:numPr>
          <w:ilvl w:val="-1"/>
          <w:numId w:val="0"/>
        </w:numPr>
        <w:kinsoku/>
        <w:wordWrap/>
        <w:overflowPunct/>
        <w:topLinePunct w:val="0"/>
        <w:autoSpaceDE/>
        <w:autoSpaceDN/>
        <w:bidi w:val="0"/>
        <w:adjustRightInd/>
        <w:snapToGrid/>
        <w:spacing w:before="0" w:beforeLines="-2147483648"/>
        <w:ind w:left="0" w:firstLine="0" w:firstLineChars="0"/>
        <w:jc w:val="lef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br w:type="page"/>
      </w:r>
    </w:p>
    <w:p w14:paraId="6620C59B">
      <w:pPr>
        <w:adjustRightInd w:val="0"/>
        <w:snapToGrid w:val="0"/>
        <w:jc w:val="left"/>
        <w:rPr>
          <w:rFonts w:eastAsia="仿宋_GB2312"/>
          <w:b/>
          <w:bCs/>
          <w:sz w:val="36"/>
          <w:szCs w:val="36"/>
        </w:rPr>
      </w:pPr>
      <w:r>
        <w:rPr>
          <w:rFonts w:eastAsia="仿宋_GB2312"/>
          <w:b/>
          <w:bCs/>
          <w:sz w:val="28"/>
          <w:szCs w:val="28"/>
        </w:rPr>
        <w:t>附件1：</w:t>
      </w:r>
    </w:p>
    <w:p w14:paraId="1249BD21">
      <w:pPr>
        <w:spacing w:line="360" w:lineRule="auto"/>
        <w:jc w:val="center"/>
        <w:rPr>
          <w:rFonts w:ascii="黑体" w:hAnsi="黑体" w:eastAsia="黑体" w:cs="宋体"/>
          <w:sz w:val="32"/>
          <w:szCs w:val="32"/>
        </w:rPr>
      </w:pPr>
      <w:r>
        <w:rPr>
          <w:rFonts w:hint="eastAsia" w:ascii="黑体" w:hAnsi="黑体" w:eastAsia="黑体" w:cs="宋体"/>
          <w:sz w:val="32"/>
          <w:szCs w:val="32"/>
          <w:lang w:eastAsia="zh-CN"/>
        </w:rPr>
        <w:t>菏泽华鸿置业有限公司</w:t>
      </w:r>
      <w:r>
        <w:rPr>
          <w:rFonts w:hint="eastAsia" w:ascii="黑体" w:hAnsi="黑体" w:eastAsia="黑体" w:cs="宋体"/>
          <w:sz w:val="32"/>
          <w:szCs w:val="32"/>
        </w:rPr>
        <w:t>重整投资人报名意向书</w:t>
      </w:r>
    </w:p>
    <w:tbl>
      <w:tblPr>
        <w:tblStyle w:val="5"/>
        <w:tblW w:w="8639" w:type="dxa"/>
        <w:tblInd w:w="0" w:type="dxa"/>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Layout w:type="fixed"/>
        <w:tblCellMar>
          <w:top w:w="0" w:type="dxa"/>
          <w:left w:w="108" w:type="dxa"/>
          <w:bottom w:w="0" w:type="dxa"/>
          <w:right w:w="108" w:type="dxa"/>
        </w:tblCellMar>
      </w:tblPr>
      <w:tblGrid>
        <w:gridCol w:w="2334"/>
        <w:gridCol w:w="6305"/>
      </w:tblGrid>
      <w:tr w14:paraId="40B3A2CD">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045" w:hRule="atLeast"/>
        </w:trPr>
        <w:tc>
          <w:tcPr>
            <w:tcW w:w="2334" w:type="dxa"/>
            <w:vMerge w:val="restart"/>
            <w:tcBorders>
              <w:top w:val="single" w:color="000000" w:sz="6" w:space="0"/>
              <w:left w:val="single" w:color="000000" w:sz="6" w:space="0"/>
              <w:right w:val="single" w:color="000000" w:sz="6" w:space="0"/>
            </w:tcBorders>
            <w:shd w:val="clear" w:color="auto" w:fill="auto"/>
            <w:tcMar>
              <w:top w:w="0" w:type="dxa"/>
              <w:left w:w="10" w:type="dxa"/>
              <w:bottom w:w="0" w:type="dxa"/>
              <w:right w:w="10" w:type="dxa"/>
            </w:tcMar>
            <w:vAlign w:val="center"/>
          </w:tcPr>
          <w:p w14:paraId="31E94B18">
            <w:pPr>
              <w:widowControl/>
              <w:adjustRightInd w:val="0"/>
              <w:spacing w:line="360" w:lineRule="atLeast"/>
              <w:jc w:val="center"/>
              <w:textAlignment w:val="center"/>
              <w:rPr>
                <w:rStyle w:val="7"/>
                <w:rFonts w:ascii="Times New Roman" w:cs="Times New Roman"/>
                <w:sz w:val="24"/>
                <w:szCs w:val="24"/>
                <w:lang w:bidi="ar"/>
              </w:rPr>
            </w:pPr>
            <w:r>
              <w:rPr>
                <w:rStyle w:val="7"/>
                <w:rFonts w:hint="eastAsia" w:ascii="Times New Roman" w:cs="Times New Roman"/>
                <w:sz w:val="24"/>
                <w:szCs w:val="24"/>
                <w:lang w:bidi="ar"/>
              </w:rPr>
              <w:t>报名主体</w:t>
            </w:r>
          </w:p>
        </w:tc>
        <w:tc>
          <w:tcPr>
            <w:tcW w:w="6305" w:type="dxa"/>
            <w:tcBorders>
              <w:top w:val="single" w:color="000000" w:sz="6" w:space="0"/>
              <w:left w:val="single" w:color="000000" w:sz="6" w:space="0"/>
              <w:bottom w:val="single" w:color="000000" w:sz="6" w:space="0"/>
              <w:right w:val="single" w:color="000000" w:sz="6" w:space="0"/>
            </w:tcBorders>
            <w:shd w:val="clear" w:color="auto" w:fill="auto"/>
            <w:tcMar>
              <w:top w:w="0" w:type="dxa"/>
              <w:left w:w="10" w:type="dxa"/>
              <w:bottom w:w="0" w:type="dxa"/>
              <w:right w:w="10" w:type="dxa"/>
            </w:tcMar>
            <w:vAlign w:val="center"/>
          </w:tcPr>
          <w:p w14:paraId="5DF2A2B8">
            <w:pPr>
              <w:widowControl/>
              <w:adjustRightInd w:val="0"/>
              <w:spacing w:line="360" w:lineRule="atLeast"/>
              <w:jc w:val="left"/>
              <w:textAlignment w:val="center"/>
              <w:rPr>
                <w:rStyle w:val="7"/>
                <w:rFonts w:ascii="Times New Roman" w:cs="Times New Roman"/>
                <w:sz w:val="24"/>
                <w:szCs w:val="24"/>
                <w:lang w:bidi="ar"/>
              </w:rPr>
            </w:pPr>
            <w:r>
              <w:rPr>
                <w:rStyle w:val="7"/>
                <w:rFonts w:hint="eastAsia" w:ascii="Times New Roman" w:cs="Times New Roman"/>
                <w:sz w:val="24"/>
                <w:szCs w:val="24"/>
                <w:lang w:bidi="ar"/>
              </w:rPr>
              <w:t>□单体报名</w:t>
            </w:r>
          </w:p>
          <w:p w14:paraId="4059663A">
            <w:pPr>
              <w:widowControl/>
              <w:adjustRightInd w:val="0"/>
              <w:spacing w:line="360" w:lineRule="atLeast"/>
              <w:jc w:val="left"/>
              <w:textAlignment w:val="center"/>
              <w:rPr>
                <w:rStyle w:val="7"/>
                <w:rFonts w:ascii="Times New Roman" w:cs="Times New Roman"/>
                <w:sz w:val="24"/>
                <w:szCs w:val="24"/>
                <w:lang w:bidi="ar"/>
              </w:rPr>
            </w:pPr>
            <w:r>
              <w:rPr>
                <w:rStyle w:val="7"/>
                <w:rFonts w:hint="eastAsia" w:ascii="Times New Roman" w:cs="Times New Roman"/>
                <w:sz w:val="24"/>
                <w:szCs w:val="24"/>
                <w:lang w:bidi="ar"/>
              </w:rPr>
              <w:t>姓名/企业名称（全称）:</w:t>
            </w:r>
          </w:p>
        </w:tc>
      </w:tr>
      <w:tr w14:paraId="7D5A5B62">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2075" w:hRule="atLeast"/>
        </w:trPr>
        <w:tc>
          <w:tcPr>
            <w:tcW w:w="2334" w:type="dxa"/>
            <w:vMerge w:val="continue"/>
            <w:tcBorders>
              <w:left w:val="single" w:color="000000" w:sz="6" w:space="0"/>
              <w:right w:val="single" w:color="000000" w:sz="6" w:space="0"/>
            </w:tcBorders>
            <w:shd w:val="clear" w:color="auto" w:fill="auto"/>
            <w:tcMar>
              <w:top w:w="0" w:type="dxa"/>
              <w:left w:w="10" w:type="dxa"/>
              <w:bottom w:w="0" w:type="dxa"/>
              <w:right w:w="10" w:type="dxa"/>
            </w:tcMar>
            <w:vAlign w:val="center"/>
          </w:tcPr>
          <w:p w14:paraId="4679633F">
            <w:pPr>
              <w:widowControl/>
              <w:adjustRightInd w:val="0"/>
              <w:spacing w:line="360" w:lineRule="atLeast"/>
              <w:jc w:val="center"/>
              <w:textAlignment w:val="center"/>
              <w:rPr>
                <w:rStyle w:val="7"/>
                <w:rFonts w:ascii="Times New Roman" w:cs="Times New Roman"/>
                <w:sz w:val="24"/>
                <w:szCs w:val="24"/>
                <w:lang w:bidi="ar"/>
              </w:rPr>
            </w:pPr>
          </w:p>
        </w:tc>
        <w:tc>
          <w:tcPr>
            <w:tcW w:w="6305" w:type="dxa"/>
            <w:tcBorders>
              <w:top w:val="single" w:color="CBCDD1" w:sz="6" w:space="0"/>
              <w:left w:val="single" w:color="000000" w:sz="6" w:space="0"/>
              <w:bottom w:val="single" w:color="000000" w:sz="6" w:space="0"/>
              <w:right w:val="single" w:color="000000" w:sz="6" w:space="0"/>
            </w:tcBorders>
            <w:shd w:val="clear" w:color="auto" w:fill="auto"/>
            <w:tcMar>
              <w:top w:w="0" w:type="dxa"/>
              <w:left w:w="10" w:type="dxa"/>
              <w:bottom w:w="0" w:type="dxa"/>
              <w:right w:w="10" w:type="dxa"/>
            </w:tcMar>
            <w:vAlign w:val="center"/>
          </w:tcPr>
          <w:p w14:paraId="39E13A62">
            <w:pPr>
              <w:widowControl/>
              <w:adjustRightInd w:val="0"/>
              <w:spacing w:line="360" w:lineRule="atLeast"/>
              <w:jc w:val="left"/>
              <w:textAlignment w:val="center"/>
              <w:rPr>
                <w:rStyle w:val="7"/>
                <w:rFonts w:ascii="Times New Roman" w:cs="Times New Roman"/>
                <w:sz w:val="24"/>
                <w:szCs w:val="24"/>
                <w:lang w:bidi="ar"/>
              </w:rPr>
            </w:pPr>
            <w:r>
              <w:rPr>
                <w:rStyle w:val="7"/>
                <w:rFonts w:hint="eastAsia" w:ascii="Times New Roman" w:cs="Times New Roman"/>
                <w:sz w:val="24"/>
                <w:szCs w:val="24"/>
                <w:lang w:bidi="ar"/>
              </w:rPr>
              <w:t>□联合体报名</w:t>
            </w:r>
          </w:p>
          <w:p w14:paraId="10899AEB">
            <w:pPr>
              <w:widowControl/>
              <w:adjustRightInd w:val="0"/>
              <w:spacing w:line="360" w:lineRule="atLeast"/>
              <w:jc w:val="left"/>
              <w:textAlignment w:val="center"/>
              <w:rPr>
                <w:rStyle w:val="7"/>
                <w:rFonts w:ascii="Times New Roman" w:cs="Times New Roman"/>
                <w:sz w:val="24"/>
                <w:szCs w:val="24"/>
                <w:lang w:bidi="ar"/>
              </w:rPr>
            </w:pPr>
            <w:r>
              <w:rPr>
                <w:rStyle w:val="7"/>
                <w:rFonts w:hint="eastAsia" w:ascii="Times New Roman" w:cs="Times New Roman"/>
                <w:sz w:val="24"/>
                <w:szCs w:val="24"/>
                <w:lang w:bidi="ar"/>
              </w:rPr>
              <w:t>联合体名称:</w:t>
            </w:r>
          </w:p>
          <w:p w14:paraId="0A08F0A2">
            <w:pPr>
              <w:widowControl/>
              <w:adjustRightInd w:val="0"/>
              <w:spacing w:line="360" w:lineRule="atLeast"/>
              <w:jc w:val="left"/>
              <w:textAlignment w:val="center"/>
              <w:rPr>
                <w:rStyle w:val="7"/>
                <w:rFonts w:ascii="Times New Roman" w:cs="Times New Roman"/>
                <w:sz w:val="24"/>
                <w:szCs w:val="24"/>
                <w:lang w:bidi="ar"/>
              </w:rPr>
            </w:pPr>
            <w:r>
              <w:rPr>
                <w:rStyle w:val="7"/>
                <w:rFonts w:hint="eastAsia" w:ascii="Times New Roman" w:cs="Times New Roman"/>
                <w:sz w:val="24"/>
                <w:szCs w:val="24"/>
                <w:lang w:bidi="ar"/>
              </w:rPr>
              <w:t xml:space="preserve">牵头人名称: </w:t>
            </w:r>
          </w:p>
          <w:p w14:paraId="1404205D">
            <w:pPr>
              <w:widowControl/>
              <w:adjustRightInd w:val="0"/>
              <w:spacing w:line="360" w:lineRule="atLeast"/>
              <w:jc w:val="left"/>
              <w:textAlignment w:val="center"/>
              <w:rPr>
                <w:rStyle w:val="7"/>
                <w:rFonts w:ascii="Times New Roman" w:cs="Times New Roman"/>
                <w:sz w:val="24"/>
                <w:szCs w:val="24"/>
                <w:lang w:bidi="ar"/>
              </w:rPr>
            </w:pPr>
            <w:r>
              <w:rPr>
                <w:rStyle w:val="7"/>
                <w:rFonts w:hint="eastAsia" w:ascii="Times New Roman" w:cs="Times New Roman"/>
                <w:sz w:val="24"/>
                <w:szCs w:val="24"/>
                <w:lang w:bidi="ar"/>
              </w:rPr>
              <w:t>其他成员名称:</w:t>
            </w:r>
          </w:p>
        </w:tc>
      </w:tr>
      <w:tr w14:paraId="07B2C534">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045" w:hRule="atLeast"/>
        </w:trPr>
        <w:tc>
          <w:tcPr>
            <w:tcW w:w="2334" w:type="dxa"/>
            <w:tcBorders>
              <w:top w:val="single" w:color="000000" w:sz="6" w:space="0"/>
              <w:left w:val="single" w:color="000000" w:sz="6" w:space="0"/>
              <w:bottom w:val="single" w:color="000000" w:sz="6" w:space="0"/>
              <w:right w:val="single" w:color="000000" w:sz="6" w:space="0"/>
            </w:tcBorders>
            <w:shd w:val="clear" w:color="auto" w:fill="auto"/>
            <w:tcMar>
              <w:top w:w="0" w:type="dxa"/>
              <w:left w:w="10" w:type="dxa"/>
              <w:bottom w:w="0" w:type="dxa"/>
              <w:right w:w="10" w:type="dxa"/>
            </w:tcMar>
            <w:vAlign w:val="center"/>
          </w:tcPr>
          <w:p w14:paraId="0E70C95F">
            <w:pPr>
              <w:widowControl/>
              <w:adjustRightInd w:val="0"/>
              <w:spacing w:line="360" w:lineRule="atLeast"/>
              <w:jc w:val="center"/>
              <w:textAlignment w:val="center"/>
              <w:rPr>
                <w:rStyle w:val="7"/>
                <w:rFonts w:ascii="Times New Roman" w:cs="Times New Roman"/>
                <w:sz w:val="24"/>
                <w:szCs w:val="24"/>
                <w:lang w:bidi="ar"/>
              </w:rPr>
            </w:pPr>
            <w:r>
              <w:rPr>
                <w:rStyle w:val="7"/>
                <w:rFonts w:hint="eastAsia" w:ascii="Times New Roman" w:cs="Times New Roman"/>
                <w:sz w:val="24"/>
                <w:szCs w:val="24"/>
                <w:lang w:bidi="ar"/>
              </w:rPr>
              <w:t>财务状况</w:t>
            </w:r>
          </w:p>
        </w:tc>
        <w:tc>
          <w:tcPr>
            <w:tcW w:w="6305" w:type="dxa"/>
            <w:tcBorders>
              <w:top w:val="single" w:color="CBCDD1" w:sz="6" w:space="0"/>
              <w:left w:val="single" w:color="000000" w:sz="6" w:space="0"/>
              <w:bottom w:val="single" w:color="000000" w:sz="6" w:space="0"/>
              <w:right w:val="single" w:color="000000" w:sz="6" w:space="0"/>
            </w:tcBorders>
            <w:shd w:val="clear" w:color="auto" w:fill="auto"/>
            <w:tcMar>
              <w:top w:w="0" w:type="dxa"/>
              <w:left w:w="10" w:type="dxa"/>
              <w:bottom w:w="0" w:type="dxa"/>
              <w:right w:w="10" w:type="dxa"/>
            </w:tcMar>
            <w:vAlign w:val="center"/>
          </w:tcPr>
          <w:p w14:paraId="17EA0447">
            <w:pPr>
              <w:widowControl/>
              <w:adjustRightInd w:val="0"/>
              <w:spacing w:line="360" w:lineRule="atLeast"/>
              <w:jc w:val="left"/>
              <w:textAlignment w:val="center"/>
              <w:rPr>
                <w:rStyle w:val="7"/>
                <w:rFonts w:ascii="Times New Roman" w:cs="Times New Roman"/>
                <w:sz w:val="24"/>
                <w:szCs w:val="24"/>
                <w:lang w:bidi="ar"/>
              </w:rPr>
            </w:pPr>
            <w:r>
              <w:rPr>
                <w:rStyle w:val="7"/>
                <w:rFonts w:hint="eastAsia" w:ascii="Times New Roman" w:cs="Times New Roman"/>
                <w:sz w:val="24"/>
                <w:szCs w:val="24"/>
                <w:lang w:bidi="ar"/>
              </w:rPr>
              <w:t>截至      年    月    日，本单位资产总额为        元，净资产为       元。</w:t>
            </w:r>
          </w:p>
        </w:tc>
      </w:tr>
      <w:tr w14:paraId="1B2BBE80">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2075" w:hRule="atLeast"/>
        </w:trPr>
        <w:tc>
          <w:tcPr>
            <w:tcW w:w="2334" w:type="dxa"/>
            <w:tcBorders>
              <w:top w:val="single" w:color="000000" w:sz="6" w:space="0"/>
              <w:left w:val="single" w:color="000000" w:sz="6" w:space="0"/>
              <w:bottom w:val="single" w:color="000000" w:sz="6" w:space="0"/>
              <w:right w:val="single" w:color="000000" w:sz="6" w:space="0"/>
            </w:tcBorders>
            <w:shd w:val="clear" w:color="auto" w:fill="auto"/>
            <w:tcMar>
              <w:top w:w="0" w:type="dxa"/>
              <w:left w:w="10" w:type="dxa"/>
              <w:bottom w:w="0" w:type="dxa"/>
              <w:right w:w="10" w:type="dxa"/>
            </w:tcMar>
            <w:vAlign w:val="center"/>
          </w:tcPr>
          <w:p w14:paraId="70441236">
            <w:pPr>
              <w:widowControl/>
              <w:adjustRightInd w:val="0"/>
              <w:spacing w:line="360" w:lineRule="atLeast"/>
              <w:jc w:val="center"/>
              <w:textAlignment w:val="center"/>
              <w:rPr>
                <w:rStyle w:val="7"/>
                <w:rFonts w:ascii="Times New Roman" w:cs="Times New Roman"/>
                <w:sz w:val="24"/>
                <w:szCs w:val="24"/>
                <w:lang w:bidi="ar"/>
              </w:rPr>
            </w:pPr>
            <w:r>
              <w:rPr>
                <w:rStyle w:val="7"/>
                <w:rFonts w:hint="eastAsia" w:ascii="Times New Roman" w:cs="Times New Roman"/>
                <w:sz w:val="24"/>
                <w:szCs w:val="24"/>
                <w:lang w:bidi="ar"/>
              </w:rPr>
              <w:t>意向投资人通讯方式及送达地址确认</w:t>
            </w:r>
          </w:p>
          <w:p w14:paraId="7E7B95E7">
            <w:pPr>
              <w:widowControl/>
              <w:adjustRightInd w:val="0"/>
              <w:spacing w:line="360" w:lineRule="atLeast"/>
              <w:jc w:val="center"/>
              <w:textAlignment w:val="center"/>
              <w:rPr>
                <w:rStyle w:val="7"/>
                <w:rFonts w:ascii="Times New Roman" w:cs="Times New Roman"/>
                <w:sz w:val="24"/>
                <w:szCs w:val="24"/>
                <w:lang w:bidi="ar"/>
              </w:rPr>
            </w:pPr>
            <w:r>
              <w:rPr>
                <w:rStyle w:val="7"/>
                <w:rFonts w:hint="eastAsia" w:ascii="Times New Roman" w:cs="Times New Roman"/>
                <w:sz w:val="24"/>
                <w:szCs w:val="24"/>
                <w:lang w:bidi="ar"/>
              </w:rPr>
              <w:t>（联系人应为有权代表意向投资人的授权代表）</w:t>
            </w:r>
          </w:p>
        </w:tc>
        <w:tc>
          <w:tcPr>
            <w:tcW w:w="6305" w:type="dxa"/>
            <w:tcBorders>
              <w:top w:val="single" w:color="CBCDD1" w:sz="6" w:space="0"/>
              <w:left w:val="single" w:color="000000" w:sz="6" w:space="0"/>
              <w:bottom w:val="single" w:color="000000" w:sz="6" w:space="0"/>
              <w:right w:val="single" w:color="000000" w:sz="6" w:space="0"/>
            </w:tcBorders>
            <w:shd w:val="clear" w:color="auto" w:fill="auto"/>
            <w:tcMar>
              <w:top w:w="0" w:type="dxa"/>
              <w:left w:w="10" w:type="dxa"/>
              <w:bottom w:w="0" w:type="dxa"/>
              <w:right w:w="10" w:type="dxa"/>
            </w:tcMar>
            <w:vAlign w:val="center"/>
          </w:tcPr>
          <w:p w14:paraId="6632BB86">
            <w:pPr>
              <w:widowControl/>
              <w:adjustRightInd w:val="0"/>
              <w:spacing w:line="360" w:lineRule="atLeast"/>
              <w:jc w:val="left"/>
              <w:textAlignment w:val="center"/>
              <w:rPr>
                <w:rStyle w:val="7"/>
                <w:rFonts w:ascii="Times New Roman" w:cs="Times New Roman"/>
                <w:sz w:val="24"/>
                <w:szCs w:val="24"/>
                <w:lang w:bidi="ar"/>
              </w:rPr>
            </w:pPr>
            <w:r>
              <w:rPr>
                <w:rStyle w:val="7"/>
                <w:rFonts w:hint="eastAsia" w:ascii="Times New Roman" w:cs="Times New Roman"/>
                <w:sz w:val="24"/>
                <w:szCs w:val="24"/>
                <w:lang w:bidi="ar"/>
              </w:rPr>
              <w:t xml:space="preserve">联系人：                                     </w:t>
            </w:r>
          </w:p>
          <w:p w14:paraId="4350E037">
            <w:pPr>
              <w:widowControl/>
              <w:adjustRightInd w:val="0"/>
              <w:spacing w:line="360" w:lineRule="atLeast"/>
              <w:jc w:val="left"/>
              <w:textAlignment w:val="center"/>
              <w:rPr>
                <w:rStyle w:val="7"/>
                <w:rFonts w:ascii="Times New Roman" w:cs="Times New Roman"/>
                <w:sz w:val="24"/>
                <w:szCs w:val="24"/>
                <w:lang w:bidi="ar"/>
              </w:rPr>
            </w:pPr>
            <w:r>
              <w:rPr>
                <w:rStyle w:val="7"/>
                <w:rFonts w:hint="eastAsia" w:ascii="Times New Roman" w:cs="Times New Roman"/>
                <w:sz w:val="24"/>
                <w:szCs w:val="24"/>
                <w:lang w:bidi="ar"/>
              </w:rPr>
              <w:t xml:space="preserve">联系电话：                                   </w:t>
            </w:r>
          </w:p>
          <w:p w14:paraId="10B68456">
            <w:pPr>
              <w:widowControl/>
              <w:adjustRightInd w:val="0"/>
              <w:spacing w:line="360" w:lineRule="atLeast"/>
              <w:jc w:val="left"/>
              <w:textAlignment w:val="center"/>
              <w:rPr>
                <w:rStyle w:val="7"/>
                <w:rFonts w:ascii="Times New Roman" w:cs="Times New Roman"/>
                <w:sz w:val="24"/>
                <w:szCs w:val="24"/>
                <w:lang w:bidi="ar"/>
              </w:rPr>
            </w:pPr>
            <w:r>
              <w:rPr>
                <w:rStyle w:val="7"/>
                <w:rFonts w:hint="eastAsia" w:ascii="Times New Roman" w:cs="Times New Roman"/>
                <w:sz w:val="24"/>
                <w:szCs w:val="24"/>
                <w:lang w:bidi="ar"/>
              </w:rPr>
              <w:t xml:space="preserve">联系邮箱：                                   </w:t>
            </w:r>
          </w:p>
          <w:p w14:paraId="44FF8F5D">
            <w:pPr>
              <w:widowControl/>
              <w:adjustRightInd w:val="0"/>
              <w:spacing w:line="360" w:lineRule="atLeast"/>
              <w:jc w:val="left"/>
              <w:textAlignment w:val="center"/>
              <w:rPr>
                <w:rStyle w:val="7"/>
                <w:rFonts w:ascii="Times New Roman" w:cs="Times New Roman"/>
                <w:sz w:val="24"/>
                <w:szCs w:val="24"/>
                <w:lang w:bidi="ar"/>
              </w:rPr>
            </w:pPr>
            <w:r>
              <w:rPr>
                <w:rStyle w:val="7"/>
                <w:rFonts w:hint="eastAsia" w:ascii="Times New Roman" w:cs="Times New Roman"/>
                <w:sz w:val="24"/>
                <w:szCs w:val="24"/>
                <w:lang w:bidi="ar"/>
              </w:rPr>
              <w:t xml:space="preserve">地址：                                                     </w:t>
            </w:r>
          </w:p>
        </w:tc>
      </w:tr>
      <w:tr w14:paraId="53B8BFF1">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2591" w:hRule="atLeast"/>
        </w:trPr>
        <w:tc>
          <w:tcPr>
            <w:tcW w:w="2334" w:type="dxa"/>
            <w:tcBorders>
              <w:top w:val="single" w:color="000000" w:sz="6" w:space="0"/>
              <w:left w:val="single" w:color="000000" w:sz="6" w:space="0"/>
              <w:right w:val="single" w:color="000000" w:sz="6" w:space="0"/>
            </w:tcBorders>
            <w:shd w:val="clear" w:color="auto" w:fill="auto"/>
            <w:tcMar>
              <w:top w:w="0" w:type="dxa"/>
              <w:left w:w="10" w:type="dxa"/>
              <w:bottom w:w="0" w:type="dxa"/>
              <w:right w:w="10" w:type="dxa"/>
            </w:tcMar>
            <w:vAlign w:val="center"/>
          </w:tcPr>
          <w:p w14:paraId="7837F490">
            <w:pPr>
              <w:widowControl/>
              <w:adjustRightInd w:val="0"/>
              <w:spacing w:line="360" w:lineRule="atLeast"/>
              <w:jc w:val="center"/>
              <w:textAlignment w:val="center"/>
              <w:rPr>
                <w:rStyle w:val="7"/>
                <w:rFonts w:ascii="Times New Roman" w:cs="Times New Roman"/>
                <w:sz w:val="24"/>
                <w:szCs w:val="24"/>
                <w:lang w:bidi="ar"/>
              </w:rPr>
            </w:pPr>
            <w:r>
              <w:rPr>
                <w:rStyle w:val="7"/>
                <w:rFonts w:hint="eastAsia" w:ascii="Times New Roman" w:cs="Times New Roman"/>
                <w:sz w:val="24"/>
                <w:szCs w:val="24"/>
                <w:lang w:bidi="ar"/>
              </w:rPr>
              <w:t>投资意向</w:t>
            </w:r>
          </w:p>
        </w:tc>
        <w:tc>
          <w:tcPr>
            <w:tcW w:w="6305" w:type="dxa"/>
            <w:tcBorders>
              <w:top w:val="single" w:color="CBCDD1" w:sz="6" w:space="0"/>
              <w:left w:val="single" w:color="000000" w:sz="6" w:space="0"/>
              <w:bottom w:val="single" w:color="000000" w:sz="6" w:space="0"/>
              <w:right w:val="single" w:color="000000" w:sz="6" w:space="0"/>
            </w:tcBorders>
            <w:shd w:val="clear" w:color="auto" w:fill="auto"/>
            <w:tcMar>
              <w:top w:w="0" w:type="dxa"/>
              <w:left w:w="10" w:type="dxa"/>
              <w:bottom w:w="0" w:type="dxa"/>
              <w:right w:w="10" w:type="dxa"/>
            </w:tcMar>
            <w:vAlign w:val="center"/>
          </w:tcPr>
          <w:p w14:paraId="15AE1DC5">
            <w:pPr>
              <w:widowControl/>
              <w:adjustRightInd w:val="0"/>
              <w:spacing w:line="360" w:lineRule="atLeast"/>
              <w:jc w:val="left"/>
              <w:textAlignment w:val="center"/>
              <w:rPr>
                <w:rStyle w:val="7"/>
                <w:rFonts w:ascii="Times New Roman" w:cs="Times New Roman"/>
                <w:sz w:val="24"/>
                <w:szCs w:val="24"/>
                <w:lang w:bidi="ar"/>
              </w:rPr>
            </w:pPr>
            <w:r>
              <w:rPr>
                <w:rStyle w:val="7"/>
                <w:rFonts w:hint="eastAsia" w:ascii="Times New Roman" w:cs="Times New Roman"/>
                <w:sz w:val="24"/>
                <w:szCs w:val="24"/>
                <w:lang w:bidi="ar"/>
              </w:rPr>
              <w:t>本单位已充分知悉并了解</w:t>
            </w:r>
            <w:r>
              <w:rPr>
                <w:rStyle w:val="7"/>
                <w:rFonts w:hint="eastAsia" w:ascii="Times New Roman" w:eastAsia="仿宋_GB2312" w:cs="Times New Roman"/>
                <w:sz w:val="24"/>
                <w:szCs w:val="24"/>
                <w:lang w:eastAsia="zh-CN" w:bidi="ar"/>
              </w:rPr>
              <w:t>菏泽华鸿置业有限公司</w:t>
            </w:r>
            <w:r>
              <w:rPr>
                <w:rStyle w:val="7"/>
                <w:rFonts w:hint="eastAsia" w:ascii="Times New Roman" w:cs="Times New Roman"/>
                <w:sz w:val="24"/>
                <w:szCs w:val="24"/>
                <w:lang w:bidi="ar"/>
              </w:rPr>
              <w:t>管理人公开招募投资人的公告内容，承诺符合该公告所要求的意向投资人报名条件。本单位提交的报名材料均真实、合法、有效且不存在重大隐瞒或遗漏，本单位自愿参与</w:t>
            </w:r>
            <w:r>
              <w:rPr>
                <w:rStyle w:val="7"/>
                <w:rFonts w:hint="eastAsia" w:ascii="Times New Roman" w:eastAsia="仿宋_GB2312" w:cs="Times New Roman"/>
                <w:sz w:val="24"/>
                <w:szCs w:val="24"/>
                <w:lang w:eastAsia="zh-CN" w:bidi="ar"/>
              </w:rPr>
              <w:t>菏泽华鸿置业有限公司</w:t>
            </w:r>
            <w:r>
              <w:rPr>
                <w:rStyle w:val="7"/>
                <w:rFonts w:hint="eastAsia" w:ascii="Times New Roman" w:cs="Times New Roman"/>
                <w:sz w:val="24"/>
                <w:szCs w:val="24"/>
                <w:lang w:bidi="ar"/>
              </w:rPr>
              <w:t>投资人的招募报名。</w:t>
            </w:r>
          </w:p>
        </w:tc>
      </w:tr>
      <w:tr w14:paraId="3F78C5B3">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674" w:hRule="atLeast"/>
        </w:trPr>
        <w:tc>
          <w:tcPr>
            <w:tcW w:w="2334" w:type="dxa"/>
            <w:tcBorders>
              <w:top w:val="single" w:color="000000" w:sz="6" w:space="0"/>
              <w:left w:val="single" w:color="000000" w:sz="6" w:space="0"/>
              <w:bottom w:val="single" w:color="000000" w:sz="6" w:space="0"/>
              <w:right w:val="single" w:color="000000" w:sz="6" w:space="0"/>
            </w:tcBorders>
            <w:shd w:val="clear" w:color="auto" w:fill="auto"/>
            <w:tcMar>
              <w:top w:w="0" w:type="dxa"/>
              <w:left w:w="10" w:type="dxa"/>
              <w:bottom w:w="0" w:type="dxa"/>
              <w:right w:w="10" w:type="dxa"/>
            </w:tcMar>
            <w:vAlign w:val="center"/>
          </w:tcPr>
          <w:p w14:paraId="71A87549">
            <w:pPr>
              <w:widowControl/>
              <w:adjustRightInd w:val="0"/>
              <w:spacing w:line="360" w:lineRule="atLeast"/>
              <w:jc w:val="center"/>
              <w:textAlignment w:val="center"/>
              <w:rPr>
                <w:rStyle w:val="7"/>
                <w:rFonts w:ascii="Times New Roman" w:cs="Times New Roman"/>
                <w:sz w:val="24"/>
                <w:szCs w:val="24"/>
                <w:lang w:bidi="ar"/>
              </w:rPr>
            </w:pPr>
            <w:r>
              <w:rPr>
                <w:rStyle w:val="7"/>
                <w:rFonts w:hint="eastAsia" w:ascii="Times New Roman" w:cs="Times New Roman"/>
                <w:sz w:val="24"/>
                <w:szCs w:val="24"/>
                <w:lang w:bidi="ar"/>
              </w:rPr>
              <w:t>退款账户</w:t>
            </w:r>
          </w:p>
        </w:tc>
        <w:tc>
          <w:tcPr>
            <w:tcW w:w="6305" w:type="dxa"/>
            <w:tcBorders>
              <w:top w:val="single" w:color="CBCDD1" w:sz="6" w:space="0"/>
              <w:left w:val="single" w:color="000000" w:sz="6" w:space="0"/>
              <w:bottom w:val="single" w:color="000000" w:sz="6" w:space="0"/>
              <w:right w:val="single" w:color="000000" w:sz="6" w:space="0"/>
            </w:tcBorders>
            <w:shd w:val="clear" w:color="auto" w:fill="auto"/>
            <w:tcMar>
              <w:top w:w="0" w:type="dxa"/>
              <w:left w:w="10" w:type="dxa"/>
              <w:bottom w:w="0" w:type="dxa"/>
              <w:right w:w="10" w:type="dxa"/>
            </w:tcMar>
            <w:vAlign w:val="center"/>
          </w:tcPr>
          <w:p w14:paraId="66A87192">
            <w:pPr>
              <w:widowControl/>
              <w:adjustRightInd w:val="0"/>
              <w:spacing w:line="360" w:lineRule="atLeast"/>
              <w:jc w:val="left"/>
              <w:textAlignment w:val="center"/>
              <w:rPr>
                <w:rStyle w:val="7"/>
                <w:rFonts w:ascii="Times New Roman" w:cs="Times New Roman"/>
                <w:sz w:val="24"/>
                <w:szCs w:val="24"/>
                <w:lang w:bidi="ar"/>
              </w:rPr>
            </w:pPr>
            <w:r>
              <w:rPr>
                <w:rStyle w:val="7"/>
                <w:rFonts w:hint="eastAsia" w:ascii="Times New Roman" w:cs="Times New Roman"/>
                <w:sz w:val="24"/>
                <w:szCs w:val="24"/>
                <w:lang w:bidi="ar"/>
              </w:rPr>
              <w:t xml:space="preserve">账户名称：                                  </w:t>
            </w:r>
          </w:p>
          <w:p w14:paraId="6719D836">
            <w:pPr>
              <w:widowControl/>
              <w:adjustRightInd w:val="0"/>
              <w:spacing w:line="360" w:lineRule="atLeast"/>
              <w:jc w:val="left"/>
              <w:textAlignment w:val="center"/>
              <w:rPr>
                <w:rStyle w:val="7"/>
                <w:rFonts w:ascii="Times New Roman" w:cs="Times New Roman"/>
                <w:sz w:val="24"/>
                <w:szCs w:val="24"/>
                <w:lang w:bidi="ar"/>
              </w:rPr>
            </w:pPr>
            <w:r>
              <w:rPr>
                <w:rStyle w:val="7"/>
                <w:rFonts w:hint="eastAsia" w:ascii="Times New Roman" w:cs="Times New Roman"/>
                <w:sz w:val="24"/>
                <w:szCs w:val="24"/>
                <w:lang w:bidi="ar"/>
              </w:rPr>
              <w:t xml:space="preserve">开户行：                                    </w:t>
            </w:r>
          </w:p>
          <w:p w14:paraId="65887837">
            <w:pPr>
              <w:widowControl/>
              <w:adjustRightInd w:val="0"/>
              <w:spacing w:line="360" w:lineRule="atLeast"/>
              <w:jc w:val="left"/>
              <w:textAlignment w:val="center"/>
              <w:rPr>
                <w:rStyle w:val="7"/>
                <w:rFonts w:ascii="Times New Roman" w:cs="Times New Roman"/>
                <w:sz w:val="24"/>
                <w:szCs w:val="24"/>
                <w:lang w:bidi="ar"/>
              </w:rPr>
            </w:pPr>
            <w:r>
              <w:rPr>
                <w:rStyle w:val="7"/>
                <w:rFonts w:hint="eastAsia" w:ascii="Times New Roman" w:cs="Times New Roman"/>
                <w:sz w:val="24"/>
                <w:szCs w:val="24"/>
                <w:lang w:bidi="ar"/>
              </w:rPr>
              <w:t xml:space="preserve">账户：                                      </w:t>
            </w:r>
          </w:p>
        </w:tc>
      </w:tr>
    </w:tbl>
    <w:p w14:paraId="17453733">
      <w:pPr>
        <w:wordWrap w:val="0"/>
        <w:spacing w:line="560" w:lineRule="exact"/>
        <w:jc w:val="right"/>
        <w:rPr>
          <w:rFonts w:eastAsia="仿宋_GB2312"/>
          <w:sz w:val="22"/>
          <w:szCs w:val="22"/>
        </w:rPr>
      </w:pPr>
      <w:r>
        <w:rPr>
          <w:rFonts w:hint="eastAsia" w:eastAsia="仿宋_GB2312"/>
          <w:color w:val="000000" w:themeColor="text1"/>
          <w:sz w:val="28"/>
          <w:szCs w:val="28"/>
          <w14:textFill>
            <w14:solidFill>
              <w14:schemeClr w14:val="tx1"/>
            </w14:solidFill>
          </w14:textFill>
        </w:rPr>
        <w:t xml:space="preserve"> 意向投资人（盖章）：</w:t>
      </w:r>
      <w:r>
        <w:rPr>
          <w:rFonts w:eastAsia="仿宋_GB2312"/>
          <w:sz w:val="22"/>
          <w:szCs w:val="22"/>
        </w:rPr>
        <w:t xml:space="preserve">        </w:t>
      </w:r>
    </w:p>
    <w:p w14:paraId="55636AD4">
      <w:pPr>
        <w:wordWrap w:val="0"/>
        <w:spacing w:line="560" w:lineRule="exact"/>
        <w:ind w:firstLine="440" w:firstLineChars="200"/>
        <w:jc w:val="right"/>
        <w:rPr>
          <w:rFonts w:eastAsia="仿宋_GB2312"/>
          <w:color w:val="000000" w:themeColor="text1"/>
          <w:sz w:val="28"/>
          <w:szCs w:val="28"/>
          <w14:textFill>
            <w14:solidFill>
              <w14:schemeClr w14:val="tx1"/>
            </w14:solidFill>
          </w14:textFill>
        </w:rPr>
      </w:pPr>
      <w:r>
        <w:rPr>
          <w:rFonts w:eastAsia="仿宋_GB2312"/>
          <w:sz w:val="22"/>
          <w:szCs w:val="22"/>
        </w:rPr>
        <w:t xml:space="preserve">            </w:t>
      </w:r>
      <w:r>
        <w:rPr>
          <w:rFonts w:hint="eastAsia" w:eastAsia="仿宋_GB2312"/>
          <w:color w:val="000000" w:themeColor="text1"/>
          <w:sz w:val="28"/>
          <w:szCs w:val="28"/>
          <w14:textFill>
            <w14:solidFill>
              <w14:schemeClr w14:val="tx1"/>
            </w14:solidFill>
          </w14:textFill>
        </w:rPr>
        <w:t>年  月   日</w:t>
      </w:r>
    </w:p>
    <w:p w14:paraId="3B899606">
      <w:pPr>
        <w:widowControl/>
        <w:jc w:val="left"/>
        <w:rPr>
          <w:rFonts w:eastAsia="仿宋_GB2312"/>
          <w:sz w:val="22"/>
          <w:szCs w:val="22"/>
        </w:rPr>
      </w:pPr>
      <w:r>
        <w:rPr>
          <w:rFonts w:eastAsia="仿宋_GB2312"/>
          <w:sz w:val="22"/>
          <w:szCs w:val="22"/>
        </w:rPr>
        <w:br w:type="page"/>
      </w:r>
    </w:p>
    <w:p w14:paraId="3C62FDEC">
      <w:pPr>
        <w:adjustRightInd w:val="0"/>
        <w:snapToGrid w:val="0"/>
        <w:jc w:val="left"/>
        <w:rPr>
          <w:rFonts w:eastAsia="仿宋_GB2312"/>
          <w:b/>
          <w:bCs/>
          <w:sz w:val="28"/>
          <w:szCs w:val="28"/>
        </w:rPr>
      </w:pPr>
      <w:r>
        <w:rPr>
          <w:rFonts w:eastAsia="仿宋_GB2312"/>
          <w:b/>
          <w:bCs/>
          <w:sz w:val="28"/>
          <w:szCs w:val="28"/>
        </w:rPr>
        <w:t>附件2：</w:t>
      </w:r>
    </w:p>
    <w:p w14:paraId="620635E8">
      <w:pPr>
        <w:spacing w:line="360" w:lineRule="auto"/>
        <w:jc w:val="center"/>
        <w:rPr>
          <w:rFonts w:ascii="黑体" w:hAnsi="黑体" w:eastAsia="黑体" w:cs="宋体"/>
          <w:sz w:val="32"/>
          <w:szCs w:val="32"/>
        </w:rPr>
      </w:pPr>
      <w:r>
        <w:rPr>
          <w:rFonts w:hint="eastAsia" w:ascii="黑体" w:hAnsi="黑体" w:eastAsia="黑体" w:cs="宋体"/>
          <w:sz w:val="32"/>
          <w:szCs w:val="32"/>
        </w:rPr>
        <w:t>意向投资人报名承诺函</w:t>
      </w:r>
    </w:p>
    <w:p w14:paraId="2895431A">
      <w:pPr>
        <w:spacing w:line="560" w:lineRule="exact"/>
        <w:rPr>
          <w:rFonts w:eastAsia="仿宋_GB2312"/>
          <w:color w:val="000000" w:themeColor="text1"/>
          <w:sz w:val="28"/>
          <w:szCs w:val="28"/>
          <w14:textFill>
            <w14:solidFill>
              <w14:schemeClr w14:val="tx1"/>
            </w14:solidFill>
          </w14:textFill>
        </w:rPr>
      </w:pPr>
      <w:r>
        <w:rPr>
          <w:rFonts w:hint="eastAsia" w:eastAsia="仿宋_GB2312"/>
          <w:color w:val="000000" w:themeColor="text1"/>
          <w:sz w:val="28"/>
          <w:szCs w:val="28"/>
          <w:lang w:eastAsia="zh-CN"/>
          <w14:textFill>
            <w14:solidFill>
              <w14:schemeClr w14:val="tx1"/>
            </w14:solidFill>
          </w14:textFill>
        </w:rPr>
        <w:t>菏泽华鸿置业有限公司</w:t>
      </w:r>
      <w:r>
        <w:rPr>
          <w:rFonts w:hint="eastAsia" w:eastAsia="仿宋_GB2312"/>
          <w:color w:val="000000" w:themeColor="text1"/>
          <w:sz w:val="28"/>
          <w:szCs w:val="28"/>
          <w14:textFill>
            <w14:solidFill>
              <w14:schemeClr w14:val="tx1"/>
            </w14:solidFill>
          </w14:textFill>
        </w:rPr>
        <w:t>管理人:</w:t>
      </w:r>
    </w:p>
    <w:p w14:paraId="013C00DC">
      <w:pPr>
        <w:spacing w:line="560" w:lineRule="exact"/>
        <w:ind w:firstLine="560" w:firstLineChars="200"/>
        <w:rPr>
          <w:rFonts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我方拟参与贵方开展的</w:t>
      </w:r>
      <w:r>
        <w:rPr>
          <w:rFonts w:hint="eastAsia" w:eastAsia="仿宋_GB2312"/>
          <w:color w:val="000000" w:themeColor="text1"/>
          <w:sz w:val="28"/>
          <w:szCs w:val="28"/>
          <w:lang w:eastAsia="zh-CN"/>
          <w14:textFill>
            <w14:solidFill>
              <w14:schemeClr w14:val="tx1"/>
            </w14:solidFill>
          </w14:textFill>
        </w:rPr>
        <w:t>菏泽华鸿置业有限公司</w:t>
      </w:r>
      <w:r>
        <w:rPr>
          <w:rFonts w:hint="eastAsia" w:eastAsia="仿宋_GB2312"/>
          <w:color w:val="000000" w:themeColor="text1"/>
          <w:sz w:val="28"/>
          <w:szCs w:val="28"/>
          <w14:textFill>
            <w14:solidFill>
              <w14:schemeClr w14:val="tx1"/>
            </w14:solidFill>
          </w14:textFill>
        </w:rPr>
        <w:t>投资人的招募，我方承诺：</w:t>
      </w:r>
    </w:p>
    <w:p w14:paraId="75F9A52D">
      <w:pPr>
        <w:widowControl/>
        <w:numPr>
          <w:ilvl w:val="0"/>
          <w:numId w:val="0"/>
        </w:numPr>
        <w:spacing w:line="560" w:lineRule="exact"/>
        <w:ind w:firstLine="560" w:firstLineChars="200"/>
        <w:jc w:val="left"/>
        <w:rPr>
          <w:rFonts w:hint="eastAsia"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一、我方符合贵方发布的投资人招募公告规定的意向投资人应具备的下述各项招募条件：</w:t>
      </w:r>
    </w:p>
    <w:p w14:paraId="6EE2AD45">
      <w:pPr>
        <w:keepNext w:val="0"/>
        <w:keepLines w:val="0"/>
        <w:pageBreakBefore w:val="0"/>
        <w:widowControl/>
        <w:numPr>
          <w:ilvl w:val="-1"/>
          <w:numId w:val="0"/>
        </w:numPr>
        <w:kinsoku/>
        <w:wordWrap/>
        <w:overflowPunct/>
        <w:topLinePunct w:val="0"/>
        <w:autoSpaceDE/>
        <w:autoSpaceDN/>
        <w:bidi w:val="0"/>
        <w:adjustRightInd/>
        <w:snapToGrid/>
        <w:spacing w:line="560" w:lineRule="exact"/>
        <w:ind w:left="0" w:firstLine="560" w:firstLineChars="200"/>
        <w:jc w:val="left"/>
        <w:textAlignment w:val="auto"/>
        <w:rPr>
          <w:rFonts w:hint="eastAsia" w:eastAsia="仿宋_GB2312" w:asciiTheme="minorHAnsi" w:hAnsiTheme="minorHAnsi" w:cstheme="minorBidi"/>
          <w:color w:val="000000" w:themeColor="text1"/>
          <w:sz w:val="28"/>
          <w:szCs w:val="28"/>
          <w:lang w:val="en-US" w:eastAsia="zh-CN"/>
          <w14:textFill>
            <w14:solidFill>
              <w14:schemeClr w14:val="tx1"/>
            </w14:solidFill>
          </w14:textFill>
        </w:rPr>
      </w:pPr>
      <w:r>
        <w:rPr>
          <w:rFonts w:hint="eastAsia" w:eastAsia="仿宋_GB2312" w:asciiTheme="minorHAnsi" w:hAnsiTheme="minorHAnsi" w:cstheme="minorBidi"/>
          <w:color w:val="000000" w:themeColor="text1"/>
          <w:sz w:val="28"/>
          <w:szCs w:val="28"/>
          <w:lang w:val="en-US" w:eastAsia="zh-CN"/>
          <w14:textFill>
            <w14:solidFill>
              <w14:schemeClr w14:val="tx1"/>
            </w14:solidFill>
          </w14:textFill>
        </w:rPr>
        <w:t>（一）我方是中华人民共和国境内依法成立且合法存续的企业法人、非法人组织或具有完全民事行为能力的自然人；</w:t>
      </w:r>
    </w:p>
    <w:p w14:paraId="77CED709">
      <w:pPr>
        <w:keepNext w:val="0"/>
        <w:keepLines w:val="0"/>
        <w:pageBreakBefore w:val="0"/>
        <w:widowControl/>
        <w:numPr>
          <w:ilvl w:val="-1"/>
          <w:numId w:val="0"/>
        </w:numPr>
        <w:kinsoku/>
        <w:wordWrap/>
        <w:overflowPunct/>
        <w:topLinePunct w:val="0"/>
        <w:autoSpaceDE/>
        <w:autoSpaceDN/>
        <w:bidi w:val="0"/>
        <w:adjustRightInd/>
        <w:snapToGrid/>
        <w:spacing w:line="560" w:lineRule="exact"/>
        <w:ind w:left="0" w:firstLine="560" w:firstLineChars="200"/>
        <w:jc w:val="left"/>
        <w:textAlignment w:val="auto"/>
        <w:rPr>
          <w:rFonts w:hint="eastAsia" w:eastAsia="仿宋_GB2312" w:asciiTheme="minorHAnsi" w:hAnsiTheme="minorHAnsi" w:cstheme="minorBidi"/>
          <w:color w:val="000000" w:themeColor="text1"/>
          <w:sz w:val="28"/>
          <w:szCs w:val="28"/>
          <w:lang w:val="en-US" w:eastAsia="zh-CN"/>
          <w14:textFill>
            <w14:solidFill>
              <w14:schemeClr w14:val="tx1"/>
            </w14:solidFill>
          </w14:textFill>
        </w:rPr>
      </w:pPr>
      <w:r>
        <w:rPr>
          <w:rFonts w:hint="eastAsia" w:eastAsia="仿宋_GB2312" w:asciiTheme="minorHAnsi" w:hAnsiTheme="minorHAnsi" w:cstheme="minorBidi"/>
          <w:color w:val="000000" w:themeColor="text1"/>
          <w:sz w:val="28"/>
          <w:szCs w:val="28"/>
          <w:lang w:val="en-US" w:eastAsia="zh-CN"/>
          <w14:textFill>
            <w14:solidFill>
              <w14:schemeClr w14:val="tx1"/>
            </w14:solidFill>
          </w14:textFill>
        </w:rPr>
        <w:t>（二）我方具有足够的资金实力、良好的商业信誉及较高的社会责任感；重整投资人或其控股股东、实际控制人在过去三年内无重大违法违规行为，未被人民法院列入失信被执行人或限制消费人员名单；</w:t>
      </w:r>
    </w:p>
    <w:p w14:paraId="5CF00D07">
      <w:pPr>
        <w:keepNext w:val="0"/>
        <w:keepLines w:val="0"/>
        <w:pageBreakBefore w:val="0"/>
        <w:widowControl/>
        <w:numPr>
          <w:ilvl w:val="-1"/>
          <w:numId w:val="0"/>
        </w:numPr>
        <w:kinsoku/>
        <w:wordWrap/>
        <w:overflowPunct/>
        <w:topLinePunct w:val="0"/>
        <w:autoSpaceDE/>
        <w:autoSpaceDN/>
        <w:bidi w:val="0"/>
        <w:adjustRightInd/>
        <w:snapToGrid/>
        <w:spacing w:line="560" w:lineRule="exact"/>
        <w:ind w:left="0" w:firstLine="560" w:firstLineChars="200"/>
        <w:jc w:val="left"/>
        <w:textAlignment w:val="auto"/>
        <w:rPr>
          <w:rFonts w:hint="eastAsia" w:eastAsia="仿宋_GB2312" w:asciiTheme="minorHAnsi" w:hAnsiTheme="minorHAnsi" w:cstheme="minorBidi"/>
          <w:color w:val="000000" w:themeColor="text1"/>
          <w:sz w:val="28"/>
          <w:szCs w:val="28"/>
          <w:lang w:val="en-US" w:eastAsia="zh-CN"/>
          <w14:textFill>
            <w14:solidFill>
              <w14:schemeClr w14:val="tx1"/>
            </w14:solidFill>
          </w14:textFill>
        </w:rPr>
      </w:pPr>
      <w:r>
        <w:rPr>
          <w:rFonts w:hint="eastAsia" w:eastAsia="仿宋_GB2312" w:asciiTheme="minorHAnsi" w:hAnsiTheme="minorHAnsi" w:cstheme="minorBidi"/>
          <w:color w:val="000000" w:themeColor="text1"/>
          <w:sz w:val="28"/>
          <w:szCs w:val="28"/>
          <w:lang w:val="en-US" w:eastAsia="zh-CN"/>
          <w14:textFill>
            <w14:solidFill>
              <w14:schemeClr w14:val="tx1"/>
            </w14:solidFill>
          </w14:textFill>
        </w:rPr>
        <w:t>（三）我方按招募要求缴纳重整保证金且提交报名参选材料后方具备参与重整的遴选资格；</w:t>
      </w:r>
    </w:p>
    <w:p w14:paraId="177A407D">
      <w:pPr>
        <w:spacing w:line="560" w:lineRule="exact"/>
        <w:ind w:firstLine="560" w:firstLineChars="200"/>
        <w:rPr>
          <w:rFonts w:eastAsia="仿宋_GB2312"/>
          <w:color w:val="000000" w:themeColor="text1"/>
          <w:sz w:val="28"/>
          <w:szCs w:val="28"/>
          <w14:textFill>
            <w14:solidFill>
              <w14:schemeClr w14:val="tx1"/>
            </w14:solidFill>
          </w14:textFill>
        </w:rPr>
      </w:pPr>
      <w:r>
        <w:rPr>
          <w:rFonts w:hint="eastAsia" w:eastAsia="仿宋_GB2312" w:asciiTheme="minorHAnsi" w:hAnsiTheme="minorHAnsi" w:cstheme="minorBidi"/>
          <w:color w:val="000000" w:themeColor="text1"/>
          <w:sz w:val="28"/>
          <w:szCs w:val="28"/>
          <w:lang w:val="en-US" w:eastAsia="zh-CN"/>
          <w14:textFill>
            <w14:solidFill>
              <w14:schemeClr w14:val="tx1"/>
            </w14:solidFill>
          </w14:textFill>
        </w:rPr>
        <w:t>（四）我方若为联合体参投本项目，联合体中至少有一个须符合以上条件。</w:t>
      </w:r>
    </w:p>
    <w:p w14:paraId="5ABF68A1">
      <w:pPr>
        <w:spacing w:line="560" w:lineRule="exact"/>
        <w:ind w:firstLine="560" w:firstLineChars="200"/>
        <w:rPr>
          <w:rFonts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二、我方提交的报名材料均真实、合法、有效且不存在重大隐瞒或遗漏。我方自愿参与</w:t>
      </w:r>
      <w:r>
        <w:rPr>
          <w:rFonts w:hint="eastAsia" w:eastAsia="仿宋_GB2312"/>
          <w:color w:val="000000" w:themeColor="text1"/>
          <w:sz w:val="28"/>
          <w:szCs w:val="28"/>
          <w:lang w:eastAsia="zh-CN"/>
          <w14:textFill>
            <w14:solidFill>
              <w14:schemeClr w14:val="tx1"/>
            </w14:solidFill>
          </w14:textFill>
        </w:rPr>
        <w:t>菏泽华鸿置业有限公司</w:t>
      </w:r>
      <w:r>
        <w:rPr>
          <w:rFonts w:hint="eastAsia" w:eastAsia="仿宋_GB2312"/>
          <w:color w:val="000000" w:themeColor="text1"/>
          <w:sz w:val="28"/>
          <w:szCs w:val="28"/>
          <w14:textFill>
            <w14:solidFill>
              <w14:schemeClr w14:val="tx1"/>
            </w14:solidFill>
          </w14:textFill>
        </w:rPr>
        <w:t>投资人的公开招募，已经获得内部有权机关的决策批准。</w:t>
      </w:r>
    </w:p>
    <w:p w14:paraId="1087FA62">
      <w:pPr>
        <w:spacing w:line="560" w:lineRule="exact"/>
        <w:ind w:firstLine="560" w:firstLineChars="200"/>
        <w:rPr>
          <w:rFonts w:ascii="仿宋_GB2312" w:hAnsi="仿宋_GB2312" w:eastAsia="仿宋_GB2312"/>
          <w:sz w:val="32"/>
          <w:szCs w:val="28"/>
        </w:rPr>
      </w:pPr>
      <w:r>
        <w:rPr>
          <w:rFonts w:hint="eastAsia" w:eastAsia="仿宋_GB2312"/>
          <w:color w:val="000000" w:themeColor="text1"/>
          <w:sz w:val="28"/>
          <w:szCs w:val="28"/>
          <w14:textFill>
            <w14:solidFill>
              <w14:schemeClr w14:val="tx1"/>
            </w14:solidFill>
          </w14:textFill>
        </w:rPr>
        <w:t xml:space="preserve">特此承诺。        </w:t>
      </w:r>
      <w:r>
        <w:rPr>
          <w:rFonts w:hint="eastAsia" w:ascii="仿宋_GB2312" w:hAnsi="仿宋_GB2312" w:eastAsia="仿宋_GB2312"/>
          <w:sz w:val="32"/>
          <w:szCs w:val="28"/>
        </w:rPr>
        <w:t xml:space="preserve">            </w:t>
      </w:r>
    </w:p>
    <w:p w14:paraId="78E7FD19">
      <w:pPr>
        <w:spacing w:line="560" w:lineRule="exact"/>
        <w:ind w:left="315" w:leftChars="150" w:right="960" w:firstLine="2400" w:firstLineChars="1000"/>
        <w:jc w:val="center"/>
        <w:rPr>
          <w:rFonts w:eastAsia="仿宋_GB2312"/>
          <w:sz w:val="24"/>
        </w:rPr>
      </w:pPr>
      <w:r>
        <w:rPr>
          <w:rFonts w:eastAsia="仿宋_GB2312"/>
          <w:sz w:val="24"/>
        </w:rPr>
        <w:t xml:space="preserve">                </w:t>
      </w:r>
      <w:r>
        <w:rPr>
          <w:rFonts w:hint="eastAsia" w:ascii="仿宋_GB2312" w:hAnsi="仿宋_GB2312" w:eastAsia="仿宋_GB2312"/>
          <w:sz w:val="32"/>
          <w:szCs w:val="28"/>
        </w:rPr>
        <w:t xml:space="preserve"> </w:t>
      </w:r>
      <w:r>
        <w:rPr>
          <w:rFonts w:hint="eastAsia" w:eastAsia="仿宋_GB2312"/>
          <w:color w:val="000000" w:themeColor="text1"/>
          <w:sz w:val="28"/>
          <w:szCs w:val="28"/>
          <w14:textFill>
            <w14:solidFill>
              <w14:schemeClr w14:val="tx1"/>
            </w14:solidFill>
          </w14:textFill>
        </w:rPr>
        <w:t xml:space="preserve">承诺人（盖章）:          </w:t>
      </w:r>
    </w:p>
    <w:p w14:paraId="74BE04FF">
      <w:pPr>
        <w:spacing w:line="560" w:lineRule="exact"/>
        <w:jc w:val="right"/>
        <w:rPr>
          <w:rFonts w:eastAsia="仿宋_GB2312"/>
          <w:sz w:val="24"/>
        </w:rPr>
      </w:pPr>
      <w:r>
        <w:rPr>
          <w:rFonts w:hint="eastAsia" w:eastAsia="仿宋_GB2312"/>
          <w:color w:val="000000" w:themeColor="text1"/>
          <w:sz w:val="28"/>
          <w:szCs w:val="28"/>
          <w14:textFill>
            <w14:solidFill>
              <w14:schemeClr w14:val="tx1"/>
            </w14:solidFill>
          </w14:textFill>
        </w:rPr>
        <w:t>年    月    日</w:t>
      </w:r>
      <w:r>
        <w:rPr>
          <w:rFonts w:eastAsia="仿宋_GB2312"/>
          <w:sz w:val="24"/>
        </w:rPr>
        <w:br w:type="page"/>
      </w:r>
    </w:p>
    <w:p w14:paraId="559714C9">
      <w:pPr>
        <w:adjustRightInd w:val="0"/>
        <w:snapToGrid w:val="0"/>
        <w:jc w:val="left"/>
        <w:rPr>
          <w:rFonts w:eastAsia="仿宋_GB2312"/>
          <w:b/>
          <w:bCs/>
          <w:sz w:val="28"/>
          <w:szCs w:val="28"/>
        </w:rPr>
      </w:pPr>
      <w:r>
        <w:rPr>
          <w:rFonts w:eastAsia="仿宋_GB2312"/>
          <w:b/>
          <w:bCs/>
          <w:sz w:val="28"/>
          <w:szCs w:val="28"/>
        </w:rPr>
        <w:t>附件3：</w:t>
      </w:r>
    </w:p>
    <w:p w14:paraId="64BD7B85">
      <w:pPr>
        <w:spacing w:line="360" w:lineRule="auto"/>
        <w:jc w:val="center"/>
        <w:rPr>
          <w:rFonts w:ascii="黑体" w:hAnsi="黑体" w:eastAsia="黑体" w:cs="宋体"/>
          <w:sz w:val="32"/>
          <w:szCs w:val="32"/>
        </w:rPr>
      </w:pPr>
      <w:r>
        <w:rPr>
          <w:rFonts w:hint="eastAsia" w:ascii="黑体" w:hAnsi="黑体" w:eastAsia="黑体" w:cs="宋体"/>
          <w:sz w:val="32"/>
          <w:szCs w:val="32"/>
        </w:rPr>
        <w:t>保密承诺函</w:t>
      </w:r>
    </w:p>
    <w:p w14:paraId="1A928DE8">
      <w:pPr>
        <w:spacing w:line="560" w:lineRule="exact"/>
        <w:rPr>
          <w:rFonts w:eastAsia="仿宋_GB2312"/>
          <w:color w:val="000000" w:themeColor="text1"/>
          <w:sz w:val="28"/>
          <w:szCs w:val="28"/>
          <w14:textFill>
            <w14:solidFill>
              <w14:schemeClr w14:val="tx1"/>
            </w14:solidFill>
          </w14:textFill>
        </w:rPr>
      </w:pPr>
      <w:r>
        <w:rPr>
          <w:rFonts w:hint="eastAsia" w:eastAsia="仿宋_GB2312"/>
          <w:color w:val="000000" w:themeColor="text1"/>
          <w:sz w:val="28"/>
          <w:szCs w:val="28"/>
          <w:lang w:eastAsia="zh-CN"/>
          <w14:textFill>
            <w14:solidFill>
              <w14:schemeClr w14:val="tx1"/>
            </w14:solidFill>
          </w14:textFill>
        </w:rPr>
        <w:t>菏泽华鸿置业有限公司</w:t>
      </w:r>
      <w:r>
        <w:rPr>
          <w:rFonts w:hint="eastAsia" w:eastAsia="仿宋_GB2312"/>
          <w:color w:val="000000" w:themeColor="text1"/>
          <w:sz w:val="28"/>
          <w:szCs w:val="28"/>
          <w14:textFill>
            <w14:solidFill>
              <w14:schemeClr w14:val="tx1"/>
            </w14:solidFill>
          </w14:textFill>
        </w:rPr>
        <w:t>管理人：</w:t>
      </w:r>
    </w:p>
    <w:p w14:paraId="035AB375">
      <w:pPr>
        <w:spacing w:line="560" w:lineRule="exact"/>
        <w:ind w:firstLine="560" w:firstLineChars="200"/>
        <w:rPr>
          <w:rFonts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我方拟参与贵方开展的</w:t>
      </w:r>
      <w:r>
        <w:rPr>
          <w:rFonts w:hint="eastAsia" w:eastAsia="仿宋_GB2312"/>
          <w:color w:val="000000" w:themeColor="text1"/>
          <w:sz w:val="28"/>
          <w:szCs w:val="28"/>
          <w:lang w:eastAsia="zh-CN"/>
          <w14:textFill>
            <w14:solidFill>
              <w14:schemeClr w14:val="tx1"/>
            </w14:solidFill>
          </w14:textFill>
        </w:rPr>
        <w:t>菏泽华鸿置业有限公司</w:t>
      </w:r>
      <w:r>
        <w:rPr>
          <w:rFonts w:hint="eastAsia" w:eastAsia="仿宋_GB2312"/>
          <w:color w:val="000000" w:themeColor="text1"/>
          <w:sz w:val="28"/>
          <w:szCs w:val="28"/>
          <w14:textFill>
            <w14:solidFill>
              <w14:schemeClr w14:val="tx1"/>
            </w14:solidFill>
          </w14:textFill>
        </w:rPr>
        <w:t>投资人的招募。鉴于我方在参与过程中可能接触或使用</w:t>
      </w:r>
      <w:r>
        <w:rPr>
          <w:rFonts w:hint="eastAsia" w:eastAsia="仿宋_GB2312"/>
          <w:color w:val="000000" w:themeColor="text1"/>
          <w:sz w:val="28"/>
          <w:szCs w:val="28"/>
          <w:lang w:eastAsia="zh-CN"/>
          <w14:textFill>
            <w14:solidFill>
              <w14:schemeClr w14:val="tx1"/>
            </w14:solidFill>
          </w14:textFill>
        </w:rPr>
        <w:t>菏泽华鸿置业有限公司</w:t>
      </w:r>
      <w:r>
        <w:rPr>
          <w:rFonts w:hint="eastAsia" w:eastAsia="仿宋_GB2312"/>
          <w:color w:val="000000" w:themeColor="text1"/>
          <w:sz w:val="28"/>
          <w:szCs w:val="28"/>
          <w14:textFill>
            <w14:solidFill>
              <w14:schemeClr w14:val="tx1"/>
            </w14:solidFill>
          </w14:textFill>
        </w:rPr>
        <w:t>的保密信息，根据《中华人民共和国民法典》等相关法律法规的规定，我方就保密义务相关事宜做出如下承诺:</w:t>
      </w:r>
    </w:p>
    <w:p w14:paraId="49A34F7E">
      <w:pPr>
        <w:spacing w:line="560" w:lineRule="exact"/>
        <w:ind w:firstLine="560" w:firstLineChars="200"/>
        <w:rPr>
          <w:rFonts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一、我方承诺对参与投资人招募过程中取得（接触、获取及/或知悉）的贵方任何未公开的资料、信息、记录、文件、有关意见、研究报告，以及进行的谈判磋商、文件签署等任何信息（以下简称“保密信息”）严格履行保密义务，且不论该等信息是否标注保密。</w:t>
      </w:r>
    </w:p>
    <w:p w14:paraId="192D7343">
      <w:pPr>
        <w:spacing w:line="560" w:lineRule="exact"/>
        <w:ind w:firstLine="560" w:firstLineChars="200"/>
        <w:rPr>
          <w:rFonts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二、我方不会将任何保密信息用于参与投资人招募（含尽职调查）之外的任何目的。未经贵方许可，我方不以任何形式向任何第三方披露泄露、出售、公布、复制保密信息或提供给任何第三方使用。</w:t>
      </w:r>
    </w:p>
    <w:p w14:paraId="7FAB86AF">
      <w:pPr>
        <w:spacing w:line="560" w:lineRule="exact"/>
        <w:ind w:firstLine="560" w:firstLineChars="200"/>
        <w:rPr>
          <w:rFonts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三、我方工作人员及聘请的第三方专业机构均会遵守本函的规定。</w:t>
      </w:r>
    </w:p>
    <w:p w14:paraId="725AF45D">
      <w:pPr>
        <w:spacing w:line="560" w:lineRule="exact"/>
        <w:ind w:firstLine="560" w:firstLineChars="200"/>
        <w:rPr>
          <w:rFonts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若违反上述承诺</w:t>
      </w:r>
      <w:r>
        <w:rPr>
          <w:rFonts w:hint="eastAsia" w:eastAsia="仿宋_GB2312"/>
          <w:color w:val="000000" w:themeColor="text1"/>
          <w:sz w:val="28"/>
          <w:szCs w:val="28"/>
          <w:lang w:eastAsia="zh-CN"/>
          <w14:textFill>
            <w14:solidFill>
              <w14:schemeClr w14:val="tx1"/>
            </w14:solidFill>
          </w14:textFill>
        </w:rPr>
        <w:t>，</w:t>
      </w:r>
      <w:r>
        <w:rPr>
          <w:rFonts w:hint="eastAsia" w:eastAsia="仿宋_GB2312"/>
          <w:color w:val="000000" w:themeColor="text1"/>
          <w:sz w:val="28"/>
          <w:szCs w:val="28"/>
          <w14:textFill>
            <w14:solidFill>
              <w14:schemeClr w14:val="tx1"/>
            </w14:solidFill>
          </w14:textFill>
        </w:rPr>
        <w:t>我方将自愿承担相关法律责任和由此带来的一切不利后果，并赔偿各方因此遭受的全部损失。</w:t>
      </w:r>
    </w:p>
    <w:p w14:paraId="265D7951">
      <w:pPr>
        <w:spacing w:line="560" w:lineRule="exact"/>
        <w:ind w:firstLine="560" w:firstLineChars="200"/>
        <w:rPr>
          <w:rFonts w:eastAsia="仿宋_GB2312"/>
          <w:color w:val="000000" w:themeColor="text1"/>
          <w:sz w:val="28"/>
          <w:szCs w:val="28"/>
          <w14:textFill>
            <w14:solidFill>
              <w14:schemeClr w14:val="tx1"/>
            </w14:solidFill>
          </w14:textFill>
        </w:rPr>
      </w:pPr>
    </w:p>
    <w:p w14:paraId="6B03D0B2">
      <w:pPr>
        <w:spacing w:line="560" w:lineRule="exact"/>
        <w:ind w:firstLine="560" w:firstLineChars="200"/>
        <w:rPr>
          <w:rFonts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本保密承诺函自我方盖章之日起生效。</w:t>
      </w:r>
    </w:p>
    <w:p w14:paraId="0C6A2651">
      <w:pPr>
        <w:spacing w:line="560" w:lineRule="exact"/>
        <w:ind w:firstLine="560" w:firstLineChars="200"/>
        <w:rPr>
          <w:rFonts w:eastAsia="仿宋_GB2312"/>
          <w:color w:val="000000" w:themeColor="text1"/>
          <w:sz w:val="28"/>
          <w:szCs w:val="28"/>
          <w14:textFill>
            <w14:solidFill>
              <w14:schemeClr w14:val="tx1"/>
            </w14:solidFill>
          </w14:textFill>
        </w:rPr>
      </w:pPr>
    </w:p>
    <w:p w14:paraId="5F4CA965">
      <w:pPr>
        <w:wordWrap w:val="0"/>
        <w:spacing w:line="560" w:lineRule="exact"/>
        <w:jc w:val="right"/>
        <w:rPr>
          <w:rFonts w:eastAsia="仿宋_GB2312"/>
          <w:sz w:val="24"/>
        </w:rPr>
      </w:pPr>
      <w:r>
        <w:rPr>
          <w:rFonts w:eastAsia="仿宋_GB2312"/>
          <w:sz w:val="24"/>
        </w:rPr>
        <w:t xml:space="preserve">                            </w:t>
      </w:r>
      <w:r>
        <w:rPr>
          <w:rFonts w:hint="eastAsia" w:eastAsia="仿宋_GB2312"/>
          <w:color w:val="000000" w:themeColor="text1"/>
          <w:sz w:val="28"/>
          <w:szCs w:val="28"/>
          <w14:textFill>
            <w14:solidFill>
              <w14:schemeClr w14:val="tx1"/>
            </w14:solidFill>
          </w14:textFill>
        </w:rPr>
        <w:t xml:space="preserve">  承诺人（盖章）： </w:t>
      </w:r>
      <w:r>
        <w:rPr>
          <w:rFonts w:eastAsia="仿宋_GB2312"/>
          <w:sz w:val="24"/>
        </w:rPr>
        <w:t xml:space="preserve">      </w:t>
      </w:r>
    </w:p>
    <w:p w14:paraId="1B0B7BD5">
      <w:pPr>
        <w:spacing w:line="560" w:lineRule="exact"/>
        <w:jc w:val="right"/>
        <w:rPr>
          <w:rFonts w:ascii="仿宋_GB2312" w:hAnsi="仿宋_GB2312" w:eastAsia="仿宋_GB2312"/>
          <w:sz w:val="32"/>
          <w:szCs w:val="28"/>
        </w:rPr>
      </w:pPr>
      <w:r>
        <w:rPr>
          <w:rFonts w:eastAsia="仿宋_GB2312"/>
          <w:sz w:val="24"/>
        </w:rPr>
        <w:t xml:space="preserve">                               </w:t>
      </w:r>
      <w:r>
        <w:rPr>
          <w:rFonts w:hint="eastAsia" w:eastAsia="仿宋_GB2312"/>
          <w:color w:val="000000" w:themeColor="text1"/>
          <w:sz w:val="28"/>
          <w:szCs w:val="28"/>
          <w14:textFill>
            <w14:solidFill>
              <w14:schemeClr w14:val="tx1"/>
            </w14:solidFill>
          </w14:textFill>
        </w:rPr>
        <w:t xml:space="preserve"> 年    月    日</w:t>
      </w:r>
    </w:p>
    <w:p w14:paraId="18755B2F">
      <w:pPr>
        <w:pStyle w:val="3"/>
        <w:ind w:firstLine="0" w:firstLineChars="0"/>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BD7DD4"/>
    <w:multiLevelType w:val="singleLevel"/>
    <w:tmpl w:val="DFBD7DD4"/>
    <w:lvl w:ilvl="0" w:tentative="0">
      <w:start w:val="3"/>
      <w:numFmt w:val="chineseCounting"/>
      <w:suff w:val="nothing"/>
      <w:lvlText w:val="%1、"/>
      <w:lvlJc w:val="left"/>
      <w:rPr>
        <w:rFonts w:hint="eastAsia"/>
      </w:rPr>
    </w:lvl>
  </w:abstractNum>
  <w:abstractNum w:abstractNumId="1">
    <w:nsid w:val="FDFC88DC"/>
    <w:multiLevelType w:val="singleLevel"/>
    <w:tmpl w:val="FDFC88DC"/>
    <w:lvl w:ilvl="0" w:tentative="0">
      <w:start w:val="2"/>
      <w:numFmt w:val="decimal"/>
      <w:suff w:val="nothing"/>
      <w:lvlText w:val="%1、"/>
      <w:lvlJc w:val="left"/>
    </w:lvl>
  </w:abstractNum>
  <w:abstractNum w:abstractNumId="2">
    <w:nsid w:val="FF1AC6AE"/>
    <w:multiLevelType w:val="singleLevel"/>
    <w:tmpl w:val="FF1AC6AE"/>
    <w:lvl w:ilvl="0" w:tentative="0">
      <w:start w:val="3"/>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6F1B55"/>
    <w:rsid w:val="00272C57"/>
    <w:rsid w:val="01910A08"/>
    <w:rsid w:val="06982C1F"/>
    <w:rsid w:val="07631B5F"/>
    <w:rsid w:val="077C5361"/>
    <w:rsid w:val="091A60A4"/>
    <w:rsid w:val="0C1A4EBC"/>
    <w:rsid w:val="0D225859"/>
    <w:rsid w:val="0E042561"/>
    <w:rsid w:val="123E6CAE"/>
    <w:rsid w:val="146204D8"/>
    <w:rsid w:val="1569643B"/>
    <w:rsid w:val="15D60C87"/>
    <w:rsid w:val="1C150DD6"/>
    <w:rsid w:val="1C975524"/>
    <w:rsid w:val="1D727401"/>
    <w:rsid w:val="1EAF02C7"/>
    <w:rsid w:val="1EFF4DAB"/>
    <w:rsid w:val="21307B01"/>
    <w:rsid w:val="21A571AA"/>
    <w:rsid w:val="24092201"/>
    <w:rsid w:val="252A06A8"/>
    <w:rsid w:val="26381486"/>
    <w:rsid w:val="2D4E137F"/>
    <w:rsid w:val="2D8D7A9E"/>
    <w:rsid w:val="31305298"/>
    <w:rsid w:val="3231423E"/>
    <w:rsid w:val="33B50810"/>
    <w:rsid w:val="33D93831"/>
    <w:rsid w:val="35F1503B"/>
    <w:rsid w:val="3647730B"/>
    <w:rsid w:val="38F35529"/>
    <w:rsid w:val="39AC09C1"/>
    <w:rsid w:val="3A98618C"/>
    <w:rsid w:val="3D7EEF7A"/>
    <w:rsid w:val="3FCB888A"/>
    <w:rsid w:val="40DA6B17"/>
    <w:rsid w:val="44663053"/>
    <w:rsid w:val="45181E73"/>
    <w:rsid w:val="46FF20DC"/>
    <w:rsid w:val="475E5CB8"/>
    <w:rsid w:val="47E640A8"/>
    <w:rsid w:val="4A437992"/>
    <w:rsid w:val="4AE16784"/>
    <w:rsid w:val="4D731AF1"/>
    <w:rsid w:val="4D981AA9"/>
    <w:rsid w:val="4E5C6D44"/>
    <w:rsid w:val="50792360"/>
    <w:rsid w:val="51C55131"/>
    <w:rsid w:val="5226042C"/>
    <w:rsid w:val="5338205E"/>
    <w:rsid w:val="54544398"/>
    <w:rsid w:val="572A7F10"/>
    <w:rsid w:val="5BE20FCF"/>
    <w:rsid w:val="5CCE57E1"/>
    <w:rsid w:val="5DE347DD"/>
    <w:rsid w:val="5E7E6D93"/>
    <w:rsid w:val="5FC32C98"/>
    <w:rsid w:val="62B46BE7"/>
    <w:rsid w:val="646E3234"/>
    <w:rsid w:val="65181CEF"/>
    <w:rsid w:val="65D5568E"/>
    <w:rsid w:val="68392AAF"/>
    <w:rsid w:val="68533AB9"/>
    <w:rsid w:val="6AD04848"/>
    <w:rsid w:val="6D1E1E6D"/>
    <w:rsid w:val="6DC960AE"/>
    <w:rsid w:val="6E7C32EF"/>
    <w:rsid w:val="6F887A72"/>
    <w:rsid w:val="70207CAA"/>
    <w:rsid w:val="71ED3DF4"/>
    <w:rsid w:val="7352461E"/>
    <w:rsid w:val="758E5BD6"/>
    <w:rsid w:val="76525745"/>
    <w:rsid w:val="768A0F6F"/>
    <w:rsid w:val="7899684C"/>
    <w:rsid w:val="7CFF3DF8"/>
    <w:rsid w:val="7D2F74D0"/>
    <w:rsid w:val="7E2A3586"/>
    <w:rsid w:val="7E2B390F"/>
    <w:rsid w:val="7E6F1B55"/>
    <w:rsid w:val="7FFCF401"/>
    <w:rsid w:val="B9FD4AC8"/>
    <w:rsid w:val="F3F1C70A"/>
    <w:rsid w:val="F7ECB1FA"/>
    <w:rsid w:val="FCF7FA22"/>
    <w:rsid w:val="FFBF1F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Lines="0" w:afterAutospacing="0"/>
    </w:pPr>
  </w:style>
  <w:style w:type="paragraph" w:styleId="3">
    <w:name w:val="Body Text First Indent"/>
    <w:basedOn w:val="2"/>
    <w:unhideWhenUsed/>
    <w:qFormat/>
    <w:uiPriority w:val="99"/>
    <w:pPr>
      <w:ind w:firstLine="420" w:firstLineChars="100"/>
    </w:p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nt21"/>
    <w:basedOn w:val="6"/>
    <w:qFormat/>
    <w:uiPriority w:val="0"/>
    <w:rPr>
      <w:rFonts w:ascii="仿宋_GB2312" w:eastAsia="仿宋_GB2312" w:cs="仿宋_GB2312"/>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4927</Words>
  <Characters>5204</Characters>
  <Lines>0</Lines>
  <Paragraphs>0</Paragraphs>
  <TotalTime>5</TotalTime>
  <ScaleCrop>false</ScaleCrop>
  <LinksUpToDate>false</LinksUpToDate>
  <CharactersWithSpaces>5672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2025-05-15T12:54:00Z</dcterms:created>
  <dc:creator>马振嫄</dc:creator>
  <cp:lastModifiedBy>张祺</cp:lastModifiedBy>
  <dcterms:modified xsi:type="dcterms:W3CDTF">2025-05-19T05:29:40Z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70BE9C45FF3447F3870C297732399F48_13</vt:lpwstr>
  </property>
  <property fmtid="{D5CDD505-2E9C-101B-9397-08002B2CF9AE}" pid="4" name="KSOTemplateDocerSaveRecord">
    <vt:lpwstr>eyJoZGlkIjoiMGFkOGI2MmIwMThjNWYwZTllOGI4YzQ1ZWZmN2Q3YmQiLCJ1c2VySWQiOiI0MzMwMDE2NDcifQ==</vt:lpwstr>
  </property>
</Properties>
</file>