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C371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26"/>
        <w:jc w:val="center"/>
        <w:textAlignment w:val="top"/>
        <w:rPr>
          <w:rFonts w:hint="eastAsia" w:ascii="黑体" w:hAnsi="黑体" w:eastAsia="黑体" w:cs="黑体"/>
          <w:color w:val="000000" w:themeColor="text1"/>
          <w:spacing w:val="0"/>
          <w:kern w:val="0"/>
          <w:sz w:val="36"/>
          <w:szCs w:val="36"/>
          <w:highlight w:val="none"/>
          <w:lang w:val="en-US" w:eastAsia="zh-CN" w:bidi="ar"/>
          <w14:textFill>
            <w14:solidFill>
              <w14:schemeClr w14:val="tx1"/>
            </w14:solidFill>
          </w14:textFill>
        </w:rPr>
      </w:pPr>
      <w:r>
        <w:rPr>
          <w:rFonts w:hint="eastAsia" w:ascii="黑体" w:hAnsi="黑体" w:eastAsia="黑体" w:cs="黑体"/>
          <w:color w:val="000000" w:themeColor="text1"/>
          <w:spacing w:val="0"/>
          <w:kern w:val="0"/>
          <w:sz w:val="36"/>
          <w:szCs w:val="36"/>
          <w:highlight w:val="none"/>
          <w:lang w:val="en-US" w:eastAsia="zh-CN" w:bidi="ar"/>
          <w14:textFill>
            <w14:solidFill>
              <w14:schemeClr w14:val="tx1"/>
            </w14:solidFill>
          </w14:textFill>
        </w:rPr>
        <w:t>关于柘荣县亿利达机械制造有限公司破产清算案</w:t>
      </w:r>
    </w:p>
    <w:p w14:paraId="6FA2F6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26"/>
        <w:jc w:val="center"/>
        <w:textAlignment w:val="top"/>
        <w:rPr>
          <w:rFonts w:hint="eastAsia" w:ascii="黑体" w:hAnsi="黑体" w:eastAsia="黑体" w:cs="黑体"/>
          <w:color w:val="000000" w:themeColor="text1"/>
          <w:spacing w:val="0"/>
          <w:kern w:val="0"/>
          <w:sz w:val="36"/>
          <w:szCs w:val="36"/>
          <w:highlight w:val="none"/>
          <w:lang w:val="en-US" w:eastAsia="zh-CN" w:bidi="ar"/>
          <w14:textFill>
            <w14:solidFill>
              <w14:schemeClr w14:val="tx1"/>
            </w14:solidFill>
          </w14:textFill>
        </w:rPr>
      </w:pPr>
      <w:r>
        <w:rPr>
          <w:rFonts w:hint="eastAsia" w:ascii="黑体" w:hAnsi="黑体" w:eastAsia="黑体" w:cs="黑体"/>
          <w:color w:val="000000" w:themeColor="text1"/>
          <w:spacing w:val="0"/>
          <w:kern w:val="0"/>
          <w:sz w:val="36"/>
          <w:szCs w:val="36"/>
          <w:highlight w:val="none"/>
          <w:lang w:val="en-US" w:eastAsia="zh-CN" w:bidi="ar"/>
          <w14:textFill>
            <w14:solidFill>
              <w14:schemeClr w14:val="tx1"/>
            </w14:solidFill>
          </w14:textFill>
        </w:rPr>
        <w:t>债权申报暨第一次债权人会议的通知</w:t>
      </w:r>
    </w:p>
    <w:p w14:paraId="5A5972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26"/>
        <w:jc w:val="right"/>
        <w:textAlignment w:val="top"/>
        <w:rPr>
          <w:rFonts w:hint="eastAsia" w:ascii="方正仿宋_GB2312" w:hAnsi="方正仿宋_GB2312" w:eastAsia="方正仿宋_GB2312" w:cs="方正仿宋_GB2312"/>
          <w:color w:val="000000" w:themeColor="text1"/>
          <w:spacing w:val="0"/>
          <w:kern w:val="0"/>
          <w:sz w:val="24"/>
          <w:szCs w:val="24"/>
          <w:highlight w:val="none"/>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spacing w:val="0"/>
          <w:kern w:val="0"/>
          <w:sz w:val="24"/>
          <w:szCs w:val="24"/>
          <w:highlight w:val="none"/>
          <w:lang w:val="en-US" w:eastAsia="zh-CN" w:bidi="ar"/>
          <w14:textFill>
            <w14:solidFill>
              <w14:schemeClr w14:val="tx1"/>
            </w14:solidFill>
          </w14:textFill>
        </w:rPr>
        <w:t>（2025）亿利达破管字第3号</w:t>
      </w:r>
    </w:p>
    <w:p w14:paraId="044A7C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jc w:val="both"/>
        <w:textAlignment w:val="top"/>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b/>
          <w:bCs/>
          <w:color w:val="000000" w:themeColor="text1"/>
          <w:spacing w:val="0"/>
          <w:kern w:val="0"/>
          <w:sz w:val="30"/>
          <w:szCs w:val="30"/>
          <w:highlight w:val="none"/>
          <w:lang w:val="en-US" w:eastAsia="zh-CN" w:bidi="ar"/>
          <w14:textFill>
            <w14:solidFill>
              <w14:schemeClr w14:val="tx1"/>
            </w14:solidFill>
          </w14:textFill>
        </w:rPr>
        <w:t>各债权人：</w:t>
      </w:r>
    </w:p>
    <w:p w14:paraId="2574A2F7">
      <w:pPr>
        <w:keepNext w:val="0"/>
        <w:keepLines w:val="0"/>
        <w:pageBreakBefore w:val="0"/>
        <w:kinsoku/>
        <w:wordWrap/>
        <w:overflowPunct/>
        <w:topLinePunct w:val="0"/>
        <w:autoSpaceDE/>
        <w:autoSpaceDN/>
        <w:bidi w:val="0"/>
        <w:adjustRightInd/>
        <w:snapToGrid/>
        <w:spacing w:line="500" w:lineRule="exact"/>
        <w:ind w:left="0" w:right="0" w:firstLine="635"/>
        <w:rPr>
          <w:rFonts w:hint="eastAsia" w:ascii="方正仿宋_GB2312" w:hAnsi="方正仿宋_GB2312" w:eastAsia="方正仿宋_GB2312" w:cs="方正仿宋_GB2312"/>
          <w:spacing w:val="0"/>
          <w:sz w:val="30"/>
          <w:szCs w:val="30"/>
          <w:highlight w:val="none"/>
        </w:rPr>
      </w:pP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2025年5月8日，宁德市中级人民法院作出（2025）闽09破申68号民事裁定书，</w:t>
      </w:r>
      <w:r>
        <w:rPr>
          <w:rFonts w:hint="eastAsia" w:ascii="方正仿宋_GB2312" w:hAnsi="方正仿宋_GB2312" w:eastAsia="方正仿宋_GB2312" w:cs="方正仿宋_GB2312"/>
          <w:spacing w:val="0"/>
          <w:sz w:val="30"/>
          <w:szCs w:val="30"/>
          <w:highlight w:val="none"/>
        </w:rPr>
        <w:t>裁定受理柘荣县农村信用合作联社股份有限公司对</w:t>
      </w:r>
      <w:r>
        <w:rPr>
          <w:rFonts w:hint="eastAsia" w:ascii="方正仿宋_GB2312" w:hAnsi="方正仿宋_GB2312" w:eastAsia="方正仿宋_GB2312" w:cs="方正仿宋_GB2312"/>
          <w:spacing w:val="0"/>
          <w:sz w:val="30"/>
          <w:szCs w:val="30"/>
          <w:highlight w:val="none"/>
          <w:lang w:eastAsia="zh-CN"/>
        </w:rPr>
        <w:t>柘荣县亿利达机械制造有限公司（</w:t>
      </w:r>
      <w:r>
        <w:rPr>
          <w:rFonts w:hint="eastAsia" w:ascii="方正仿宋_GB2312" w:hAnsi="方正仿宋_GB2312" w:eastAsia="方正仿宋_GB2312" w:cs="方正仿宋_GB2312"/>
          <w:spacing w:val="0"/>
          <w:sz w:val="30"/>
          <w:szCs w:val="30"/>
          <w:highlight w:val="none"/>
          <w:lang w:val="en-US" w:eastAsia="zh-CN"/>
        </w:rPr>
        <w:t>以下称亿利达公司</w:t>
      </w:r>
      <w:r>
        <w:rPr>
          <w:rFonts w:hint="eastAsia" w:ascii="方正仿宋_GB2312" w:hAnsi="方正仿宋_GB2312" w:eastAsia="方正仿宋_GB2312" w:cs="方正仿宋_GB2312"/>
          <w:spacing w:val="0"/>
          <w:sz w:val="30"/>
          <w:szCs w:val="30"/>
          <w:highlight w:val="none"/>
          <w:lang w:eastAsia="zh-CN"/>
        </w:rPr>
        <w:t>）</w:t>
      </w:r>
      <w:r>
        <w:rPr>
          <w:rFonts w:hint="eastAsia" w:ascii="方正仿宋_GB2312" w:hAnsi="方正仿宋_GB2312" w:eastAsia="方正仿宋_GB2312" w:cs="方正仿宋_GB2312"/>
          <w:spacing w:val="0"/>
          <w:sz w:val="30"/>
          <w:szCs w:val="30"/>
          <w:highlight w:val="none"/>
        </w:rPr>
        <w:t>的破产清算申请。</w:t>
      </w:r>
      <w:r>
        <w:rPr>
          <w:rFonts w:hint="eastAsia" w:ascii="方正仿宋_GB2312" w:hAnsi="方正仿宋_GB2312" w:eastAsia="方正仿宋_GB2312" w:cs="方正仿宋_GB2312"/>
          <w:spacing w:val="0"/>
          <w:sz w:val="30"/>
          <w:szCs w:val="30"/>
          <w:highlight w:val="none"/>
          <w:lang w:val="en-US" w:eastAsia="zh-CN"/>
        </w:rPr>
        <w:t>同</w:t>
      </w:r>
      <w:r>
        <w:rPr>
          <w:rFonts w:hint="eastAsia" w:ascii="方正仿宋_GB2312" w:hAnsi="方正仿宋_GB2312" w:eastAsia="方正仿宋_GB2312" w:cs="方正仿宋_GB2312"/>
          <w:spacing w:val="0"/>
          <w:sz w:val="30"/>
          <w:szCs w:val="30"/>
          <w:highlight w:val="none"/>
        </w:rPr>
        <w:t>日，宁德市中级人民法院作出</w:t>
      </w:r>
      <w:r>
        <w:rPr>
          <w:rFonts w:hint="eastAsia" w:ascii="方正仿宋_GB2312" w:hAnsi="方正仿宋_GB2312" w:eastAsia="方正仿宋_GB2312" w:cs="方正仿宋_GB2312"/>
          <w:spacing w:val="0"/>
          <w:sz w:val="30"/>
          <w:szCs w:val="30"/>
          <w:highlight w:val="none"/>
          <w:lang w:eastAsia="zh-CN"/>
        </w:rPr>
        <w:t>（2025）闽09破申68号</w:t>
      </w:r>
      <w:r>
        <w:rPr>
          <w:rFonts w:hint="eastAsia" w:ascii="方正仿宋_GB2312" w:hAnsi="方正仿宋_GB2312" w:eastAsia="方正仿宋_GB2312" w:cs="方正仿宋_GB2312"/>
          <w:spacing w:val="0"/>
          <w:sz w:val="30"/>
          <w:szCs w:val="30"/>
          <w:highlight w:val="none"/>
        </w:rPr>
        <w:t>决定书，指定福建之秀律师事务所担任</w:t>
      </w:r>
      <w:r>
        <w:rPr>
          <w:rFonts w:hint="eastAsia" w:ascii="方正仿宋_GB2312" w:hAnsi="方正仿宋_GB2312" w:eastAsia="方正仿宋_GB2312" w:cs="方正仿宋_GB2312"/>
          <w:spacing w:val="0"/>
          <w:sz w:val="30"/>
          <w:szCs w:val="30"/>
          <w:highlight w:val="none"/>
          <w:lang w:eastAsia="zh-CN"/>
        </w:rPr>
        <w:t>柘荣县亿利达机械制造有限公司</w:t>
      </w:r>
      <w:r>
        <w:rPr>
          <w:rFonts w:hint="eastAsia" w:ascii="方正仿宋_GB2312" w:hAnsi="方正仿宋_GB2312" w:eastAsia="方正仿宋_GB2312" w:cs="方正仿宋_GB2312"/>
          <w:spacing w:val="0"/>
          <w:sz w:val="30"/>
          <w:szCs w:val="30"/>
          <w:highlight w:val="none"/>
        </w:rPr>
        <w:t>管理人</w:t>
      </w:r>
      <w:r>
        <w:rPr>
          <w:rFonts w:hint="eastAsia" w:ascii="方正仿宋_GB2312" w:hAnsi="方正仿宋_GB2312" w:eastAsia="方正仿宋_GB2312" w:cs="方正仿宋_GB2312"/>
          <w:spacing w:val="0"/>
          <w:sz w:val="30"/>
          <w:szCs w:val="30"/>
          <w:highlight w:val="none"/>
          <w:lang w:eastAsia="zh-CN"/>
        </w:rPr>
        <w:t>（</w:t>
      </w:r>
      <w:r>
        <w:rPr>
          <w:rFonts w:hint="eastAsia" w:ascii="方正仿宋_GB2312" w:hAnsi="方正仿宋_GB2312" w:eastAsia="方正仿宋_GB2312" w:cs="方正仿宋_GB2312"/>
          <w:spacing w:val="0"/>
          <w:sz w:val="30"/>
          <w:szCs w:val="30"/>
          <w:highlight w:val="none"/>
          <w:lang w:val="en-US" w:eastAsia="zh-CN"/>
        </w:rPr>
        <w:t>以下称管理人</w:t>
      </w:r>
      <w:r>
        <w:rPr>
          <w:rFonts w:hint="eastAsia" w:ascii="方正仿宋_GB2312" w:hAnsi="方正仿宋_GB2312" w:eastAsia="方正仿宋_GB2312" w:cs="方正仿宋_GB2312"/>
          <w:spacing w:val="0"/>
          <w:sz w:val="30"/>
          <w:szCs w:val="30"/>
          <w:highlight w:val="none"/>
          <w:lang w:eastAsia="zh-CN"/>
        </w:rPr>
        <w:t>）</w:t>
      </w:r>
      <w:r>
        <w:rPr>
          <w:rFonts w:hint="eastAsia" w:ascii="方正仿宋_GB2312" w:hAnsi="方正仿宋_GB2312" w:eastAsia="方正仿宋_GB2312" w:cs="方正仿宋_GB2312"/>
          <w:spacing w:val="0"/>
          <w:sz w:val="30"/>
          <w:szCs w:val="30"/>
          <w:highlight w:val="none"/>
        </w:rPr>
        <w:t>。依照《最高人民法院关于推进破产案件依法高效审理的意见》</w:t>
      </w:r>
      <w:r>
        <w:rPr>
          <w:rFonts w:hint="eastAsia" w:ascii="方正仿宋_GB2312" w:hAnsi="方正仿宋_GB2312" w:eastAsia="方正仿宋_GB2312" w:cs="方正仿宋_GB2312"/>
          <w:spacing w:val="0"/>
          <w:sz w:val="30"/>
          <w:szCs w:val="30"/>
          <w:highlight w:val="none"/>
          <w:lang w:val="en-US" w:eastAsia="zh-CN"/>
        </w:rPr>
        <w:t>第</w:t>
      </w:r>
      <w:r>
        <w:rPr>
          <w:rFonts w:hint="eastAsia" w:ascii="方正仿宋_GB2312" w:hAnsi="方正仿宋_GB2312" w:eastAsia="方正仿宋_GB2312" w:cs="方正仿宋_GB2312"/>
          <w:spacing w:val="0"/>
          <w:sz w:val="30"/>
          <w:szCs w:val="30"/>
          <w:highlight w:val="none"/>
        </w:rPr>
        <w:t>13条</w:t>
      </w:r>
      <w:r>
        <w:rPr>
          <w:rFonts w:hint="eastAsia" w:ascii="方正仿宋_GB2312" w:hAnsi="方正仿宋_GB2312" w:eastAsia="方正仿宋_GB2312" w:cs="方正仿宋_GB2312"/>
          <w:spacing w:val="0"/>
          <w:sz w:val="30"/>
          <w:szCs w:val="30"/>
          <w:highlight w:val="none"/>
          <w:lang w:eastAsia="zh-CN"/>
        </w:rPr>
        <w:t>、</w:t>
      </w:r>
      <w:r>
        <w:rPr>
          <w:rFonts w:hint="eastAsia" w:ascii="方正仿宋_GB2312" w:hAnsi="方正仿宋_GB2312" w:eastAsia="方正仿宋_GB2312" w:cs="方正仿宋_GB2312"/>
          <w:spacing w:val="0"/>
          <w:sz w:val="30"/>
          <w:szCs w:val="30"/>
          <w:highlight w:val="none"/>
        </w:rPr>
        <w:t>第14条规定，</w:t>
      </w:r>
      <w:r>
        <w:rPr>
          <w:rFonts w:hint="eastAsia" w:ascii="方正仿宋_GB2312" w:hAnsi="方正仿宋_GB2312" w:eastAsia="方正仿宋_GB2312" w:cs="方正仿宋_GB2312"/>
          <w:spacing w:val="0"/>
          <w:sz w:val="30"/>
          <w:szCs w:val="30"/>
          <w:highlight w:val="none"/>
          <w:lang w:val="en-US" w:eastAsia="zh-CN"/>
        </w:rPr>
        <w:t>宁德市中级人民法院</w:t>
      </w:r>
      <w:r>
        <w:rPr>
          <w:rFonts w:hint="eastAsia" w:ascii="方正仿宋_GB2312" w:hAnsi="方正仿宋_GB2312" w:eastAsia="方正仿宋_GB2312" w:cs="方正仿宋_GB2312"/>
          <w:spacing w:val="0"/>
          <w:sz w:val="30"/>
          <w:szCs w:val="30"/>
          <w:highlight w:val="none"/>
        </w:rPr>
        <w:t>决定适用快速审理方式审理本案。</w:t>
      </w:r>
    </w:p>
    <w:p w14:paraId="567436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640"/>
        <w:jc w:val="both"/>
        <w:textAlignment w:val="top"/>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管理人依法负责债权申报工作，现特就有关事项通知如下：</w:t>
      </w:r>
    </w:p>
    <w:p w14:paraId="166BDDF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rightChars="0" w:firstLine="600" w:firstLineChars="200"/>
        <w:jc w:val="both"/>
        <w:textAlignment w:val="top"/>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color w:val="auto"/>
          <w:spacing w:val="0"/>
          <w:sz w:val="30"/>
          <w:szCs w:val="30"/>
          <w:highlight w:val="none"/>
          <w:lang w:val="en-US" w:eastAsia="zh-CN"/>
        </w:rPr>
        <w:t>一、债权人应在</w:t>
      </w:r>
      <w:r>
        <w:rPr>
          <w:rFonts w:hint="eastAsia" w:ascii="方正仿宋_GB2312" w:hAnsi="方正仿宋_GB2312" w:eastAsia="方正仿宋_GB2312" w:cs="方正仿宋_GB2312"/>
          <w:color w:val="auto"/>
          <w:spacing w:val="0"/>
          <w:sz w:val="30"/>
          <w:szCs w:val="30"/>
          <w:highlight w:val="none"/>
          <w:lang w:eastAsia="zh-CN"/>
        </w:rPr>
        <w:t>2025年6月11日</w:t>
      </w:r>
      <w:r>
        <w:rPr>
          <w:rFonts w:hint="eastAsia" w:ascii="方正仿宋_GB2312" w:hAnsi="方正仿宋_GB2312" w:eastAsia="方正仿宋_GB2312" w:cs="方正仿宋_GB2312"/>
          <w:color w:val="auto"/>
          <w:spacing w:val="0"/>
          <w:sz w:val="30"/>
          <w:szCs w:val="30"/>
          <w:highlight w:val="none"/>
        </w:rPr>
        <w:t>前</w:t>
      </w:r>
      <w:r>
        <w:rPr>
          <w:rFonts w:hint="eastAsia" w:ascii="方正仿宋_GB2312" w:hAnsi="方正仿宋_GB2312" w:eastAsia="方正仿宋_GB2312" w:cs="方正仿宋_GB2312"/>
          <w:color w:val="auto"/>
          <w:spacing w:val="0"/>
          <w:sz w:val="30"/>
          <w:szCs w:val="30"/>
          <w:highlight w:val="none"/>
          <w:lang w:eastAsia="zh-CN"/>
        </w:rPr>
        <w:t>，</w:t>
      </w:r>
      <w:r>
        <w:rPr>
          <w:rFonts w:hint="eastAsia" w:ascii="方正仿宋_GB2312" w:hAnsi="方正仿宋_GB2312" w:eastAsia="方正仿宋_GB2312" w:cs="方正仿宋_GB2312"/>
          <w:color w:val="auto"/>
          <w:spacing w:val="0"/>
          <w:sz w:val="30"/>
          <w:szCs w:val="30"/>
          <w:highlight w:val="none"/>
        </w:rPr>
        <w:t>向</w:t>
      </w:r>
      <w:r>
        <w:rPr>
          <w:rFonts w:hint="eastAsia" w:ascii="方正仿宋_GB2312" w:hAnsi="方正仿宋_GB2312" w:eastAsia="方正仿宋_GB2312" w:cs="方正仿宋_GB2312"/>
          <w:spacing w:val="0"/>
          <w:sz w:val="30"/>
          <w:szCs w:val="30"/>
          <w:highlight w:val="none"/>
          <w:lang w:eastAsia="zh-CN"/>
        </w:rPr>
        <w:t>柘荣县亿利达机械制造有限公司</w:t>
      </w:r>
      <w:r>
        <w:rPr>
          <w:rFonts w:hint="eastAsia" w:ascii="方正仿宋_GB2312" w:hAnsi="方正仿宋_GB2312" w:eastAsia="方正仿宋_GB2312" w:cs="方正仿宋_GB2312"/>
          <w:spacing w:val="0"/>
          <w:sz w:val="30"/>
          <w:szCs w:val="30"/>
          <w:highlight w:val="none"/>
        </w:rPr>
        <w:t>管理人(联系人</w:t>
      </w:r>
      <w:r>
        <w:rPr>
          <w:rFonts w:hint="eastAsia" w:ascii="方正仿宋_GB2312" w:hAnsi="方正仿宋_GB2312" w:eastAsia="方正仿宋_GB2312" w:cs="方正仿宋_GB2312"/>
          <w:spacing w:val="0"/>
          <w:sz w:val="30"/>
          <w:szCs w:val="30"/>
          <w:highlight w:val="none"/>
          <w:lang w:eastAsia="zh-CN"/>
        </w:rPr>
        <w:t>：冯</w:t>
      </w:r>
      <w:r>
        <w:rPr>
          <w:rFonts w:hint="eastAsia" w:ascii="方正仿宋_GB2312" w:hAnsi="方正仿宋_GB2312" w:eastAsia="方正仿宋_GB2312" w:cs="方正仿宋_GB2312"/>
          <w:spacing w:val="0"/>
          <w:sz w:val="30"/>
          <w:szCs w:val="30"/>
          <w:highlight w:val="none"/>
          <w:lang w:val="en-US" w:eastAsia="zh-CN"/>
        </w:rPr>
        <w:t>晓芬</w:t>
      </w:r>
      <w:r>
        <w:rPr>
          <w:rFonts w:hint="eastAsia" w:ascii="方正仿宋_GB2312" w:hAnsi="方正仿宋_GB2312" w:eastAsia="方正仿宋_GB2312" w:cs="方正仿宋_GB2312"/>
          <w:spacing w:val="0"/>
          <w:sz w:val="30"/>
          <w:szCs w:val="30"/>
          <w:highlight w:val="none"/>
        </w:rPr>
        <w:t>18805931168</w:t>
      </w:r>
      <w:r>
        <w:rPr>
          <w:rFonts w:hint="eastAsia" w:ascii="方正仿宋_GB2312" w:hAnsi="方正仿宋_GB2312" w:eastAsia="方正仿宋_GB2312" w:cs="方正仿宋_GB2312"/>
          <w:spacing w:val="0"/>
          <w:sz w:val="30"/>
          <w:szCs w:val="30"/>
          <w:highlight w:val="none"/>
          <w:lang w:eastAsia="zh-CN"/>
        </w:rPr>
        <w:t>，伍</w:t>
      </w:r>
      <w:r>
        <w:rPr>
          <w:rFonts w:hint="eastAsia" w:ascii="方正仿宋_GB2312" w:hAnsi="方正仿宋_GB2312" w:eastAsia="方正仿宋_GB2312" w:cs="方正仿宋_GB2312"/>
          <w:spacing w:val="0"/>
          <w:sz w:val="30"/>
          <w:szCs w:val="30"/>
          <w:highlight w:val="none"/>
          <w:lang w:val="en-US" w:eastAsia="zh-CN"/>
        </w:rPr>
        <w:t>金凤</w:t>
      </w:r>
      <w:r>
        <w:rPr>
          <w:rFonts w:hint="eastAsia" w:ascii="方正仿宋_GB2312" w:hAnsi="方正仿宋_GB2312" w:eastAsia="方正仿宋_GB2312" w:cs="方正仿宋_GB2312"/>
          <w:spacing w:val="0"/>
          <w:sz w:val="30"/>
          <w:szCs w:val="30"/>
          <w:highlight w:val="none"/>
        </w:rPr>
        <w:t>13774771069；联系地址：福建省宁德市蕉城区蕉城南路103号坤元大厦 14 层福建之秀律师事务所)申报债权</w:t>
      </w:r>
      <w:r>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t>，</w:t>
      </w:r>
      <w:r>
        <w:rPr>
          <w:rFonts w:hint="eastAsia" w:ascii="方正仿宋_GB2312" w:hAnsi="方正仿宋_GB2312" w:eastAsia="方正仿宋_GB2312" w:cs="方正仿宋_GB2312"/>
          <w:spacing w:val="0"/>
          <w:sz w:val="30"/>
          <w:szCs w:val="30"/>
          <w:highlight w:val="none"/>
        </w:rPr>
        <w:t>书面说明债权数额、有无财产担保及是否属于连带债权，并提供证据材料。未在上述期限内申报债权的</w:t>
      </w:r>
      <w:r>
        <w:rPr>
          <w:rFonts w:hint="eastAsia" w:ascii="方正仿宋_GB2312" w:hAnsi="方正仿宋_GB2312" w:eastAsia="方正仿宋_GB2312" w:cs="方正仿宋_GB2312"/>
          <w:spacing w:val="0"/>
          <w:sz w:val="30"/>
          <w:szCs w:val="30"/>
          <w:highlight w:val="none"/>
          <w:lang w:eastAsia="zh-CN"/>
        </w:rPr>
        <w:t>，</w:t>
      </w:r>
      <w:r>
        <w:rPr>
          <w:rFonts w:hint="eastAsia" w:ascii="方正仿宋_GB2312" w:hAnsi="方正仿宋_GB2312" w:eastAsia="方正仿宋_GB2312" w:cs="方正仿宋_GB2312"/>
          <w:spacing w:val="0"/>
          <w:sz w:val="30"/>
          <w:szCs w:val="30"/>
          <w:highlight w:val="none"/>
        </w:rPr>
        <w:t>可以在破产财产最后一次分配前补充申报，但对此前已进行的分配无权要求补充分配，同时要承担为审查和确认补充申报债权所产生的费用。未依法申报债权的，不得依照《中华人民共和国企业破产法》规定的程序行使权利。</w:t>
      </w:r>
    </w:p>
    <w:p w14:paraId="5D12FF7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rightChars="0" w:firstLine="600" w:firstLineChars="200"/>
        <w:jc w:val="both"/>
        <w:textAlignment w:val="top"/>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t>二、申报债权时应提供一下材料（具体事项请仔细查看《债权申报须知》）：</w:t>
      </w:r>
    </w:p>
    <w:p w14:paraId="7E7F2C6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rightChars="0" w:firstLine="600" w:firstLineChars="200"/>
        <w:jc w:val="both"/>
        <w:textAlignment w:val="top"/>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t>1.债权人为单位的，应提供营业执照（加盖公章）、法定代表人或负责人身份证明书（原件）、法定代表人或负责人身份证复印件（盖章或签字确认）；债权人为自然人的，应提交个人身份证明（复印件签字确认），如委托代理人申报的，应提交授权委托书（原件）、委托代理人的身份证件或律师执业证（复印件签字确认），委托代理人是律师的还应提交律师事务所的指派函（原件）；</w:t>
      </w:r>
    </w:p>
    <w:p w14:paraId="720AB030">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left"/>
        <w:textAlignment w:val="top"/>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t>2.申报材料目录、债权申报表；</w:t>
      </w:r>
    </w:p>
    <w:p w14:paraId="533DC07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left"/>
        <w:textAlignment w:val="top"/>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t>3.申报债权的证据（如民事判决书、调解书、合同、协议、收款或付款凭证、孳息或违约金计算凭证等书面材料）；</w:t>
      </w:r>
    </w:p>
    <w:p w14:paraId="3C3264A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left"/>
        <w:textAlignment w:val="top"/>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t>4.债权人银行信息、送达地址及联系方式确认书。</w:t>
      </w:r>
    </w:p>
    <w:p w14:paraId="49E8325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rightChars="0" w:firstLine="600" w:firstLineChars="200"/>
        <w:jc w:val="both"/>
        <w:textAlignment w:val="top"/>
        <w:rPr>
          <w:rFonts w:hint="eastAsia" w:ascii="方正仿宋_GB2312" w:hAnsi="方正仿宋_GB2312" w:eastAsia="方正仿宋_GB2312" w:cs="方正仿宋_GB2312"/>
          <w:color w:val="auto"/>
          <w:spacing w:val="0"/>
          <w:sz w:val="30"/>
          <w:szCs w:val="30"/>
          <w:highlight w:val="none"/>
        </w:rPr>
      </w:pPr>
      <w:r>
        <w:rPr>
          <w:rFonts w:hint="eastAsia" w:ascii="方正仿宋_GB2312" w:hAnsi="方正仿宋_GB2312" w:eastAsia="方正仿宋_GB2312" w:cs="方正仿宋_GB2312"/>
          <w:color w:val="auto"/>
          <w:spacing w:val="0"/>
          <w:sz w:val="30"/>
          <w:szCs w:val="30"/>
          <w:highlight w:val="none"/>
          <w:lang w:val="en-US" w:eastAsia="zh-CN"/>
        </w:rPr>
        <w:t>三、柘荣县亿利达机械制造有限公司第一次债权人会议</w:t>
      </w:r>
      <w:r>
        <w:rPr>
          <w:rFonts w:hint="eastAsia" w:ascii="方正仿宋_GB2312" w:hAnsi="方正仿宋_GB2312" w:eastAsia="方正仿宋_GB2312" w:cs="方正仿宋_GB2312"/>
          <w:color w:val="auto"/>
          <w:spacing w:val="0"/>
          <w:kern w:val="0"/>
          <w:sz w:val="30"/>
          <w:szCs w:val="30"/>
          <w:highlight w:val="none"/>
          <w:lang w:val="en-US" w:eastAsia="zh-CN" w:bidi="ar"/>
        </w:rPr>
        <w:t>定</w:t>
      </w:r>
      <w:r>
        <w:rPr>
          <w:rFonts w:hint="eastAsia" w:ascii="方正仿宋_GB2312" w:hAnsi="方正仿宋_GB2312" w:eastAsia="方正仿宋_GB2312" w:cs="方正仿宋_GB2312"/>
          <w:color w:val="auto"/>
          <w:spacing w:val="0"/>
          <w:sz w:val="30"/>
          <w:szCs w:val="30"/>
          <w:highlight w:val="none"/>
        </w:rPr>
        <w:t>202</w:t>
      </w:r>
      <w:r>
        <w:rPr>
          <w:rFonts w:hint="eastAsia" w:ascii="方正仿宋_GB2312" w:hAnsi="方正仿宋_GB2312" w:eastAsia="方正仿宋_GB2312" w:cs="方正仿宋_GB2312"/>
          <w:color w:val="auto"/>
          <w:spacing w:val="0"/>
          <w:sz w:val="30"/>
          <w:szCs w:val="30"/>
          <w:highlight w:val="none"/>
          <w:lang w:eastAsia="zh-CN"/>
        </w:rPr>
        <w:t>5</w:t>
      </w:r>
      <w:r>
        <w:rPr>
          <w:rFonts w:hint="eastAsia" w:ascii="方正仿宋_GB2312" w:hAnsi="方正仿宋_GB2312" w:eastAsia="方正仿宋_GB2312" w:cs="方正仿宋_GB2312"/>
          <w:color w:val="auto"/>
          <w:spacing w:val="0"/>
          <w:sz w:val="30"/>
          <w:szCs w:val="30"/>
          <w:highlight w:val="none"/>
        </w:rPr>
        <w:t>年</w:t>
      </w:r>
      <w:r>
        <w:rPr>
          <w:rFonts w:hint="eastAsia" w:ascii="方正仿宋_GB2312" w:hAnsi="方正仿宋_GB2312" w:eastAsia="方正仿宋_GB2312" w:cs="方正仿宋_GB2312"/>
          <w:color w:val="auto"/>
          <w:spacing w:val="0"/>
          <w:sz w:val="30"/>
          <w:szCs w:val="30"/>
          <w:highlight w:val="none"/>
          <w:lang w:eastAsia="zh-CN"/>
        </w:rPr>
        <w:t>6</w:t>
      </w:r>
      <w:r>
        <w:rPr>
          <w:rFonts w:hint="eastAsia" w:ascii="方正仿宋_GB2312" w:hAnsi="方正仿宋_GB2312" w:eastAsia="方正仿宋_GB2312" w:cs="方正仿宋_GB2312"/>
          <w:color w:val="auto"/>
          <w:spacing w:val="0"/>
          <w:sz w:val="30"/>
          <w:szCs w:val="30"/>
          <w:highlight w:val="none"/>
        </w:rPr>
        <w:t>月</w:t>
      </w:r>
      <w:r>
        <w:rPr>
          <w:rFonts w:hint="eastAsia" w:ascii="方正仿宋_GB2312" w:hAnsi="方正仿宋_GB2312" w:eastAsia="方正仿宋_GB2312" w:cs="方正仿宋_GB2312"/>
          <w:color w:val="auto"/>
          <w:spacing w:val="0"/>
          <w:sz w:val="30"/>
          <w:szCs w:val="30"/>
          <w:highlight w:val="none"/>
          <w:lang w:eastAsia="zh-CN"/>
        </w:rPr>
        <w:t>1</w:t>
      </w:r>
      <w:r>
        <w:rPr>
          <w:rFonts w:hint="eastAsia" w:ascii="方正仿宋_GB2312" w:hAnsi="方正仿宋_GB2312" w:eastAsia="方正仿宋_GB2312" w:cs="方正仿宋_GB2312"/>
          <w:color w:val="auto"/>
          <w:spacing w:val="0"/>
          <w:sz w:val="30"/>
          <w:szCs w:val="30"/>
          <w:highlight w:val="none"/>
          <w:lang w:val="en-US" w:eastAsia="zh-CN"/>
        </w:rPr>
        <w:t>8</w:t>
      </w:r>
      <w:r>
        <w:rPr>
          <w:rFonts w:hint="eastAsia" w:ascii="方正仿宋_GB2312" w:hAnsi="方正仿宋_GB2312" w:eastAsia="方正仿宋_GB2312" w:cs="方正仿宋_GB2312"/>
          <w:color w:val="auto"/>
          <w:spacing w:val="0"/>
          <w:sz w:val="30"/>
          <w:szCs w:val="30"/>
          <w:highlight w:val="none"/>
        </w:rPr>
        <w:t>日</w:t>
      </w:r>
      <w:r>
        <w:rPr>
          <w:rFonts w:hint="eastAsia" w:ascii="方正仿宋_GB2312" w:hAnsi="方正仿宋_GB2312" w:eastAsia="方正仿宋_GB2312" w:cs="方正仿宋_GB2312"/>
          <w:color w:val="auto"/>
          <w:spacing w:val="0"/>
          <w:sz w:val="30"/>
          <w:szCs w:val="30"/>
          <w:highlight w:val="none"/>
          <w:lang w:eastAsia="zh-CN"/>
        </w:rPr>
        <w:t>下</w:t>
      </w:r>
      <w:r>
        <w:rPr>
          <w:rFonts w:hint="eastAsia" w:ascii="方正仿宋_GB2312" w:hAnsi="方正仿宋_GB2312" w:eastAsia="方正仿宋_GB2312" w:cs="方正仿宋_GB2312"/>
          <w:color w:val="auto"/>
          <w:spacing w:val="0"/>
          <w:sz w:val="30"/>
          <w:szCs w:val="30"/>
          <w:highlight w:val="none"/>
        </w:rPr>
        <w:t>午</w:t>
      </w:r>
      <w:r>
        <w:rPr>
          <w:rFonts w:hint="eastAsia" w:ascii="方正仿宋_GB2312" w:hAnsi="方正仿宋_GB2312" w:eastAsia="方正仿宋_GB2312" w:cs="方正仿宋_GB2312"/>
          <w:color w:val="auto"/>
          <w:spacing w:val="0"/>
          <w:sz w:val="30"/>
          <w:szCs w:val="30"/>
          <w:highlight w:val="none"/>
          <w:lang w:eastAsia="zh-CN"/>
        </w:rPr>
        <w:t>15</w:t>
      </w:r>
      <w:r>
        <w:rPr>
          <w:rFonts w:hint="eastAsia" w:ascii="方正仿宋_GB2312" w:hAnsi="方正仿宋_GB2312" w:eastAsia="方正仿宋_GB2312" w:cs="方正仿宋_GB2312"/>
          <w:color w:val="auto"/>
          <w:spacing w:val="0"/>
          <w:sz w:val="30"/>
          <w:szCs w:val="30"/>
          <w:highlight w:val="none"/>
          <w:lang w:val="en-US" w:eastAsia="zh-CN"/>
        </w:rPr>
        <w:t>:00在柘荣县人民法院第一法庭召开第一次债权人会议。</w:t>
      </w:r>
    </w:p>
    <w:p w14:paraId="20DF9CF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leftChars="0" w:right="0" w:rightChars="0" w:firstLine="600" w:firstLineChars="200"/>
        <w:jc w:val="both"/>
        <w:textAlignment w:val="top"/>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t>特此通知</w:t>
      </w:r>
    </w:p>
    <w:p w14:paraId="190BCC2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leftChars="0" w:right="0" w:rightChars="0"/>
        <w:jc w:val="left"/>
        <w:textAlignment w:val="top"/>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pPr>
    </w:p>
    <w:p w14:paraId="381120BA">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leftChars="0" w:right="0" w:rightChars="0"/>
        <w:jc w:val="right"/>
        <w:textAlignment w:val="top"/>
        <w:rPr>
          <w:rFonts w:hint="eastAsia" w:ascii="方正仿宋_GB2312" w:hAnsi="方正仿宋_GB2312" w:eastAsia="方正仿宋_GB2312" w:cs="方正仿宋_GB2312"/>
          <w:color w:val="auto"/>
          <w:spacing w:val="0"/>
          <w:kern w:val="0"/>
          <w:sz w:val="30"/>
          <w:szCs w:val="30"/>
          <w:highlight w:val="none"/>
          <w:lang w:val="en-US" w:eastAsia="zh-CN" w:bidi="ar"/>
        </w:rPr>
      </w:pPr>
      <w:r>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t xml:space="preserve">   </w:t>
      </w:r>
      <w:r>
        <w:rPr>
          <w:rFonts w:hint="eastAsia" w:ascii="方正仿宋_GB2312" w:hAnsi="方正仿宋_GB2312" w:eastAsia="方正仿宋_GB2312" w:cs="方正仿宋_GB2312"/>
          <w:color w:val="auto"/>
          <w:spacing w:val="0"/>
          <w:kern w:val="0"/>
          <w:sz w:val="30"/>
          <w:szCs w:val="30"/>
          <w:highlight w:val="none"/>
          <w:lang w:val="en-US" w:eastAsia="zh-CN" w:bidi="ar"/>
        </w:rPr>
        <w:t xml:space="preserve">            </w:t>
      </w:r>
      <w:r>
        <w:rPr>
          <w:rFonts w:hint="eastAsia" w:ascii="方正仿宋_GB2312" w:hAnsi="方正仿宋_GB2312" w:eastAsia="方正仿宋_GB2312" w:cs="方正仿宋_GB2312"/>
          <w:color w:val="auto"/>
          <w:spacing w:val="0"/>
          <w:sz w:val="30"/>
          <w:szCs w:val="30"/>
          <w:highlight w:val="none"/>
          <w:lang w:val="en-US" w:eastAsia="zh-CN"/>
        </w:rPr>
        <w:t>柘荣县亿利达机械制造有限公司管理人</w:t>
      </w:r>
    </w:p>
    <w:p w14:paraId="56F9FAF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200"/>
        <w:jc w:val="right"/>
        <w:textAlignment w:val="top"/>
        <w:rPr>
          <w:rFonts w:hint="eastAsia" w:ascii="方正仿宋_GB2312" w:hAnsi="方正仿宋_GB2312" w:eastAsia="方正仿宋_GB2312" w:cs="方正仿宋_GB2312"/>
          <w:color w:val="auto"/>
          <w:spacing w:val="0"/>
          <w:sz w:val="30"/>
          <w:szCs w:val="30"/>
          <w:highlight w:val="none"/>
        </w:rPr>
      </w:pPr>
      <w:r>
        <w:rPr>
          <w:rFonts w:hint="eastAsia" w:ascii="方正仿宋_GB2312" w:hAnsi="方正仿宋_GB2312" w:eastAsia="方正仿宋_GB2312" w:cs="方正仿宋_GB2312"/>
          <w:color w:val="auto"/>
          <w:spacing w:val="0"/>
          <w:sz w:val="30"/>
          <w:szCs w:val="30"/>
          <w:highlight w:val="none"/>
        </w:rPr>
        <w:t>                         </w:t>
      </w:r>
      <w:r>
        <w:rPr>
          <w:rFonts w:hint="eastAsia" w:ascii="方正仿宋_GB2312" w:hAnsi="方正仿宋_GB2312" w:eastAsia="方正仿宋_GB2312" w:cs="方正仿宋_GB2312"/>
          <w:color w:val="auto"/>
          <w:spacing w:val="0"/>
          <w:sz w:val="30"/>
          <w:szCs w:val="30"/>
          <w:highlight w:val="none"/>
          <w:lang w:val="en-US" w:eastAsia="zh-CN"/>
        </w:rPr>
        <w:t xml:space="preserve">          </w:t>
      </w:r>
      <w:r>
        <w:rPr>
          <w:rFonts w:hint="eastAsia" w:ascii="方正仿宋_GB2312" w:hAnsi="方正仿宋_GB2312" w:eastAsia="方正仿宋_GB2312" w:cs="方正仿宋_GB2312"/>
          <w:color w:val="auto"/>
          <w:spacing w:val="0"/>
          <w:sz w:val="30"/>
          <w:szCs w:val="30"/>
          <w:highlight w:val="none"/>
        </w:rPr>
        <w:t>   </w:t>
      </w:r>
      <w:r>
        <w:rPr>
          <w:rFonts w:hint="eastAsia" w:ascii="方正仿宋_GB2312" w:hAnsi="方正仿宋_GB2312" w:eastAsia="方正仿宋_GB2312" w:cs="方正仿宋_GB2312"/>
          <w:color w:val="auto"/>
          <w:spacing w:val="0"/>
          <w:sz w:val="30"/>
          <w:szCs w:val="30"/>
          <w:highlight w:val="none"/>
          <w:lang w:val="en-US" w:eastAsia="zh-CN"/>
        </w:rPr>
        <w:t xml:space="preserve"> 二〇二五年五月十二日</w:t>
      </w:r>
    </w:p>
    <w:p w14:paraId="3C35A6F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leftChars="0" w:right="0" w:firstLine="0" w:firstLineChars="0"/>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p>
    <w:p w14:paraId="2989A06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200"/>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附：</w:t>
      </w:r>
    </w:p>
    <w:p w14:paraId="24B0E5BB">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200" w:leftChars="0" w:right="0" w:rightChars="0"/>
        <w:textAlignment w:val="top"/>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1.</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债权申报</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须知；</w:t>
      </w:r>
    </w:p>
    <w:p w14:paraId="0EEC5EFD">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200" w:leftChars="0" w:right="0" w:rightChars="0"/>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2.债权申报文件清单</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w:t>
      </w:r>
    </w:p>
    <w:p w14:paraId="5E4D775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200"/>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3.债权申报表</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w:t>
      </w: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申报书及孳息债权计算说明</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w:t>
      </w:r>
    </w:p>
    <w:p w14:paraId="0A80485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200"/>
        <w:textAlignment w:val="top"/>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4.债权人银行信息、送达地址确认书；</w:t>
      </w:r>
    </w:p>
    <w:p w14:paraId="782B4DD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200"/>
        <w:textAlignment w:val="top"/>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5</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w:t>
      </w: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法</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定代表人（负责人）身份证明书</w:t>
      </w: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(范本）；</w:t>
      </w:r>
    </w:p>
    <w:p w14:paraId="5A8A4A1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200"/>
        <w:textAlignment w:val="top"/>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6</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.授权委托书</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（机构）</w:t>
      </w: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(范本）；</w:t>
      </w:r>
    </w:p>
    <w:p w14:paraId="1610D46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200"/>
        <w:textAlignment w:val="top"/>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7</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.授权委托书</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（自然人）</w:t>
      </w: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(范本）；</w:t>
      </w:r>
    </w:p>
    <w:p w14:paraId="09645CB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200"/>
        <w:textAlignment w:val="top"/>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8</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.债权申报真实性承诺书</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w:t>
      </w:r>
    </w:p>
    <w:p w14:paraId="6DC5AA6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200"/>
        <w:textAlignment w:val="top"/>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9.债权人会议议事规则及债权人会议表决规则；</w:t>
      </w:r>
    </w:p>
    <w:p w14:paraId="38CF7D7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200"/>
        <w:textAlignment w:val="top"/>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10.送达回证；</w:t>
      </w:r>
    </w:p>
    <w:p w14:paraId="5DB56FB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200"/>
        <w:textAlignment w:val="top"/>
        <w:rPr>
          <w:rFonts w:hint="eastAsia" w:ascii="方正仿宋_GB2312" w:hAnsi="方正仿宋_GB2312" w:eastAsia="方正仿宋_GB2312" w:cs="方正仿宋_GB2312"/>
          <w:b/>
          <w:bCs/>
          <w:color w:val="000000" w:themeColor="text1"/>
          <w:spacing w:val="0"/>
          <w:sz w:val="30"/>
          <w:szCs w:val="30"/>
          <w:highlight w:val="none"/>
          <w:lang w:eastAsia="zh-CN"/>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11.财产线索征集表。</w:t>
      </w:r>
    </w:p>
    <w:p w14:paraId="01F7DA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top"/>
        <w:rPr>
          <w:rFonts w:hint="eastAsia" w:ascii="黑体" w:hAnsi="黑体" w:eastAsia="黑体" w:cs="黑体"/>
          <w:b/>
          <w:bCs/>
          <w:color w:val="000000" w:themeColor="text1"/>
          <w:spacing w:val="0"/>
          <w:sz w:val="36"/>
          <w:szCs w:val="36"/>
          <w:highlight w:val="none"/>
          <w:lang w:val="en-US" w:eastAsia="zh-CN"/>
          <w14:textFill>
            <w14:solidFill>
              <w14:schemeClr w14:val="tx1"/>
            </w14:solidFill>
          </w14:textFill>
        </w:rPr>
      </w:pPr>
      <w:r>
        <w:rPr>
          <w:rFonts w:hint="eastAsia" w:ascii="黑体" w:hAnsi="黑体" w:eastAsia="黑体" w:cs="黑体"/>
          <w:b/>
          <w:bCs/>
          <w:color w:val="000000" w:themeColor="text1"/>
          <w:spacing w:val="0"/>
          <w:sz w:val="36"/>
          <w:szCs w:val="36"/>
          <w:highlight w:val="none"/>
          <w:lang w:eastAsia="zh-CN"/>
          <w14:textFill>
            <w14:solidFill>
              <w14:schemeClr w14:val="tx1"/>
            </w14:solidFill>
          </w14:textFill>
        </w:rPr>
        <w:t>柘荣县亿利达机械制造有限公司</w:t>
      </w:r>
      <w:r>
        <w:rPr>
          <w:rFonts w:hint="eastAsia" w:ascii="黑体" w:hAnsi="黑体" w:eastAsia="黑体" w:cs="黑体"/>
          <w:b/>
          <w:bCs/>
          <w:color w:val="000000" w:themeColor="text1"/>
          <w:spacing w:val="0"/>
          <w:sz w:val="36"/>
          <w:szCs w:val="36"/>
          <w:highlight w:val="none"/>
          <w14:textFill>
            <w14:solidFill>
              <w14:schemeClr w14:val="tx1"/>
            </w14:solidFill>
          </w14:textFill>
        </w:rPr>
        <w:t>破产清算案</w:t>
      </w:r>
      <w:r>
        <w:rPr>
          <w:rFonts w:hint="eastAsia" w:ascii="黑体" w:hAnsi="黑体" w:eastAsia="黑体" w:cs="黑体"/>
          <w:b/>
          <w:bCs/>
          <w:color w:val="000000" w:themeColor="text1"/>
          <w:spacing w:val="0"/>
          <w:sz w:val="36"/>
          <w:szCs w:val="36"/>
          <w:highlight w:val="none"/>
          <w:lang w:val="en-US" w:eastAsia="zh-CN"/>
          <w14:textFill>
            <w14:solidFill>
              <w14:schemeClr w14:val="tx1"/>
            </w14:solidFill>
          </w14:textFill>
        </w:rPr>
        <w:t xml:space="preserve">    </w:t>
      </w:r>
    </w:p>
    <w:p w14:paraId="38DAF0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top"/>
        <w:rPr>
          <w:rFonts w:hint="eastAsia" w:ascii="黑体" w:hAnsi="黑体" w:eastAsia="黑体" w:cs="黑体"/>
          <w:b/>
          <w:bCs/>
          <w:color w:val="000000" w:themeColor="text1"/>
          <w:spacing w:val="0"/>
          <w:sz w:val="36"/>
          <w:szCs w:val="36"/>
          <w:highlight w:val="none"/>
          <w:lang w:eastAsia="zh-CN"/>
          <w14:textFill>
            <w14:solidFill>
              <w14:schemeClr w14:val="tx1"/>
            </w14:solidFill>
          </w14:textFill>
        </w:rPr>
      </w:pPr>
      <w:r>
        <w:rPr>
          <w:rFonts w:hint="eastAsia" w:ascii="黑体" w:hAnsi="黑体" w:eastAsia="黑体" w:cs="黑体"/>
          <w:b/>
          <w:bCs/>
          <w:color w:val="000000" w:themeColor="text1"/>
          <w:spacing w:val="0"/>
          <w:sz w:val="36"/>
          <w:szCs w:val="36"/>
          <w:highlight w:val="none"/>
          <w14:textFill>
            <w14:solidFill>
              <w14:schemeClr w14:val="tx1"/>
            </w14:solidFill>
          </w14:textFill>
        </w:rPr>
        <w:t>债权申报</w:t>
      </w:r>
      <w:r>
        <w:rPr>
          <w:rFonts w:hint="eastAsia" w:ascii="黑体" w:hAnsi="黑体" w:eastAsia="黑体" w:cs="黑体"/>
          <w:b/>
          <w:bCs/>
          <w:color w:val="000000" w:themeColor="text1"/>
          <w:spacing w:val="0"/>
          <w:sz w:val="36"/>
          <w:szCs w:val="36"/>
          <w:highlight w:val="none"/>
          <w:lang w:eastAsia="zh-CN"/>
          <w14:textFill>
            <w14:solidFill>
              <w14:schemeClr w14:val="tx1"/>
            </w14:solidFill>
          </w14:textFill>
        </w:rPr>
        <w:t>须知</w:t>
      </w:r>
    </w:p>
    <w:p w14:paraId="482FE8CC">
      <w:pPr>
        <w:keepNext w:val="0"/>
        <w:keepLines w:val="0"/>
        <w:pageBreakBefore w:val="0"/>
        <w:kinsoku/>
        <w:wordWrap/>
        <w:overflowPunct/>
        <w:topLinePunct w:val="0"/>
        <w:autoSpaceDE/>
        <w:autoSpaceDN/>
        <w:bidi w:val="0"/>
        <w:adjustRightInd/>
        <w:snapToGrid/>
        <w:spacing w:line="560" w:lineRule="exact"/>
        <w:rPr>
          <w:rFonts w:hint="eastAsia"/>
          <w:color w:val="000000" w:themeColor="text1"/>
          <w:spacing w:val="0"/>
          <w:highlight w:val="none"/>
          <w14:textFill>
            <w14:solidFill>
              <w14:schemeClr w14:val="tx1"/>
            </w14:solidFill>
          </w14:textFill>
        </w:rPr>
      </w:pPr>
    </w:p>
    <w:p w14:paraId="7A834AE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600" w:firstLineChars="200"/>
        <w:jc w:val="both"/>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2025年5月8日，宁德市中级人民法院作出（2025）闽09破申68号民事裁定书，</w:t>
      </w:r>
      <w:r>
        <w:rPr>
          <w:rFonts w:hint="eastAsia" w:ascii="方正仿宋_GB2312" w:hAnsi="方正仿宋_GB2312" w:eastAsia="方正仿宋_GB2312" w:cs="方正仿宋_GB2312"/>
          <w:spacing w:val="0"/>
          <w:sz w:val="30"/>
          <w:szCs w:val="30"/>
          <w:highlight w:val="none"/>
        </w:rPr>
        <w:t>裁定受理</w:t>
      </w:r>
      <w:r>
        <w:rPr>
          <w:rFonts w:hint="eastAsia" w:ascii="方正仿宋_GB2312" w:hAnsi="方正仿宋_GB2312" w:eastAsia="方正仿宋_GB2312" w:cs="方正仿宋_GB2312"/>
          <w:spacing w:val="0"/>
          <w:sz w:val="30"/>
          <w:szCs w:val="30"/>
          <w:highlight w:val="none"/>
          <w:lang w:eastAsia="zh-CN"/>
        </w:rPr>
        <w:t>柘荣县农村信用合作联社股份有限公司</w:t>
      </w:r>
      <w:r>
        <w:rPr>
          <w:rFonts w:hint="eastAsia" w:ascii="方正仿宋_GB2312" w:hAnsi="方正仿宋_GB2312" w:eastAsia="方正仿宋_GB2312" w:cs="方正仿宋_GB2312"/>
          <w:spacing w:val="0"/>
          <w:sz w:val="30"/>
          <w:szCs w:val="30"/>
          <w:highlight w:val="none"/>
        </w:rPr>
        <w:t>对</w:t>
      </w:r>
      <w:r>
        <w:rPr>
          <w:rFonts w:hint="eastAsia" w:ascii="方正仿宋_GB2312" w:hAnsi="方正仿宋_GB2312" w:eastAsia="方正仿宋_GB2312" w:cs="方正仿宋_GB2312"/>
          <w:spacing w:val="0"/>
          <w:sz w:val="30"/>
          <w:szCs w:val="30"/>
          <w:highlight w:val="none"/>
          <w:lang w:eastAsia="zh-CN"/>
        </w:rPr>
        <w:t>柘荣县亿利达机械制造有限公司</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w:t>
      </w:r>
      <w:r>
        <w:rPr>
          <w:rFonts w:hint="eastAsia" w:ascii="方正仿宋_GB2312" w:hAnsi="方正仿宋_GB2312" w:eastAsia="方正仿宋_GB2312" w:cs="方正仿宋_GB2312"/>
          <w:spacing w:val="0"/>
          <w:sz w:val="30"/>
          <w:szCs w:val="30"/>
          <w:highlight w:val="none"/>
          <w:lang w:val="en-US" w:eastAsia="zh-CN"/>
        </w:rPr>
        <w:t>以下称亿利达公司</w:t>
      </w:r>
      <w:r>
        <w:rPr>
          <w:rFonts w:hint="eastAsia" w:ascii="方正仿宋_GB2312" w:hAnsi="方正仿宋_GB2312" w:eastAsia="方正仿宋_GB2312" w:cs="方正仿宋_GB2312"/>
          <w:spacing w:val="0"/>
          <w:sz w:val="30"/>
          <w:szCs w:val="30"/>
          <w:highlight w:val="none"/>
          <w:lang w:eastAsia="zh-CN"/>
        </w:rPr>
        <w:t>）</w:t>
      </w:r>
      <w:r>
        <w:rPr>
          <w:rFonts w:hint="eastAsia" w:ascii="方正仿宋_GB2312" w:hAnsi="方正仿宋_GB2312" w:eastAsia="方正仿宋_GB2312" w:cs="方正仿宋_GB2312"/>
          <w:spacing w:val="0"/>
          <w:sz w:val="30"/>
          <w:szCs w:val="30"/>
          <w:highlight w:val="none"/>
        </w:rPr>
        <w:t>的破产清算申请。</w:t>
      </w:r>
      <w:r>
        <w:rPr>
          <w:rFonts w:hint="eastAsia" w:ascii="方正仿宋_GB2312" w:hAnsi="方正仿宋_GB2312" w:eastAsia="方正仿宋_GB2312" w:cs="方正仿宋_GB2312"/>
          <w:spacing w:val="0"/>
          <w:sz w:val="30"/>
          <w:szCs w:val="30"/>
          <w:highlight w:val="none"/>
          <w:lang w:val="en-US" w:eastAsia="zh-CN"/>
        </w:rPr>
        <w:t>同</w:t>
      </w:r>
      <w:r>
        <w:rPr>
          <w:rFonts w:hint="eastAsia" w:ascii="方正仿宋_GB2312" w:hAnsi="方正仿宋_GB2312" w:eastAsia="方正仿宋_GB2312" w:cs="方正仿宋_GB2312"/>
          <w:spacing w:val="0"/>
          <w:sz w:val="30"/>
          <w:szCs w:val="30"/>
          <w:highlight w:val="none"/>
        </w:rPr>
        <w:t>日，宁德市中级人民法院作出</w:t>
      </w: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（2025）闽09破申68号</w:t>
      </w:r>
      <w:r>
        <w:rPr>
          <w:rFonts w:hint="eastAsia" w:ascii="方正仿宋_GB2312" w:hAnsi="方正仿宋_GB2312" w:eastAsia="方正仿宋_GB2312" w:cs="方正仿宋_GB2312"/>
          <w:spacing w:val="0"/>
          <w:sz w:val="30"/>
          <w:szCs w:val="30"/>
          <w:highlight w:val="none"/>
        </w:rPr>
        <w:t>决定书，指定福建之秀律师事务所担任</w:t>
      </w:r>
      <w:r>
        <w:rPr>
          <w:rFonts w:hint="eastAsia" w:ascii="方正仿宋_GB2312" w:hAnsi="方正仿宋_GB2312" w:eastAsia="方正仿宋_GB2312" w:cs="方正仿宋_GB2312"/>
          <w:spacing w:val="0"/>
          <w:sz w:val="30"/>
          <w:szCs w:val="30"/>
          <w:highlight w:val="none"/>
          <w:lang w:eastAsia="zh-CN"/>
        </w:rPr>
        <w:t>柘荣县亿利达机械制造有限公司</w:t>
      </w:r>
      <w:r>
        <w:rPr>
          <w:rFonts w:hint="eastAsia" w:ascii="方正仿宋_GB2312" w:hAnsi="方正仿宋_GB2312" w:eastAsia="方正仿宋_GB2312" w:cs="方正仿宋_GB2312"/>
          <w:spacing w:val="0"/>
          <w:sz w:val="30"/>
          <w:szCs w:val="30"/>
          <w:highlight w:val="none"/>
        </w:rPr>
        <w:t>管理人</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w:t>
      </w:r>
      <w:r>
        <w:rPr>
          <w:rFonts w:hint="eastAsia" w:ascii="方正仿宋_GB2312" w:hAnsi="方正仿宋_GB2312" w:eastAsia="方正仿宋_GB2312" w:cs="方正仿宋_GB2312"/>
          <w:spacing w:val="0"/>
          <w:sz w:val="30"/>
          <w:szCs w:val="30"/>
          <w:highlight w:val="none"/>
          <w:lang w:val="en-US" w:eastAsia="zh-CN"/>
        </w:rPr>
        <w:t>以下称</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管理人）。为明确债权申报的有关事项，帮助债权人顺利申报债权，现就相关问题作指引如下：</w:t>
      </w:r>
    </w:p>
    <w:p w14:paraId="1C93990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62"/>
        <w:jc w:val="both"/>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b/>
          <w:bCs/>
          <w:color w:val="000000" w:themeColor="text1"/>
          <w:spacing w:val="0"/>
          <w:sz w:val="30"/>
          <w:szCs w:val="30"/>
          <w:highlight w:val="none"/>
          <w14:textFill>
            <w14:solidFill>
              <w14:schemeClr w14:val="tx1"/>
            </w14:solidFill>
          </w14:textFill>
        </w:rPr>
        <w:t>一、债权申报主体</w:t>
      </w:r>
    </w:p>
    <w:p w14:paraId="1385302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16"/>
        <w:jc w:val="both"/>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根据《中华人民共和国企业破产法</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的规定，法院受理破产清算时对</w:t>
      </w: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亿利达公司</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享有债权的债权人，均可以向管理人申报债权。未到期的债权，在破产清算受理时视为到期，相关债权人可向管理人申报债权。附条件或附期限的债权和仲裁、诉讼未决的债权，债权人可以申报。</w:t>
      </w:r>
    </w:p>
    <w:p w14:paraId="2C942FA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62"/>
        <w:jc w:val="both"/>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b/>
          <w:bCs/>
          <w:color w:val="000000" w:themeColor="text1"/>
          <w:spacing w:val="0"/>
          <w:sz w:val="30"/>
          <w:szCs w:val="30"/>
          <w:highlight w:val="none"/>
          <w14:textFill>
            <w14:solidFill>
              <w14:schemeClr w14:val="tx1"/>
            </w14:solidFill>
          </w14:textFill>
        </w:rPr>
        <w:t>二、债权申报期限</w:t>
      </w:r>
    </w:p>
    <w:p w14:paraId="3DCDB46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20"/>
        <w:jc w:val="both"/>
        <w:textAlignment w:val="top"/>
        <w:rPr>
          <w:rFonts w:hint="eastAsia" w:ascii="方正仿宋_GB2312" w:hAnsi="方正仿宋_GB2312" w:eastAsia="方正仿宋_GB2312" w:cs="方正仿宋_GB2312"/>
          <w:color w:val="000000" w:themeColor="text1"/>
          <w:spacing w:val="-6"/>
          <w:sz w:val="30"/>
          <w:szCs w:val="30"/>
          <w:highlight w:val="none"/>
          <w14:textFill>
            <w14:solidFill>
              <w14:schemeClr w14:val="tx1"/>
            </w14:solidFill>
          </w14:textFill>
        </w:rPr>
      </w:pPr>
      <w:r>
        <w:rPr>
          <w:rFonts w:hint="eastAsia" w:ascii="方正仿宋_GB2312" w:hAnsi="方正仿宋_GB2312" w:eastAsia="方正仿宋_GB2312" w:cs="方正仿宋_GB2312"/>
          <w:color w:val="000000" w:themeColor="text1"/>
          <w:spacing w:val="-6"/>
          <w:sz w:val="30"/>
          <w:szCs w:val="30"/>
          <w:highlight w:val="none"/>
          <w:lang w:eastAsia="zh-CN"/>
          <w14:textFill>
            <w14:solidFill>
              <w14:schemeClr w14:val="tx1"/>
            </w14:solidFill>
          </w14:textFill>
        </w:rPr>
        <w:t>亿利达公司</w:t>
      </w:r>
      <w:r>
        <w:rPr>
          <w:rFonts w:hint="eastAsia" w:ascii="方正仿宋_GB2312" w:hAnsi="方正仿宋_GB2312" w:eastAsia="方正仿宋_GB2312" w:cs="方正仿宋_GB2312"/>
          <w:color w:val="000000" w:themeColor="text1"/>
          <w:spacing w:val="-6"/>
          <w:sz w:val="30"/>
          <w:szCs w:val="30"/>
          <w:highlight w:val="none"/>
          <w14:textFill>
            <w14:solidFill>
              <w14:schemeClr w14:val="tx1"/>
            </w14:solidFill>
          </w14:textFill>
        </w:rPr>
        <w:t>债权人</w:t>
      </w:r>
      <w:r>
        <w:rPr>
          <w:rFonts w:hint="eastAsia" w:ascii="方正仿宋_GB2312" w:hAnsi="方正仿宋_GB2312" w:eastAsia="方正仿宋_GB2312" w:cs="方正仿宋_GB2312"/>
          <w:color w:val="000000" w:themeColor="text1"/>
          <w:spacing w:val="-6"/>
          <w:sz w:val="30"/>
          <w:szCs w:val="30"/>
          <w:highlight w:val="none"/>
          <w:lang w:eastAsia="zh-CN"/>
          <w14:textFill>
            <w14:solidFill>
              <w14:schemeClr w14:val="tx1"/>
            </w14:solidFill>
          </w14:textFill>
        </w:rPr>
        <w:t>应</w:t>
      </w:r>
      <w:r>
        <w:rPr>
          <w:rFonts w:hint="eastAsia" w:ascii="方正仿宋_GB2312" w:hAnsi="方正仿宋_GB2312" w:eastAsia="方正仿宋_GB2312" w:cs="方正仿宋_GB2312"/>
          <w:color w:val="auto"/>
          <w:spacing w:val="-6"/>
          <w:sz w:val="30"/>
          <w:szCs w:val="30"/>
          <w:highlight w:val="none"/>
          <w:lang w:eastAsia="zh-CN"/>
        </w:rPr>
        <w:t>在</w:t>
      </w:r>
      <w:r>
        <w:rPr>
          <w:rFonts w:hint="eastAsia" w:ascii="方正仿宋_GB2312" w:hAnsi="方正仿宋_GB2312" w:eastAsia="方正仿宋_GB2312" w:cs="方正仿宋_GB2312"/>
          <w:b/>
          <w:bCs/>
          <w:color w:val="auto"/>
          <w:spacing w:val="-6"/>
          <w:sz w:val="30"/>
          <w:szCs w:val="30"/>
          <w:highlight w:val="none"/>
          <w:u w:val="single"/>
          <w:lang w:val="en-US" w:eastAsia="zh-CN"/>
        </w:rPr>
        <w:t>2025</w:t>
      </w:r>
      <w:r>
        <w:rPr>
          <w:rFonts w:hint="eastAsia" w:ascii="方正仿宋_GB2312" w:hAnsi="方正仿宋_GB2312" w:eastAsia="方正仿宋_GB2312" w:cs="方正仿宋_GB2312"/>
          <w:b/>
          <w:bCs/>
          <w:color w:val="auto"/>
          <w:spacing w:val="-6"/>
          <w:sz w:val="30"/>
          <w:szCs w:val="30"/>
          <w:highlight w:val="none"/>
          <w:u w:val="single"/>
          <w:lang w:eastAsia="zh-CN"/>
        </w:rPr>
        <w:t>年 6月11日</w:t>
      </w:r>
      <w:r>
        <w:rPr>
          <w:rFonts w:hint="eastAsia" w:ascii="方正仿宋_GB2312" w:hAnsi="方正仿宋_GB2312" w:eastAsia="方正仿宋_GB2312" w:cs="方正仿宋_GB2312"/>
          <w:color w:val="auto"/>
          <w:spacing w:val="-6"/>
          <w:sz w:val="30"/>
          <w:szCs w:val="30"/>
          <w:highlight w:val="none"/>
          <w:lang w:eastAsia="zh-CN"/>
        </w:rPr>
        <w:t>前</w:t>
      </w:r>
      <w:r>
        <w:rPr>
          <w:rFonts w:hint="eastAsia" w:ascii="方正仿宋_GB2312" w:hAnsi="方正仿宋_GB2312" w:eastAsia="方正仿宋_GB2312" w:cs="方正仿宋_GB2312"/>
          <w:color w:val="auto"/>
          <w:spacing w:val="-6"/>
          <w:sz w:val="30"/>
          <w:szCs w:val="30"/>
          <w:highlight w:val="none"/>
        </w:rPr>
        <w:t>，</w:t>
      </w:r>
      <w:r>
        <w:rPr>
          <w:rFonts w:hint="eastAsia" w:ascii="方正仿宋_GB2312" w:hAnsi="方正仿宋_GB2312" w:eastAsia="方正仿宋_GB2312" w:cs="方正仿宋_GB2312"/>
          <w:color w:val="000000" w:themeColor="text1"/>
          <w:spacing w:val="-6"/>
          <w:sz w:val="30"/>
          <w:szCs w:val="30"/>
          <w:highlight w:val="none"/>
          <w14:textFill>
            <w14:solidFill>
              <w14:schemeClr w14:val="tx1"/>
            </w14:solidFill>
          </w14:textFill>
        </w:rPr>
        <w:t>向管理人申报债权。</w:t>
      </w:r>
    </w:p>
    <w:p w14:paraId="7BA3142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22"/>
        <w:jc w:val="both"/>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b/>
          <w:bCs/>
          <w:color w:val="000000" w:themeColor="text1"/>
          <w:spacing w:val="0"/>
          <w:sz w:val="30"/>
          <w:szCs w:val="30"/>
          <w:highlight w:val="none"/>
          <w14:textFill>
            <w14:solidFill>
              <w14:schemeClr w14:val="tx1"/>
            </w14:solidFill>
          </w14:textFill>
        </w:rPr>
        <w:t>三、债权申报方式和申报地址</w:t>
      </w:r>
    </w:p>
    <w:p w14:paraId="3A5ECD3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16"/>
        <w:jc w:val="both"/>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债权人应于工作时间到管理人办公地址以现场提交的方式</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或者邮寄方式</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向管理人申报债权。</w:t>
      </w:r>
    </w:p>
    <w:p w14:paraId="511BFAC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16"/>
        <w:jc w:val="both"/>
        <w:textAlignment w:val="top"/>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1.</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现场申报</w:t>
      </w:r>
    </w:p>
    <w:p w14:paraId="3F9AE7B3">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16"/>
        <w:jc w:val="both"/>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工作时间：工作日每天上午 9:</w:t>
      </w: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0</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0</w:t>
      </w: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12:00、下午 </w:t>
      </w: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3</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w:t>
      </w: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0</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0</w:t>
      </w: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-6</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w:t>
      </w: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0</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0</w:t>
      </w:r>
    </w:p>
    <w:p w14:paraId="76C395A4">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16"/>
        <w:jc w:val="both"/>
        <w:textAlignment w:val="top"/>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办公地址：</w:t>
      </w:r>
      <w:r>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t>福建省宁德市蕉城区蕉城南路103号坤元大厦14层福建之秀律师事务所。</w:t>
      </w:r>
    </w:p>
    <w:p w14:paraId="34CC85D5">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516" w:leftChars="0" w:right="0" w:rightChars="0"/>
        <w:jc w:val="both"/>
        <w:textAlignment w:val="top"/>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t>2.邮寄申报</w:t>
      </w:r>
    </w:p>
    <w:p w14:paraId="10EB0EC9">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2" w:firstLineChars="200"/>
        <w:jc w:val="both"/>
        <w:textAlignment w:val="top"/>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b/>
          <w:bCs/>
          <w:color w:val="000000" w:themeColor="text1"/>
          <w:spacing w:val="0"/>
          <w:kern w:val="0"/>
          <w:sz w:val="30"/>
          <w:szCs w:val="30"/>
          <w:highlight w:val="none"/>
          <w:u w:val="single"/>
          <w:lang w:val="en-US" w:eastAsia="zh-CN" w:bidi="ar"/>
          <w14:textFill>
            <w14:solidFill>
              <w14:schemeClr w14:val="tx1"/>
            </w14:solidFill>
          </w14:textFill>
        </w:rPr>
        <w:t>邮寄地址：福建省宁德市蕉城区蕉城南路103号坤元大厦14层福建之秀律师事务所，邮政编码：352100，联系人：冯晓芬18805931168，伍金凤13774771069。</w:t>
      </w:r>
      <w:r>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t>请在邮寄单注明“</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柘荣县亿利达机械制造有限公司债权申报</w:t>
      </w:r>
      <w:r>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t>”</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字样</w:t>
      </w:r>
      <w:r>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t>，并保留邮寄底单。管理人将在收到申报材料之后确定时间核对证据原件。未能在管理人确定的时间内提供证据原件的，所申报的债权管理人将不予确认。</w:t>
      </w:r>
    </w:p>
    <w:p w14:paraId="4CA96FD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62"/>
        <w:jc w:val="both"/>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b/>
          <w:bCs/>
          <w:color w:val="000000" w:themeColor="text1"/>
          <w:spacing w:val="0"/>
          <w:sz w:val="30"/>
          <w:szCs w:val="30"/>
          <w:highlight w:val="none"/>
          <w:lang w:eastAsia="zh-CN"/>
          <w14:textFill>
            <w14:solidFill>
              <w14:schemeClr w14:val="tx1"/>
            </w14:solidFill>
          </w14:textFill>
        </w:rPr>
        <w:t>四</w:t>
      </w:r>
      <w:r>
        <w:rPr>
          <w:rFonts w:hint="eastAsia" w:ascii="方正仿宋_GB2312" w:hAnsi="方正仿宋_GB2312" w:eastAsia="方正仿宋_GB2312" w:cs="方正仿宋_GB2312"/>
          <w:b/>
          <w:bCs/>
          <w:color w:val="000000" w:themeColor="text1"/>
          <w:spacing w:val="0"/>
          <w:sz w:val="30"/>
          <w:szCs w:val="30"/>
          <w:highlight w:val="none"/>
          <w14:textFill>
            <w14:solidFill>
              <w14:schemeClr w14:val="tx1"/>
            </w14:solidFill>
          </w14:textFill>
        </w:rPr>
        <w:t>、债权申报应当提交的材料</w:t>
      </w:r>
    </w:p>
    <w:p w14:paraId="53F6D31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60"/>
        <w:jc w:val="both"/>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债权人申报债权时，需提交如下三类申报材料：</w:t>
      </w:r>
    </w:p>
    <w:p w14:paraId="0368491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62"/>
        <w:jc w:val="both"/>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b/>
          <w:bCs/>
          <w:color w:val="000000" w:themeColor="text1"/>
          <w:spacing w:val="0"/>
          <w:sz w:val="30"/>
          <w:szCs w:val="30"/>
          <w:highlight w:val="none"/>
          <w14:textFill>
            <w14:solidFill>
              <w14:schemeClr w14:val="tx1"/>
            </w14:solidFill>
          </w14:textFill>
        </w:rPr>
        <w:t>（一）申报材料目录、债权申报表</w:t>
      </w:r>
    </w:p>
    <w:p w14:paraId="058DC23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28"/>
        <w:jc w:val="both"/>
        <w:textAlignment w:val="top"/>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请在债权申报目录中按序填写提交的书面材料名称，并注明每份书面材料页码等。</w:t>
      </w:r>
    </w:p>
    <w:p w14:paraId="441DEF5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28"/>
        <w:jc w:val="both"/>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请在债权申报表中填写债权申报人的基本情况、送达地址、申报债权金额、债权担保情况、涉及仲裁诉讼等情况。</w:t>
      </w:r>
      <w:r>
        <w:rPr>
          <w:rFonts w:hint="eastAsia" w:ascii="方正仿宋_GB2312" w:hAnsi="方正仿宋_GB2312" w:eastAsia="方正仿宋_GB2312" w:cs="方正仿宋_GB2312"/>
          <w:b/>
          <w:bCs/>
          <w:color w:val="000000" w:themeColor="text1"/>
          <w:spacing w:val="0"/>
          <w:sz w:val="30"/>
          <w:szCs w:val="30"/>
          <w:highlight w:val="none"/>
          <w:u w:val="single"/>
          <w14:textFill>
            <w14:solidFill>
              <w14:schemeClr w14:val="tx1"/>
            </w14:solidFill>
          </w14:textFill>
        </w:rPr>
        <w:t>债权申报表首部的“申报编号”由管理人填写，债权人无需填写。</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债权申报表尾部“申报日期”为申报人到管理人办公地址实际提交</w:t>
      </w: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或邮寄</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债权申报材料的日期。</w:t>
      </w:r>
    </w:p>
    <w:p w14:paraId="00DB0B4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16"/>
        <w:jc w:val="both"/>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b/>
          <w:bCs/>
          <w:color w:val="000000" w:themeColor="text1"/>
          <w:spacing w:val="0"/>
          <w:sz w:val="30"/>
          <w:szCs w:val="30"/>
          <w:highlight w:val="none"/>
          <w14:textFill>
            <w14:solidFill>
              <w14:schemeClr w14:val="tx1"/>
            </w14:solidFill>
          </w14:textFill>
        </w:rPr>
        <w:t>债权人为机构的，申报材料目录、债权申报表须加盖公章</w:t>
      </w:r>
      <w:r>
        <w:rPr>
          <w:rFonts w:hint="eastAsia" w:ascii="方正仿宋_GB2312" w:hAnsi="方正仿宋_GB2312" w:eastAsia="方正仿宋_GB2312" w:cs="方正仿宋_GB2312"/>
          <w:b/>
          <w:bCs/>
          <w:color w:val="000000" w:themeColor="text1"/>
          <w:spacing w:val="0"/>
          <w:sz w:val="30"/>
          <w:szCs w:val="30"/>
          <w:highlight w:val="none"/>
          <w:lang w:val="en-US" w:eastAsia="zh-CN"/>
          <w14:textFill>
            <w14:solidFill>
              <w14:schemeClr w14:val="tx1"/>
            </w14:solidFill>
          </w14:textFill>
        </w:rPr>
        <w:t>及法定代表人签章</w:t>
      </w:r>
      <w:r>
        <w:rPr>
          <w:rFonts w:hint="eastAsia" w:ascii="方正仿宋_GB2312" w:hAnsi="方正仿宋_GB2312" w:eastAsia="方正仿宋_GB2312" w:cs="方正仿宋_GB2312"/>
          <w:b/>
          <w:bCs/>
          <w:color w:val="000000" w:themeColor="text1"/>
          <w:spacing w:val="0"/>
          <w:sz w:val="30"/>
          <w:szCs w:val="30"/>
          <w:highlight w:val="none"/>
          <w14:textFill>
            <w14:solidFill>
              <w14:schemeClr w14:val="tx1"/>
            </w14:solidFill>
          </w14:textFill>
        </w:rPr>
        <w:t>；债权人为自然人的，须由债权人本人签名并捺手印。</w:t>
      </w:r>
    </w:p>
    <w:p w14:paraId="22955FC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602" w:firstLineChars="200"/>
        <w:jc w:val="both"/>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b/>
          <w:bCs/>
          <w:color w:val="000000" w:themeColor="text1"/>
          <w:spacing w:val="0"/>
          <w:sz w:val="30"/>
          <w:szCs w:val="30"/>
          <w:highlight w:val="none"/>
          <w14:textFill>
            <w14:solidFill>
              <w14:schemeClr w14:val="tx1"/>
            </w14:solidFill>
          </w14:textFill>
        </w:rPr>
        <w:t>（</w:t>
      </w:r>
      <w:r>
        <w:rPr>
          <w:rFonts w:hint="eastAsia" w:ascii="方正仿宋_GB2312" w:hAnsi="方正仿宋_GB2312" w:eastAsia="方正仿宋_GB2312" w:cs="方正仿宋_GB2312"/>
          <w:b/>
          <w:bCs/>
          <w:color w:val="000000" w:themeColor="text1"/>
          <w:spacing w:val="0"/>
          <w:sz w:val="30"/>
          <w:szCs w:val="30"/>
          <w:highlight w:val="none"/>
          <w:lang w:eastAsia="zh-CN"/>
          <w14:textFill>
            <w14:solidFill>
              <w14:schemeClr w14:val="tx1"/>
            </w14:solidFill>
          </w14:textFill>
        </w:rPr>
        <w:t>二</w:t>
      </w:r>
      <w:r>
        <w:rPr>
          <w:rFonts w:hint="eastAsia" w:ascii="方正仿宋_GB2312" w:hAnsi="方正仿宋_GB2312" w:eastAsia="方正仿宋_GB2312" w:cs="方正仿宋_GB2312"/>
          <w:b/>
          <w:bCs/>
          <w:color w:val="000000" w:themeColor="text1"/>
          <w:spacing w:val="0"/>
          <w:sz w:val="30"/>
          <w:szCs w:val="30"/>
          <w:highlight w:val="none"/>
          <w14:textFill>
            <w14:solidFill>
              <w14:schemeClr w14:val="tx1"/>
            </w14:solidFill>
          </w14:textFill>
        </w:rPr>
        <w:t>）债权人主体资格证明材料</w:t>
      </w:r>
    </w:p>
    <w:p w14:paraId="0DD1A407">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600" w:firstLineChars="200"/>
        <w:jc w:val="both"/>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债权人为机构的，应提供如下主体资格证明材料：</w:t>
      </w:r>
    </w:p>
    <w:p w14:paraId="6B1B0E8E">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600" w:firstLineChars="200"/>
        <w:jc w:val="both"/>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1.</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申报人系法人或其他组织的，需提交加盖公章的以下材料： ①营业执照或其他单位主体资格证明文件(曾变更单位名称且债权申报材料反映您单位变更前名称的，请提交相关证明文件)</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②法定代表人/负责人身份证明书（请参照范本</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③法定代表人/负责人身份证件复印件</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w:t>
      </w:r>
    </w:p>
    <w:p w14:paraId="3E21908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600" w:firstLineChars="200"/>
        <w:jc w:val="both"/>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2.</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申报人系自然人的，应提交个人身份证件复印件一份（现场提供原件予以核对</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并在复印件上签名、捺手印</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w:t>
      </w:r>
    </w:p>
    <w:p w14:paraId="56FB5B4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600" w:firstLineChars="200"/>
        <w:jc w:val="both"/>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3.</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如申报人委托代理人申报债权，还需提供《授权委托书》</w:t>
      </w: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原件</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（请参照范本</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及代理人有效身份证明。代理人系自然人的，应提交其本人身份证件复印件一份并在复印件上签名、捺手印;代理人是律师的，还应提交律师执业证复印件</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律师事务所指派函原件。</w:t>
      </w:r>
    </w:p>
    <w:p w14:paraId="1A2A288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602" w:firstLineChars="200"/>
        <w:jc w:val="both"/>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b/>
          <w:bCs/>
          <w:color w:val="000000" w:themeColor="text1"/>
          <w:spacing w:val="0"/>
          <w:sz w:val="30"/>
          <w:szCs w:val="30"/>
          <w:highlight w:val="none"/>
          <w:lang w:eastAsia="zh-CN"/>
          <w14:textFill>
            <w14:solidFill>
              <w14:schemeClr w14:val="tx1"/>
            </w14:solidFill>
          </w14:textFill>
        </w:rPr>
        <w:t>（三）</w:t>
      </w:r>
      <w:r>
        <w:rPr>
          <w:rFonts w:hint="eastAsia" w:ascii="方正仿宋_GB2312" w:hAnsi="方正仿宋_GB2312" w:eastAsia="方正仿宋_GB2312" w:cs="方正仿宋_GB2312"/>
          <w:b/>
          <w:bCs/>
          <w:color w:val="000000" w:themeColor="text1"/>
          <w:spacing w:val="0"/>
          <w:sz w:val="30"/>
          <w:szCs w:val="30"/>
          <w:highlight w:val="none"/>
          <w14:textFill>
            <w14:solidFill>
              <w14:schemeClr w14:val="tx1"/>
            </w14:solidFill>
          </w14:textFill>
        </w:rPr>
        <w:t>证明债权成立及其金额的证据材料</w:t>
      </w:r>
    </w:p>
    <w:p w14:paraId="105E912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60"/>
        <w:jc w:val="both"/>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债权人申报债权应提交能够证明债权成立及其金额的全部证据材料，包括但不限于：</w:t>
      </w:r>
    </w:p>
    <w:p w14:paraId="444BC26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60"/>
        <w:jc w:val="both"/>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1</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相关合同；</w:t>
      </w:r>
    </w:p>
    <w:p w14:paraId="3EBE3D6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52"/>
        <w:jc w:val="both"/>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2</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往来帐、对账单及相关凭证、收款或付款凭证(如发票、收款收据、银行流水记录等)；</w:t>
      </w:r>
    </w:p>
    <w:p w14:paraId="6D5D828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52"/>
        <w:jc w:val="both"/>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3</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债权如涉及仲裁或诉讼，须提交仲裁、诉讼有关的法律文书（包括已审理完毕或正在审理过程中案件的起诉状、仲裁申请书、诉讼保全申请</w:t>
      </w: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书</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、保全裁定、生效判决、裁决、执行申请、法院执行裁定、法院执行案件通知书等</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w:t>
      </w:r>
    </w:p>
    <w:p w14:paraId="3EEF3EE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60"/>
        <w:textAlignment w:val="top"/>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4</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利息或违约金计算明细等书面材料；</w:t>
      </w:r>
    </w:p>
    <w:p w14:paraId="5A7D5315">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61"/>
        <w:textAlignment w:val="top"/>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5</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w:t>
      </w: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债权人认为需要提交的其他材料。</w:t>
      </w:r>
    </w:p>
    <w:p w14:paraId="0EC59876">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61"/>
        <w:textAlignment w:val="top"/>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spacing w:val="0"/>
          <w:sz w:val="30"/>
          <w:szCs w:val="30"/>
          <w:highlight w:val="none"/>
          <w14:textFill>
            <w14:solidFill>
              <w14:schemeClr w14:val="tx1"/>
            </w14:solidFill>
          </w14:textFill>
        </w:rPr>
        <w:t>以上证明债权成立及其金额的证据材料，请按照证据材料的形成时间先后排序，并提交复印件一套</w:t>
      </w:r>
      <w:r>
        <w:rPr>
          <w:rFonts w:hint="eastAsia" w:ascii="方正仿宋_GB2312" w:hAnsi="方正仿宋_GB2312" w:eastAsia="方正仿宋_GB2312" w:cs="方正仿宋_GB2312"/>
          <w:color w:val="000000" w:themeColor="text1"/>
          <w:spacing w:val="0"/>
          <w:sz w:val="30"/>
          <w:szCs w:val="30"/>
          <w:highlight w:val="none"/>
          <w:lang w:eastAsia="zh-CN"/>
          <w14:textFill>
            <w14:solidFill>
              <w14:schemeClr w14:val="tx1"/>
            </w14:solidFill>
          </w14:textFill>
        </w:rPr>
        <w:t>。</w:t>
      </w:r>
    </w:p>
    <w:p w14:paraId="7E9320FC">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2" w:firstLineChars="200"/>
        <w:jc w:val="both"/>
        <w:textAlignment w:val="top"/>
        <w:rPr>
          <w:rFonts w:hint="eastAsia" w:ascii="方正仿宋_GB2312" w:hAnsi="方正仿宋_GB2312" w:eastAsia="方正仿宋_GB2312" w:cs="方正仿宋_GB2312"/>
          <w:b/>
          <w:bCs/>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b/>
          <w:bCs/>
          <w:color w:val="000000" w:themeColor="text1"/>
          <w:spacing w:val="0"/>
          <w:kern w:val="0"/>
          <w:sz w:val="30"/>
          <w:szCs w:val="30"/>
          <w:highlight w:val="none"/>
          <w:lang w:val="en-US" w:eastAsia="zh-CN" w:bidi="ar"/>
          <w14:textFill>
            <w14:solidFill>
              <w14:schemeClr w14:val="tx1"/>
            </w14:solidFill>
          </w14:textFill>
        </w:rPr>
        <w:t>五、债权人在申报债权时应当注意以下几点:</w:t>
      </w:r>
    </w:p>
    <w:p w14:paraId="38715B8E">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both"/>
        <w:textAlignment w:val="top"/>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t>1.申报的债权是连带债权的，应当说明。</w:t>
      </w:r>
    </w:p>
    <w:p w14:paraId="5714D5A9">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both"/>
        <w:textAlignment w:val="top"/>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t>2.债务人的保证人或者其他连带债务人已经代替债务人清偿债务的，可就其对债务人的求偿权申报债权。</w:t>
      </w:r>
    </w:p>
    <w:p w14:paraId="7DD57BC9">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both"/>
        <w:textAlignment w:val="top"/>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t>3.债务人的保证人或者其他连带债务人尚未代替债务人清偿债务的,以其对债务人的将来求偿权申报债权,但债权人已经向管理人申报全部债权的除外。</w:t>
      </w:r>
    </w:p>
    <w:p w14:paraId="46B46546">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both"/>
        <w:textAlignment w:val="top"/>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t>4.债务人是委托合同的委托人，被裁定适用《中华人民共和国企业破产法》规定的程序，受托人不知该事实，继续处理委托事务的,受托人以由此产生的请求权申报债权。</w:t>
      </w:r>
    </w:p>
    <w:p w14:paraId="27FFF893">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both"/>
        <w:textAlignment w:val="top"/>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spacing w:val="0"/>
          <w:kern w:val="0"/>
          <w:sz w:val="30"/>
          <w:szCs w:val="30"/>
          <w:highlight w:val="none"/>
          <w:lang w:val="en-US" w:eastAsia="zh-CN" w:bidi="ar"/>
          <w14:textFill>
            <w14:solidFill>
              <w14:schemeClr w14:val="tx1"/>
            </w14:solidFill>
          </w14:textFill>
        </w:rPr>
        <w:t>5.债务人是票据的出票人,被裁定适用《中华人民共和国企业破产法》规定的程序,该票据的付款人继续付款或者承兑的,付款人以由此产生的请求权申报债权。</w:t>
      </w:r>
    </w:p>
    <w:p w14:paraId="40200DB8">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2" w:firstLineChars="200"/>
        <w:jc w:val="both"/>
        <w:textAlignment w:val="top"/>
        <w:rPr>
          <w:rFonts w:hint="eastAsia" w:ascii="方正仿宋_GB2312" w:hAnsi="方正仿宋_GB2312" w:eastAsia="方正仿宋_GB2312" w:cs="方正仿宋_GB2312"/>
          <w:b/>
          <w:bCs/>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b/>
          <w:bCs/>
          <w:color w:val="000000" w:themeColor="text1"/>
          <w:spacing w:val="0"/>
          <w:kern w:val="0"/>
          <w:sz w:val="30"/>
          <w:szCs w:val="30"/>
          <w:highlight w:val="none"/>
          <w:lang w:val="en-US" w:eastAsia="zh-CN" w:bidi="ar"/>
          <w14:textFill>
            <w14:solidFill>
              <w14:schemeClr w14:val="tx1"/>
            </w14:solidFill>
          </w14:textFill>
        </w:rPr>
        <w:t>六、根据《中华人民共和国企业破产法》规定，未申报或者逾期申报债权的法律后果：</w:t>
      </w:r>
    </w:p>
    <w:p w14:paraId="3F541691">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both"/>
        <w:textAlignment w:val="top"/>
        <w:rPr>
          <w:rFonts w:hint="eastAsia" w:ascii="方正仿宋_GB2312" w:hAnsi="方正仿宋_GB2312" w:eastAsia="方正仿宋_GB2312" w:cs="方正仿宋_GB2312"/>
          <w:b w:val="0"/>
          <w:bCs w:val="0"/>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b w:val="0"/>
          <w:bCs w:val="0"/>
          <w:color w:val="000000" w:themeColor="text1"/>
          <w:spacing w:val="0"/>
          <w:kern w:val="0"/>
          <w:sz w:val="30"/>
          <w:szCs w:val="30"/>
          <w:highlight w:val="none"/>
          <w:lang w:val="en-US" w:eastAsia="zh-CN" w:bidi="ar"/>
          <w14:textFill>
            <w14:solidFill>
              <w14:schemeClr w14:val="tx1"/>
            </w14:solidFill>
          </w14:textFill>
        </w:rPr>
        <w:t>1.债权人未申报债权，不得依照《中华人民共和国企业破产法》规定的程序行使权利。</w:t>
      </w:r>
    </w:p>
    <w:p w14:paraId="302152DA">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both"/>
        <w:textAlignment w:val="top"/>
        <w:rPr>
          <w:rFonts w:hint="eastAsia" w:ascii="方正仿宋_GB2312" w:hAnsi="方正仿宋_GB2312" w:eastAsia="方正仿宋_GB2312" w:cs="方正仿宋_GB2312"/>
          <w:b w:val="0"/>
          <w:bCs w:val="0"/>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b w:val="0"/>
          <w:bCs w:val="0"/>
          <w:color w:val="000000" w:themeColor="text1"/>
          <w:spacing w:val="0"/>
          <w:kern w:val="0"/>
          <w:sz w:val="30"/>
          <w:szCs w:val="30"/>
          <w:highlight w:val="none"/>
          <w:lang w:val="en-US" w:eastAsia="zh-CN" w:bidi="ar"/>
          <w14:textFill>
            <w14:solidFill>
              <w14:schemeClr w14:val="tx1"/>
            </w14:solidFill>
          </w14:textFill>
        </w:rPr>
        <w:t>2.债权人未按期申报债权，可在破产财产最后分配前补充申报，但此前已进行的分配，不再对其补充分配，且还应该承担因审查、确认补充债权产生的相关费用。</w:t>
      </w:r>
    </w:p>
    <w:p w14:paraId="1AD41D65">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both"/>
        <w:textAlignment w:val="top"/>
        <w:rPr>
          <w:rFonts w:hint="eastAsia" w:ascii="方正仿宋_GB2312" w:hAnsi="方正仿宋_GB2312" w:eastAsia="方正仿宋_GB2312" w:cs="方正仿宋_GB2312"/>
          <w:b w:val="0"/>
          <w:bCs w:val="0"/>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b w:val="0"/>
          <w:bCs w:val="0"/>
          <w:color w:val="000000" w:themeColor="text1"/>
          <w:spacing w:val="0"/>
          <w:kern w:val="0"/>
          <w:sz w:val="30"/>
          <w:szCs w:val="30"/>
          <w:highlight w:val="none"/>
          <w:lang w:val="en-US" w:eastAsia="zh-CN" w:bidi="ar"/>
          <w14:textFill>
            <w14:solidFill>
              <w14:schemeClr w14:val="tx1"/>
            </w14:solidFill>
          </w14:textFill>
        </w:rPr>
        <w:t>3.如债务人进入重整程序，债权人未按期申报债权,在重整计划执行期间债权人不得行使权利;在重整计划执行完毕后,债权人可以按照重整计划规定的同类债权的清偿条件行使权利。</w:t>
      </w:r>
    </w:p>
    <w:p w14:paraId="60FB3853">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rightChars="0" w:firstLine="600" w:firstLineChars="200"/>
        <w:jc w:val="both"/>
        <w:textAlignment w:val="top"/>
        <w:rPr>
          <w:rFonts w:hint="eastAsia" w:ascii="方正仿宋_GB2312" w:hAnsi="方正仿宋_GB2312" w:eastAsia="方正仿宋_GB2312" w:cs="方正仿宋_GB2312"/>
          <w:b w:val="0"/>
          <w:bCs w:val="0"/>
          <w:color w:val="000000" w:themeColor="text1"/>
          <w:spacing w:val="0"/>
          <w:kern w:val="0"/>
          <w:sz w:val="30"/>
          <w:szCs w:val="30"/>
          <w:highlight w:val="none"/>
          <w:lang w:val="en-US" w:eastAsia="zh-CN" w:bidi="ar"/>
          <w14:textFill>
            <w14:solidFill>
              <w14:schemeClr w14:val="tx1"/>
            </w14:solidFill>
          </w14:textFill>
        </w:rPr>
      </w:pPr>
      <w:r>
        <w:rPr>
          <w:rFonts w:hint="eastAsia" w:ascii="方正仿宋_GB2312" w:hAnsi="方正仿宋_GB2312" w:eastAsia="方正仿宋_GB2312" w:cs="方正仿宋_GB2312"/>
          <w:b w:val="0"/>
          <w:bCs w:val="0"/>
          <w:color w:val="000000" w:themeColor="text1"/>
          <w:spacing w:val="0"/>
          <w:kern w:val="0"/>
          <w:sz w:val="30"/>
          <w:szCs w:val="30"/>
          <w:highlight w:val="none"/>
          <w:lang w:val="en-US" w:eastAsia="zh-CN" w:bidi="ar"/>
          <w14:textFill>
            <w14:solidFill>
              <w14:schemeClr w14:val="tx1"/>
            </w14:solidFill>
          </w14:textFill>
        </w:rPr>
        <w:t>4.如债务人进入破产和解程序，债权人未按期申报债权,在和解协议计划执行期间债权人不得行使权利;债权人在和解协议执行完毕后，可以按照和解协议规定的清偿条件行使权利。</w:t>
      </w:r>
    </w:p>
    <w:p w14:paraId="51096F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562"/>
        <w:textAlignment w:val="top"/>
        <w:rPr>
          <w:rFonts w:hint="eastAsia" w:ascii="方正仿宋_GB2312" w:hAnsi="方正仿宋_GB2312" w:eastAsia="方正仿宋_GB2312" w:cs="方正仿宋_GB2312"/>
          <w:spacing w:val="0"/>
          <w:sz w:val="30"/>
          <w:szCs w:val="30"/>
          <w:highlight w:val="none"/>
        </w:rPr>
      </w:pPr>
      <w:r>
        <w:rPr>
          <w:rFonts w:hint="eastAsia" w:ascii="方正仿宋_GB2312" w:hAnsi="方正仿宋_GB2312" w:eastAsia="方正仿宋_GB2312" w:cs="方正仿宋_GB2312"/>
          <w:b/>
          <w:bCs/>
          <w:spacing w:val="0"/>
          <w:sz w:val="30"/>
          <w:szCs w:val="30"/>
          <w:highlight w:val="none"/>
          <w:lang w:eastAsia="zh-CN"/>
        </w:rPr>
        <w:t>七</w:t>
      </w:r>
      <w:r>
        <w:rPr>
          <w:rFonts w:hint="eastAsia" w:ascii="方正仿宋_GB2312" w:hAnsi="方正仿宋_GB2312" w:eastAsia="方正仿宋_GB2312" w:cs="方正仿宋_GB2312"/>
          <w:b/>
          <w:bCs/>
          <w:spacing w:val="0"/>
          <w:sz w:val="30"/>
          <w:szCs w:val="30"/>
          <w:highlight w:val="none"/>
        </w:rPr>
        <w:t>、特别注意事项</w:t>
      </w:r>
    </w:p>
    <w:p w14:paraId="0F45326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56"/>
        <w:jc w:val="both"/>
        <w:textAlignment w:val="top"/>
        <w:rPr>
          <w:rFonts w:hint="eastAsia" w:ascii="方正仿宋_GB2312" w:hAnsi="方正仿宋_GB2312" w:eastAsia="方正仿宋_GB2312" w:cs="方正仿宋_GB2312"/>
          <w:spacing w:val="0"/>
          <w:sz w:val="30"/>
          <w:szCs w:val="30"/>
          <w:highlight w:val="none"/>
        </w:rPr>
      </w:pPr>
      <w:r>
        <w:rPr>
          <w:rFonts w:hint="eastAsia" w:ascii="方正仿宋_GB2312" w:hAnsi="方正仿宋_GB2312" w:eastAsia="方正仿宋_GB2312" w:cs="方正仿宋_GB2312"/>
          <w:spacing w:val="0"/>
          <w:sz w:val="30"/>
          <w:szCs w:val="30"/>
          <w:highlight w:val="none"/>
          <w:lang w:val="en-US" w:eastAsia="zh-CN"/>
        </w:rPr>
        <w:t>1.</w:t>
      </w:r>
      <w:r>
        <w:rPr>
          <w:rFonts w:hint="eastAsia" w:ascii="方正仿宋_GB2312" w:hAnsi="方正仿宋_GB2312" w:eastAsia="方正仿宋_GB2312" w:cs="方正仿宋_GB2312"/>
          <w:spacing w:val="0"/>
          <w:sz w:val="30"/>
          <w:szCs w:val="30"/>
          <w:highlight w:val="none"/>
        </w:rPr>
        <w:t>债权人申报债权，请携带原件交由管理人核对，管理人现场核对后退还，管理人仅收取与原件核对相符的复印件。债权人提交的复印件，债权人为机构的，在复印件上加盖公章及骑缝章；债权人为自然人的，由债权人本人或代理人在复印件上签字并每页捺印。</w:t>
      </w:r>
    </w:p>
    <w:p w14:paraId="62471BD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60"/>
        <w:jc w:val="both"/>
        <w:textAlignment w:val="top"/>
        <w:rPr>
          <w:rFonts w:hint="eastAsia" w:ascii="方正仿宋_GB2312" w:hAnsi="方正仿宋_GB2312" w:eastAsia="方正仿宋_GB2312" w:cs="方正仿宋_GB2312"/>
          <w:spacing w:val="0"/>
          <w:sz w:val="30"/>
          <w:szCs w:val="30"/>
          <w:highlight w:val="none"/>
        </w:rPr>
      </w:pPr>
      <w:r>
        <w:rPr>
          <w:rFonts w:hint="eastAsia" w:ascii="方正仿宋_GB2312" w:hAnsi="方正仿宋_GB2312" w:eastAsia="方正仿宋_GB2312" w:cs="方正仿宋_GB2312"/>
          <w:spacing w:val="0"/>
          <w:sz w:val="30"/>
          <w:szCs w:val="30"/>
          <w:highlight w:val="none"/>
          <w:lang w:val="en-US" w:eastAsia="zh-CN"/>
        </w:rPr>
        <w:t>2.</w:t>
      </w:r>
      <w:r>
        <w:rPr>
          <w:rFonts w:hint="eastAsia" w:ascii="方正仿宋_GB2312" w:hAnsi="方正仿宋_GB2312" w:eastAsia="方正仿宋_GB2312" w:cs="方正仿宋_GB2312"/>
          <w:spacing w:val="0"/>
          <w:sz w:val="30"/>
          <w:szCs w:val="30"/>
          <w:highlight w:val="none"/>
        </w:rPr>
        <w:t>债权申报材料的纸张统一使用A4型复印纸。</w:t>
      </w:r>
      <w:r>
        <w:rPr>
          <w:rFonts w:hint="eastAsia" w:ascii="方正仿宋_GB2312" w:hAnsi="方正仿宋_GB2312" w:eastAsia="方正仿宋_GB2312" w:cs="方正仿宋_GB2312"/>
          <w:color w:val="000000" w:themeColor="text1"/>
          <w:spacing w:val="0"/>
          <w:sz w:val="30"/>
          <w:szCs w:val="30"/>
          <w:highlight w:val="none"/>
          <w:lang w:val="en-US" w:eastAsia="zh-CN"/>
          <w14:textFill>
            <w14:solidFill>
              <w14:schemeClr w14:val="tx1"/>
            </w14:solidFill>
          </w14:textFill>
        </w:rPr>
        <w:t>如有多笔债权，请分别填写《债权申报表》。</w:t>
      </w:r>
    </w:p>
    <w:p w14:paraId="3A7B615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56"/>
        <w:jc w:val="both"/>
        <w:textAlignment w:val="top"/>
        <w:rPr>
          <w:rFonts w:hint="eastAsia" w:ascii="方正仿宋_GB2312" w:hAnsi="方正仿宋_GB2312" w:eastAsia="方正仿宋_GB2312" w:cs="方正仿宋_GB2312"/>
          <w:b/>
          <w:bCs/>
          <w:spacing w:val="0"/>
          <w:sz w:val="30"/>
          <w:szCs w:val="30"/>
          <w:highlight w:val="none"/>
          <w:u w:val="single"/>
        </w:rPr>
      </w:pPr>
      <w:r>
        <w:rPr>
          <w:rFonts w:hint="eastAsia" w:ascii="方正仿宋_GB2312" w:hAnsi="方正仿宋_GB2312" w:eastAsia="方正仿宋_GB2312" w:cs="方正仿宋_GB2312"/>
          <w:b/>
          <w:bCs/>
          <w:spacing w:val="0"/>
          <w:sz w:val="30"/>
          <w:szCs w:val="30"/>
          <w:highlight w:val="none"/>
          <w:u w:val="single"/>
          <w:lang w:val="en-US" w:eastAsia="zh-CN"/>
        </w:rPr>
        <w:t>3.</w:t>
      </w:r>
      <w:r>
        <w:rPr>
          <w:rFonts w:hint="eastAsia" w:ascii="方正仿宋_GB2312" w:hAnsi="方正仿宋_GB2312" w:eastAsia="方正仿宋_GB2312" w:cs="方正仿宋_GB2312"/>
          <w:b/>
          <w:bCs/>
          <w:spacing w:val="0"/>
          <w:sz w:val="30"/>
          <w:szCs w:val="30"/>
          <w:highlight w:val="none"/>
          <w:u w:val="single"/>
        </w:rPr>
        <w:t>根据《企业破产法》第四十六条第二款之规定，债权人申报的债权如附有利息的，附利息的债权自破产清算受理之日起停止计息，</w:t>
      </w:r>
      <w:r>
        <w:rPr>
          <w:rFonts w:hint="eastAsia" w:ascii="方正仿宋_GB2312" w:hAnsi="方正仿宋_GB2312" w:eastAsia="方正仿宋_GB2312" w:cs="方正仿宋_GB2312"/>
          <w:b/>
          <w:bCs/>
          <w:spacing w:val="0"/>
          <w:sz w:val="30"/>
          <w:szCs w:val="30"/>
          <w:highlight w:val="none"/>
          <w:u w:val="single"/>
          <w:lang w:val="en-US" w:eastAsia="zh-CN"/>
        </w:rPr>
        <w:t>本案至2025年5月7日</w:t>
      </w:r>
      <w:r>
        <w:rPr>
          <w:rFonts w:hint="eastAsia" w:ascii="方正仿宋_GB2312" w:hAnsi="方正仿宋_GB2312" w:eastAsia="方正仿宋_GB2312" w:cs="方正仿宋_GB2312"/>
          <w:b/>
          <w:bCs/>
          <w:spacing w:val="0"/>
          <w:sz w:val="30"/>
          <w:szCs w:val="30"/>
          <w:highlight w:val="none"/>
          <w:u w:val="single"/>
        </w:rPr>
        <w:t>停止计息。</w:t>
      </w:r>
    </w:p>
    <w:p w14:paraId="06FBD06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12"/>
        <w:jc w:val="both"/>
        <w:textAlignment w:val="top"/>
        <w:rPr>
          <w:rFonts w:hint="eastAsia" w:ascii="方正仿宋_GB2312" w:hAnsi="方正仿宋_GB2312" w:eastAsia="方正仿宋_GB2312" w:cs="方正仿宋_GB2312"/>
          <w:spacing w:val="0"/>
          <w:sz w:val="30"/>
          <w:szCs w:val="30"/>
          <w:highlight w:val="none"/>
        </w:rPr>
      </w:pPr>
      <w:r>
        <w:rPr>
          <w:rFonts w:hint="eastAsia" w:ascii="方正仿宋_GB2312" w:hAnsi="方正仿宋_GB2312" w:eastAsia="方正仿宋_GB2312" w:cs="方正仿宋_GB2312"/>
          <w:spacing w:val="0"/>
          <w:sz w:val="30"/>
          <w:szCs w:val="30"/>
          <w:highlight w:val="none"/>
          <w:lang w:val="en-US" w:eastAsia="zh-CN"/>
        </w:rPr>
        <w:t>4.</w:t>
      </w:r>
      <w:r>
        <w:rPr>
          <w:rFonts w:hint="eastAsia" w:ascii="方正仿宋_GB2312" w:hAnsi="方正仿宋_GB2312" w:eastAsia="方正仿宋_GB2312" w:cs="方正仿宋_GB2312"/>
          <w:spacing w:val="0"/>
          <w:sz w:val="30"/>
          <w:szCs w:val="30"/>
          <w:highlight w:val="none"/>
        </w:rPr>
        <w:t>债权人务必在债权申报表中送达地址确认书填写有效的联系方式，包括收件人、电子邮箱、通信地址、手机号码</w:t>
      </w:r>
      <w:r>
        <w:rPr>
          <w:rFonts w:hint="eastAsia" w:ascii="方正仿宋_GB2312" w:hAnsi="方正仿宋_GB2312" w:eastAsia="方正仿宋_GB2312" w:cs="方正仿宋_GB2312"/>
          <w:spacing w:val="0"/>
          <w:sz w:val="30"/>
          <w:szCs w:val="30"/>
          <w:highlight w:val="none"/>
          <w:lang w:eastAsia="zh-CN"/>
        </w:rPr>
        <w:t>、</w:t>
      </w:r>
      <w:r>
        <w:rPr>
          <w:rFonts w:hint="eastAsia" w:ascii="方正仿宋_GB2312" w:hAnsi="方正仿宋_GB2312" w:eastAsia="方正仿宋_GB2312" w:cs="方正仿宋_GB2312"/>
          <w:spacing w:val="0"/>
          <w:sz w:val="30"/>
          <w:szCs w:val="30"/>
          <w:highlight w:val="none"/>
          <w:lang w:val="en-US" w:eastAsia="zh-CN"/>
        </w:rPr>
        <w:t>微信</w:t>
      </w:r>
      <w:r>
        <w:rPr>
          <w:rFonts w:hint="eastAsia" w:ascii="方正仿宋_GB2312" w:hAnsi="方正仿宋_GB2312" w:eastAsia="方正仿宋_GB2312" w:cs="方正仿宋_GB2312"/>
          <w:spacing w:val="0"/>
          <w:sz w:val="30"/>
          <w:szCs w:val="30"/>
          <w:highlight w:val="none"/>
        </w:rPr>
        <w:t>等。管理人将相关文件交寄至</w:t>
      </w:r>
      <w:r>
        <w:rPr>
          <w:rFonts w:hint="eastAsia" w:ascii="方正仿宋_GB2312" w:hAnsi="方正仿宋_GB2312" w:eastAsia="方正仿宋_GB2312" w:cs="方正仿宋_GB2312"/>
          <w:spacing w:val="0"/>
          <w:sz w:val="30"/>
          <w:szCs w:val="30"/>
          <w:highlight w:val="none"/>
          <w:lang w:val="en-US" w:eastAsia="zh-CN"/>
        </w:rPr>
        <w:t>债权人</w:t>
      </w:r>
      <w:r>
        <w:rPr>
          <w:rFonts w:hint="eastAsia" w:ascii="方正仿宋_GB2312" w:hAnsi="方正仿宋_GB2312" w:eastAsia="方正仿宋_GB2312" w:cs="方正仿宋_GB2312"/>
          <w:spacing w:val="0"/>
          <w:sz w:val="30"/>
          <w:szCs w:val="30"/>
          <w:highlight w:val="none"/>
        </w:rPr>
        <w:t>指定地址视为有效送达。对事先约定或明确表示同意电子送达的，送达信息到达</w:t>
      </w:r>
      <w:r>
        <w:rPr>
          <w:rFonts w:hint="eastAsia" w:ascii="方正仿宋_GB2312" w:hAnsi="方正仿宋_GB2312" w:eastAsia="方正仿宋_GB2312" w:cs="方正仿宋_GB2312"/>
          <w:spacing w:val="0"/>
          <w:sz w:val="30"/>
          <w:szCs w:val="30"/>
          <w:highlight w:val="none"/>
          <w:lang w:val="en-US" w:eastAsia="zh-CN"/>
        </w:rPr>
        <w:t>债权人</w:t>
      </w:r>
      <w:r>
        <w:rPr>
          <w:rFonts w:hint="eastAsia" w:ascii="方正仿宋_GB2312" w:hAnsi="方正仿宋_GB2312" w:eastAsia="方正仿宋_GB2312" w:cs="方正仿宋_GB2312"/>
          <w:spacing w:val="0"/>
          <w:sz w:val="30"/>
          <w:szCs w:val="30"/>
          <w:highlight w:val="none"/>
        </w:rPr>
        <w:t>，即为有效送达。对未事先约定或明确表示同意电子送达，但系向</w:t>
      </w:r>
      <w:r>
        <w:rPr>
          <w:rFonts w:hint="eastAsia" w:ascii="方正仿宋_GB2312" w:hAnsi="方正仿宋_GB2312" w:eastAsia="方正仿宋_GB2312" w:cs="方正仿宋_GB2312"/>
          <w:spacing w:val="0"/>
          <w:sz w:val="30"/>
          <w:szCs w:val="30"/>
          <w:highlight w:val="none"/>
          <w:lang w:val="en-US" w:eastAsia="zh-CN"/>
        </w:rPr>
        <w:t>债权人</w:t>
      </w:r>
      <w:r>
        <w:rPr>
          <w:rFonts w:hint="eastAsia" w:ascii="方正仿宋_GB2312" w:hAnsi="方正仿宋_GB2312" w:eastAsia="方正仿宋_GB2312" w:cs="方正仿宋_GB2312"/>
          <w:spacing w:val="0"/>
          <w:sz w:val="30"/>
          <w:szCs w:val="30"/>
          <w:highlight w:val="none"/>
        </w:rPr>
        <w:t>本人的联系方式进行电子送达，且</w:t>
      </w:r>
      <w:r>
        <w:rPr>
          <w:rFonts w:hint="eastAsia" w:ascii="方正仿宋_GB2312" w:hAnsi="方正仿宋_GB2312" w:eastAsia="方正仿宋_GB2312" w:cs="方正仿宋_GB2312"/>
          <w:spacing w:val="0"/>
          <w:sz w:val="30"/>
          <w:szCs w:val="30"/>
          <w:highlight w:val="none"/>
          <w:lang w:val="en-US" w:eastAsia="zh-CN"/>
        </w:rPr>
        <w:t>债权人</w:t>
      </w:r>
      <w:r>
        <w:rPr>
          <w:rFonts w:hint="eastAsia" w:ascii="方正仿宋_GB2312" w:hAnsi="方正仿宋_GB2312" w:eastAsia="方正仿宋_GB2312" w:cs="方正仿宋_GB2312"/>
          <w:spacing w:val="0"/>
          <w:sz w:val="30"/>
          <w:szCs w:val="30"/>
          <w:highlight w:val="none"/>
        </w:rPr>
        <w:t>回复己收到送达材料，或者根据送达内容作出相应行为的，推定</w:t>
      </w:r>
      <w:r>
        <w:rPr>
          <w:rFonts w:hint="eastAsia" w:ascii="方正仿宋_GB2312" w:hAnsi="方正仿宋_GB2312" w:eastAsia="方正仿宋_GB2312" w:cs="方正仿宋_GB2312"/>
          <w:spacing w:val="0"/>
          <w:sz w:val="30"/>
          <w:szCs w:val="30"/>
          <w:highlight w:val="none"/>
          <w:lang w:val="en-US" w:eastAsia="zh-CN"/>
        </w:rPr>
        <w:t>债权人</w:t>
      </w:r>
      <w:r>
        <w:rPr>
          <w:rFonts w:hint="eastAsia" w:ascii="方正仿宋_GB2312" w:hAnsi="方正仿宋_GB2312" w:eastAsia="方正仿宋_GB2312" w:cs="方正仿宋_GB2312"/>
          <w:spacing w:val="0"/>
          <w:sz w:val="30"/>
          <w:szCs w:val="30"/>
          <w:highlight w:val="none"/>
        </w:rPr>
        <w:t>同意电子送达，送达行为有效。</w:t>
      </w:r>
    </w:p>
    <w:p w14:paraId="41AD1006">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56"/>
        <w:jc w:val="both"/>
        <w:textAlignment w:val="top"/>
        <w:rPr>
          <w:rFonts w:hint="eastAsia" w:ascii="方正仿宋_GB2312" w:hAnsi="方正仿宋_GB2312" w:eastAsia="方正仿宋_GB2312" w:cs="方正仿宋_GB2312"/>
          <w:spacing w:val="0"/>
          <w:sz w:val="30"/>
          <w:szCs w:val="30"/>
          <w:highlight w:val="none"/>
        </w:rPr>
      </w:pPr>
      <w:r>
        <w:rPr>
          <w:rFonts w:hint="eastAsia" w:ascii="方正仿宋_GB2312" w:hAnsi="方正仿宋_GB2312" w:eastAsia="方正仿宋_GB2312" w:cs="方正仿宋_GB2312"/>
          <w:spacing w:val="0"/>
          <w:sz w:val="30"/>
          <w:szCs w:val="30"/>
          <w:highlight w:val="none"/>
          <w:lang w:val="en-US" w:eastAsia="zh-CN"/>
        </w:rPr>
        <w:t>5.</w:t>
      </w:r>
      <w:r>
        <w:rPr>
          <w:rFonts w:hint="eastAsia" w:ascii="方正仿宋_GB2312" w:hAnsi="方正仿宋_GB2312" w:eastAsia="方正仿宋_GB2312" w:cs="方正仿宋_GB2312"/>
          <w:spacing w:val="0"/>
          <w:sz w:val="30"/>
          <w:szCs w:val="30"/>
          <w:highlight w:val="none"/>
        </w:rPr>
        <w:t>债权人申报的债权已经获得以及未来获得</w:t>
      </w:r>
      <w:r>
        <w:rPr>
          <w:rFonts w:hint="eastAsia" w:ascii="方正仿宋_GB2312" w:hAnsi="方正仿宋_GB2312" w:eastAsia="方正仿宋_GB2312" w:cs="方正仿宋_GB2312"/>
          <w:spacing w:val="0"/>
          <w:sz w:val="30"/>
          <w:szCs w:val="30"/>
          <w:highlight w:val="none"/>
          <w:lang w:eastAsia="zh-CN"/>
        </w:rPr>
        <w:t>亿利达公司</w:t>
      </w:r>
      <w:r>
        <w:rPr>
          <w:rFonts w:hint="eastAsia" w:ascii="方正仿宋_GB2312" w:hAnsi="方正仿宋_GB2312" w:eastAsia="方正仿宋_GB2312" w:cs="方正仿宋_GB2312"/>
          <w:spacing w:val="0"/>
          <w:sz w:val="30"/>
          <w:szCs w:val="30"/>
          <w:highlight w:val="none"/>
        </w:rPr>
        <w:t>或者其他连带债务人清偿的，应及时告知管理人，隐瞒债权受偿情况将承担相应的法律责任；债权人另外对</w:t>
      </w:r>
      <w:r>
        <w:rPr>
          <w:rFonts w:hint="eastAsia" w:ascii="方正仿宋_GB2312" w:hAnsi="方正仿宋_GB2312" w:eastAsia="方正仿宋_GB2312" w:cs="方正仿宋_GB2312"/>
          <w:spacing w:val="0"/>
          <w:sz w:val="30"/>
          <w:szCs w:val="30"/>
          <w:highlight w:val="none"/>
          <w:lang w:eastAsia="zh-CN"/>
        </w:rPr>
        <w:t>亿利达公司</w:t>
      </w:r>
      <w:r>
        <w:rPr>
          <w:rFonts w:hint="eastAsia" w:ascii="方正仿宋_GB2312" w:hAnsi="方正仿宋_GB2312" w:eastAsia="方正仿宋_GB2312" w:cs="方正仿宋_GB2312"/>
          <w:spacing w:val="0"/>
          <w:sz w:val="30"/>
          <w:szCs w:val="30"/>
          <w:highlight w:val="none"/>
        </w:rPr>
        <w:t>负有债务的，管理人将依法清收。</w:t>
      </w:r>
    </w:p>
    <w:p w14:paraId="6FD4A889">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left="0" w:right="0" w:firstLine="556"/>
        <w:jc w:val="both"/>
        <w:textAlignment w:val="top"/>
        <w:rPr>
          <w:rFonts w:hint="eastAsia" w:ascii="方正仿宋_GB2312" w:hAnsi="方正仿宋_GB2312" w:eastAsia="方正仿宋_GB2312" w:cs="方正仿宋_GB2312"/>
          <w:spacing w:val="0"/>
          <w:sz w:val="30"/>
          <w:szCs w:val="30"/>
          <w:highlight w:val="none"/>
          <w:lang w:val="en-US" w:eastAsia="zh-CN"/>
        </w:rPr>
      </w:pPr>
      <w:r>
        <w:rPr>
          <w:rFonts w:hint="eastAsia" w:ascii="方正仿宋_GB2312" w:hAnsi="方正仿宋_GB2312" w:eastAsia="方正仿宋_GB2312" w:cs="方正仿宋_GB2312"/>
          <w:spacing w:val="0"/>
          <w:sz w:val="30"/>
          <w:szCs w:val="30"/>
          <w:highlight w:val="none"/>
          <w:lang w:val="en-US" w:eastAsia="zh-CN"/>
        </w:rPr>
        <w:t>6.有关债权申报公告及第一次债权人会议公告可查阅最高人民法院全国企业破产重整案件信息网，网址：</w:t>
      </w:r>
      <w:r>
        <w:rPr>
          <w:rFonts w:hint="eastAsia" w:ascii="方正仿宋_GB2312" w:hAnsi="方正仿宋_GB2312" w:eastAsia="方正仿宋_GB2312" w:cs="方正仿宋_GB2312"/>
          <w:spacing w:val="0"/>
          <w:sz w:val="30"/>
          <w:szCs w:val="30"/>
          <w:highlight w:val="none"/>
          <w:lang w:val="en-US" w:eastAsia="zh-CN"/>
        </w:rPr>
        <w:fldChar w:fldCharType="begin"/>
      </w:r>
      <w:r>
        <w:rPr>
          <w:rFonts w:hint="eastAsia" w:ascii="方正仿宋_GB2312" w:hAnsi="方正仿宋_GB2312" w:eastAsia="方正仿宋_GB2312" w:cs="方正仿宋_GB2312"/>
          <w:spacing w:val="0"/>
          <w:sz w:val="30"/>
          <w:szCs w:val="30"/>
          <w:highlight w:val="none"/>
          <w:lang w:val="en-US" w:eastAsia="zh-CN"/>
        </w:rPr>
        <w:instrText xml:space="preserve"> HYPERLINK "https://pccz.court.gov.cn/pcajxxw/index/xxwsy" </w:instrText>
      </w:r>
      <w:r>
        <w:rPr>
          <w:rFonts w:hint="eastAsia" w:ascii="方正仿宋_GB2312" w:hAnsi="方正仿宋_GB2312" w:eastAsia="方正仿宋_GB2312" w:cs="方正仿宋_GB2312"/>
          <w:spacing w:val="0"/>
          <w:sz w:val="30"/>
          <w:szCs w:val="30"/>
          <w:highlight w:val="none"/>
          <w:lang w:val="en-US" w:eastAsia="zh-CN"/>
        </w:rPr>
        <w:fldChar w:fldCharType="separate"/>
      </w:r>
      <w:r>
        <w:rPr>
          <w:rStyle w:val="9"/>
          <w:rFonts w:hint="eastAsia" w:ascii="方正仿宋_GB2312" w:hAnsi="方正仿宋_GB2312" w:eastAsia="方正仿宋_GB2312" w:cs="方正仿宋_GB2312"/>
          <w:spacing w:val="0"/>
          <w:sz w:val="30"/>
          <w:szCs w:val="30"/>
          <w:highlight w:val="none"/>
          <w:lang w:val="en-US" w:eastAsia="zh-CN"/>
        </w:rPr>
        <w:t>https://pccz.court.gov.cn/pcajxxw/index/xxwsy</w:t>
      </w:r>
      <w:r>
        <w:rPr>
          <w:rFonts w:hint="eastAsia" w:ascii="方正仿宋_GB2312" w:hAnsi="方正仿宋_GB2312" w:eastAsia="方正仿宋_GB2312" w:cs="方正仿宋_GB2312"/>
          <w:spacing w:val="0"/>
          <w:sz w:val="30"/>
          <w:szCs w:val="30"/>
          <w:highlight w:val="none"/>
          <w:lang w:val="en-US" w:eastAsia="zh-CN"/>
        </w:rPr>
        <w:fldChar w:fldCharType="end"/>
      </w:r>
    </w:p>
    <w:p w14:paraId="6621BA9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jc w:val="right"/>
        <w:textAlignment w:val="top"/>
        <w:rPr>
          <w:rFonts w:hint="eastAsia" w:ascii="方正仿宋_GB2312" w:hAnsi="方正仿宋_GB2312" w:eastAsia="方正仿宋_GB2312" w:cs="方正仿宋_GB2312"/>
          <w:spacing w:val="0"/>
          <w:sz w:val="30"/>
          <w:szCs w:val="30"/>
          <w:highlight w:val="none"/>
          <w:lang w:eastAsia="zh-CN"/>
        </w:rPr>
      </w:pPr>
    </w:p>
    <w:p w14:paraId="34E047A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jc w:val="right"/>
        <w:textAlignment w:val="top"/>
        <w:rPr>
          <w:rFonts w:hint="eastAsia" w:ascii="方正仿宋_GB2312" w:hAnsi="方正仿宋_GB2312" w:eastAsia="方正仿宋_GB2312" w:cs="方正仿宋_GB2312"/>
          <w:spacing w:val="0"/>
          <w:sz w:val="30"/>
          <w:szCs w:val="30"/>
          <w:highlight w:val="none"/>
          <w:lang w:eastAsia="zh-CN"/>
        </w:rPr>
      </w:pPr>
    </w:p>
    <w:p w14:paraId="551EC12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jc w:val="both"/>
        <w:textAlignment w:val="top"/>
        <w:rPr>
          <w:rFonts w:hint="eastAsia" w:ascii="方正仿宋_GB2312" w:hAnsi="方正仿宋_GB2312" w:eastAsia="方正仿宋_GB2312" w:cs="方正仿宋_GB2312"/>
          <w:spacing w:val="0"/>
          <w:sz w:val="30"/>
          <w:szCs w:val="30"/>
          <w:highlight w:val="none"/>
          <w:lang w:eastAsia="zh-CN"/>
        </w:rPr>
      </w:pPr>
    </w:p>
    <w:p w14:paraId="335AFED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jc w:val="right"/>
        <w:textAlignment w:val="top"/>
        <w:rPr>
          <w:rFonts w:hint="eastAsia" w:ascii="方正仿宋_GB2312" w:hAnsi="方正仿宋_GB2312" w:eastAsia="方正仿宋_GB2312" w:cs="方正仿宋_GB2312"/>
          <w:spacing w:val="0"/>
          <w:sz w:val="30"/>
          <w:szCs w:val="30"/>
          <w:highlight w:val="none"/>
          <w:lang w:eastAsia="zh-CN"/>
        </w:rPr>
      </w:pPr>
      <w:r>
        <w:rPr>
          <w:rFonts w:hint="eastAsia" w:ascii="方正仿宋_GB2312" w:hAnsi="方正仿宋_GB2312" w:eastAsia="方正仿宋_GB2312" w:cs="方正仿宋_GB2312"/>
          <w:spacing w:val="0"/>
          <w:sz w:val="30"/>
          <w:szCs w:val="30"/>
          <w:highlight w:val="none"/>
          <w:lang w:eastAsia="zh-CN"/>
        </w:rPr>
        <w:t>柘荣县亿利达机械制造有限公司管理人</w:t>
      </w:r>
    </w:p>
    <w:p w14:paraId="3180225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00" w:lineRule="exact"/>
        <w:ind w:right="0"/>
        <w:jc w:val="center"/>
        <w:textAlignment w:val="top"/>
        <w:rPr>
          <w:rFonts w:hint="eastAsia" w:ascii="方正仿宋_GB2312" w:hAnsi="方正仿宋_GB2312" w:eastAsia="方正仿宋_GB2312" w:cs="方正仿宋_GB2312"/>
          <w:spacing w:val="0"/>
          <w:sz w:val="30"/>
          <w:szCs w:val="30"/>
          <w:highlight w:val="none"/>
          <w:lang w:val="en-US" w:eastAsia="zh-CN"/>
        </w:rPr>
      </w:pPr>
      <w:r>
        <w:rPr>
          <w:rFonts w:hint="eastAsia" w:ascii="方正仿宋_GB2312" w:hAnsi="方正仿宋_GB2312" w:eastAsia="方正仿宋_GB2312" w:cs="方正仿宋_GB2312"/>
          <w:spacing w:val="0"/>
          <w:sz w:val="30"/>
          <w:szCs w:val="30"/>
          <w:highlight w:val="none"/>
          <w:lang w:val="en-US" w:eastAsia="zh-CN"/>
        </w:rPr>
        <w:t xml:space="preserve">                                二〇二五年五月十二日</w:t>
      </w:r>
    </w:p>
    <w:p w14:paraId="4916D30A">
      <w:pPr>
        <w:pStyle w:val="4"/>
        <w:keepNext w:val="0"/>
        <w:keepLines w:val="0"/>
        <w:pageBreakBefore w:val="0"/>
        <w:kinsoku/>
        <w:wordWrap/>
        <w:overflowPunct/>
        <w:topLinePunct w:val="0"/>
        <w:bidi w:val="0"/>
        <w:adjustRightInd/>
        <w:snapToGrid/>
        <w:spacing w:line="500" w:lineRule="exact"/>
        <w:jc w:val="center"/>
        <w:rPr>
          <w:rFonts w:hint="eastAsia" w:ascii="黑体" w:hAnsi="黑体" w:eastAsia="黑体" w:cs="黑体"/>
          <w:b/>
          <w:bCs/>
          <w:spacing w:val="0"/>
          <w:sz w:val="44"/>
          <w:szCs w:val="44"/>
          <w:highlight w:val="none"/>
          <w:lang w:eastAsia="zh-CN"/>
        </w:rPr>
      </w:pPr>
    </w:p>
    <w:p w14:paraId="5EDCA465">
      <w:pPr>
        <w:pStyle w:val="4"/>
        <w:keepNext w:val="0"/>
        <w:keepLines w:val="0"/>
        <w:pageBreakBefore w:val="0"/>
        <w:kinsoku/>
        <w:wordWrap/>
        <w:overflowPunct/>
        <w:topLinePunct w:val="0"/>
        <w:bidi w:val="0"/>
        <w:adjustRightInd/>
        <w:snapToGrid/>
        <w:spacing w:line="500" w:lineRule="exact"/>
        <w:jc w:val="center"/>
        <w:rPr>
          <w:rFonts w:hint="eastAsia" w:ascii="黑体" w:hAnsi="黑体" w:eastAsia="黑体" w:cs="黑体"/>
          <w:b/>
          <w:bCs/>
          <w:spacing w:val="0"/>
          <w:sz w:val="44"/>
          <w:szCs w:val="44"/>
          <w:highlight w:val="none"/>
          <w:lang w:eastAsia="zh-CN"/>
        </w:rPr>
      </w:pPr>
    </w:p>
    <w:p w14:paraId="2A7809CE">
      <w:pPr>
        <w:pStyle w:val="4"/>
        <w:spacing w:before="156" w:beforeLines="50"/>
        <w:jc w:val="center"/>
        <w:rPr>
          <w:rFonts w:hint="eastAsia" w:ascii="黑体" w:hAnsi="黑体" w:eastAsia="黑体" w:cs="黑体"/>
          <w:b/>
          <w:bCs/>
          <w:spacing w:val="0"/>
          <w:sz w:val="44"/>
          <w:szCs w:val="44"/>
          <w:highlight w:val="none"/>
          <w:lang w:eastAsia="zh-CN"/>
        </w:rPr>
      </w:pPr>
    </w:p>
    <w:p w14:paraId="61CFC1DA">
      <w:pPr>
        <w:pStyle w:val="4"/>
        <w:spacing w:before="156" w:beforeLines="50"/>
        <w:jc w:val="center"/>
        <w:rPr>
          <w:rFonts w:hint="eastAsia" w:ascii="宋体-简" w:hAnsi="宋体-简" w:eastAsia="宋体-简" w:cs="Helvetica Neue"/>
          <w:b/>
          <w:bCs/>
          <w:color w:val="181E18"/>
          <w:spacing w:val="0"/>
          <w:kern w:val="2"/>
          <w:sz w:val="32"/>
          <w:szCs w:val="32"/>
          <w:highlight w:val="none"/>
          <w:u w:color="173156"/>
          <w:lang w:val="en-US" w:eastAsia="zh-CN" w:bidi="ar-SA"/>
        </w:rPr>
      </w:pPr>
    </w:p>
    <w:p w14:paraId="067F202D">
      <w:pPr>
        <w:pStyle w:val="4"/>
        <w:spacing w:before="156" w:beforeLines="50"/>
        <w:jc w:val="center"/>
        <w:rPr>
          <w:rFonts w:hint="eastAsia" w:ascii="宋体-简" w:hAnsi="宋体-简" w:eastAsia="宋体-简" w:cs="Helvetica Neue"/>
          <w:b/>
          <w:bCs/>
          <w:color w:val="181E18"/>
          <w:spacing w:val="0"/>
          <w:kern w:val="2"/>
          <w:sz w:val="32"/>
          <w:szCs w:val="32"/>
          <w:highlight w:val="none"/>
          <w:u w:color="173156"/>
          <w:lang w:val="en-US" w:eastAsia="zh-CN" w:bidi="ar-SA"/>
        </w:rPr>
      </w:pPr>
    </w:p>
    <w:p w14:paraId="767DBE68">
      <w:pPr>
        <w:pStyle w:val="4"/>
        <w:spacing w:before="156" w:beforeLines="50"/>
        <w:jc w:val="center"/>
        <w:rPr>
          <w:rFonts w:hint="eastAsia" w:ascii="宋体-简" w:hAnsi="宋体-简" w:eastAsia="宋体-简" w:cs="Helvetica Neue"/>
          <w:b/>
          <w:bCs/>
          <w:color w:val="181E18"/>
          <w:spacing w:val="0"/>
          <w:kern w:val="2"/>
          <w:sz w:val="32"/>
          <w:szCs w:val="32"/>
          <w:highlight w:val="none"/>
          <w:u w:color="173156"/>
          <w:lang w:val="en-US" w:eastAsia="zh-CN" w:bidi="ar-SA"/>
        </w:rPr>
      </w:pPr>
    </w:p>
    <w:p w14:paraId="689CCF90">
      <w:pPr>
        <w:pStyle w:val="4"/>
        <w:spacing w:before="156" w:beforeLines="50"/>
        <w:jc w:val="center"/>
        <w:rPr>
          <w:rFonts w:hint="eastAsia" w:ascii="宋体-简" w:hAnsi="宋体-简" w:eastAsia="宋体-简" w:cs="Helvetica Neue"/>
          <w:b/>
          <w:bCs/>
          <w:color w:val="181E18"/>
          <w:spacing w:val="0"/>
          <w:kern w:val="2"/>
          <w:sz w:val="32"/>
          <w:szCs w:val="32"/>
          <w:highlight w:val="none"/>
          <w:u w:color="173156"/>
          <w:lang w:val="en-US" w:eastAsia="zh-CN" w:bidi="ar-SA"/>
        </w:rPr>
      </w:pPr>
    </w:p>
    <w:p w14:paraId="16F07410">
      <w:pPr>
        <w:pStyle w:val="4"/>
        <w:spacing w:before="156" w:beforeLines="50"/>
        <w:jc w:val="center"/>
        <w:rPr>
          <w:rFonts w:hint="default" w:ascii="黑体" w:hAnsi="黑体" w:eastAsia="黑体" w:cs="黑体"/>
          <w:b/>
          <w:bCs/>
          <w:color w:val="181E18"/>
          <w:spacing w:val="0"/>
          <w:kern w:val="2"/>
          <w:sz w:val="36"/>
          <w:szCs w:val="36"/>
          <w:highlight w:val="none"/>
          <w:u w:color="173156"/>
          <w:lang w:val="en-US" w:eastAsia="zh-CN" w:bidi="ar-SA"/>
        </w:rPr>
      </w:pPr>
      <w:r>
        <w:rPr>
          <w:rFonts w:hint="eastAsia" w:ascii="黑体" w:hAnsi="黑体" w:eastAsia="黑体" w:cs="黑体"/>
          <w:b/>
          <w:bCs/>
          <w:color w:val="181E18"/>
          <w:spacing w:val="0"/>
          <w:kern w:val="2"/>
          <w:sz w:val="36"/>
          <w:szCs w:val="36"/>
          <w:highlight w:val="none"/>
          <w:u w:color="173156"/>
          <w:lang w:val="en-US" w:eastAsia="zh-CN" w:bidi="ar-SA"/>
        </w:rPr>
        <w:t>柘荣县亿利达机械制造有限公司破产清算案</w:t>
      </w:r>
    </w:p>
    <w:p w14:paraId="46E21ECD">
      <w:pPr>
        <w:autoSpaceDE w:val="0"/>
        <w:autoSpaceDN w:val="0"/>
        <w:adjustRightInd w:val="0"/>
        <w:jc w:val="center"/>
        <w:rPr>
          <w:rFonts w:hint="eastAsia" w:ascii="黑体" w:hAnsi="黑体" w:eastAsia="黑体" w:cs="黑体"/>
          <w:color w:val="181E18"/>
          <w:spacing w:val="0"/>
          <w:sz w:val="36"/>
          <w:szCs w:val="36"/>
          <w:highlight w:val="none"/>
          <w:u w:color="173156"/>
        </w:rPr>
      </w:pPr>
      <w:r>
        <w:rPr>
          <w:rFonts w:hint="eastAsia" w:ascii="黑体" w:hAnsi="黑体" w:eastAsia="黑体" w:cs="黑体"/>
          <w:b/>
          <w:bCs/>
          <w:color w:val="181E18"/>
          <w:spacing w:val="0"/>
          <w:sz w:val="36"/>
          <w:szCs w:val="36"/>
          <w:highlight w:val="none"/>
          <w:u w:color="173156"/>
        </w:rPr>
        <w:t>债权申报文件清单</w:t>
      </w:r>
    </w:p>
    <w:tbl>
      <w:tblPr>
        <w:tblStyle w:val="7"/>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6"/>
        <w:gridCol w:w="947"/>
        <w:gridCol w:w="4549"/>
        <w:gridCol w:w="744"/>
        <w:gridCol w:w="744"/>
        <w:gridCol w:w="1622"/>
      </w:tblGrid>
      <w:tr w14:paraId="6C323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9072" w:type="dxa"/>
            <w:gridSpan w:val="6"/>
            <w:vAlign w:val="center"/>
          </w:tcPr>
          <w:p w14:paraId="1BC03E84">
            <w:pPr>
              <w:autoSpaceDE w:val="0"/>
              <w:autoSpaceDN w:val="0"/>
              <w:adjustRightInd w:val="0"/>
              <w:spacing w:line="360" w:lineRule="auto"/>
              <w:jc w:val="both"/>
              <w:rPr>
                <w:rFonts w:hint="eastAsia" w:ascii="方正楷体_GB2312" w:hAnsi="方正楷体_GB2312" w:eastAsia="方正楷体_GB2312" w:cs="方正楷体_GB2312"/>
                <w:color w:val="181E18"/>
                <w:spacing w:val="0"/>
                <w:sz w:val="21"/>
                <w:szCs w:val="21"/>
                <w:highlight w:val="none"/>
                <w:u w:color="173156"/>
              </w:rPr>
            </w:pPr>
            <w:r>
              <w:rPr>
                <w:rFonts w:hint="eastAsia" w:ascii="方正楷体_GB2312" w:hAnsi="方正楷体_GB2312" w:eastAsia="方正楷体_GB2312" w:cs="方正楷体_GB2312"/>
                <w:color w:val="181E18"/>
                <w:spacing w:val="0"/>
                <w:sz w:val="21"/>
                <w:szCs w:val="21"/>
                <w:highlight w:val="none"/>
                <w:u w:color="173156"/>
              </w:rPr>
              <w:t>债权人：</w:t>
            </w:r>
          </w:p>
        </w:tc>
      </w:tr>
      <w:tr w14:paraId="1A912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5962" w:type="dxa"/>
            <w:gridSpan w:val="3"/>
            <w:vAlign w:val="center"/>
          </w:tcPr>
          <w:p w14:paraId="19EC0F78">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r>
              <w:rPr>
                <w:rFonts w:hint="eastAsia" w:ascii="方正楷体_GB2312" w:hAnsi="方正楷体_GB2312" w:eastAsia="方正楷体_GB2312" w:cs="方正楷体_GB2312"/>
                <w:color w:val="181E18"/>
                <w:spacing w:val="0"/>
                <w:sz w:val="21"/>
                <w:szCs w:val="21"/>
                <w:highlight w:val="none"/>
                <w:u w:color="173156"/>
              </w:rPr>
              <w:t>申报债权文件目录</w:t>
            </w:r>
          </w:p>
        </w:tc>
        <w:tc>
          <w:tcPr>
            <w:tcW w:w="744" w:type="dxa"/>
            <w:vAlign w:val="center"/>
          </w:tcPr>
          <w:p w14:paraId="28E9258B">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r>
              <w:rPr>
                <w:rFonts w:hint="eastAsia" w:ascii="方正楷体_GB2312" w:hAnsi="方正楷体_GB2312" w:eastAsia="方正楷体_GB2312" w:cs="方正楷体_GB2312"/>
                <w:color w:val="181E18"/>
                <w:spacing w:val="0"/>
                <w:sz w:val="21"/>
                <w:szCs w:val="21"/>
                <w:highlight w:val="none"/>
                <w:u w:color="173156"/>
              </w:rPr>
              <w:t>份数</w:t>
            </w:r>
          </w:p>
        </w:tc>
        <w:tc>
          <w:tcPr>
            <w:tcW w:w="744" w:type="dxa"/>
            <w:vAlign w:val="center"/>
          </w:tcPr>
          <w:p w14:paraId="1B203C05">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r>
              <w:rPr>
                <w:rFonts w:hint="eastAsia" w:ascii="方正楷体_GB2312" w:hAnsi="方正楷体_GB2312" w:eastAsia="方正楷体_GB2312" w:cs="方正楷体_GB2312"/>
                <w:color w:val="181E18"/>
                <w:spacing w:val="0"/>
                <w:sz w:val="21"/>
                <w:szCs w:val="21"/>
                <w:highlight w:val="none"/>
                <w:u w:color="173156"/>
              </w:rPr>
              <w:t>页数</w:t>
            </w:r>
          </w:p>
        </w:tc>
        <w:tc>
          <w:tcPr>
            <w:tcW w:w="1622" w:type="dxa"/>
            <w:vAlign w:val="center"/>
          </w:tcPr>
          <w:p w14:paraId="3058BC7A">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r>
              <w:rPr>
                <w:rFonts w:hint="eastAsia" w:ascii="方正楷体_GB2312" w:hAnsi="方正楷体_GB2312" w:eastAsia="方正楷体_GB2312" w:cs="方正楷体_GB2312"/>
                <w:color w:val="181E18"/>
                <w:spacing w:val="0"/>
                <w:sz w:val="21"/>
                <w:szCs w:val="21"/>
                <w:highlight w:val="none"/>
                <w:u w:color="173156"/>
              </w:rPr>
              <w:t>原件/复印件</w:t>
            </w:r>
          </w:p>
        </w:tc>
      </w:tr>
      <w:tr w14:paraId="7B407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66" w:type="dxa"/>
            <w:vAlign w:val="center"/>
          </w:tcPr>
          <w:p w14:paraId="51EFF746">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r>
              <w:rPr>
                <w:rFonts w:hint="eastAsia" w:ascii="方正楷体_GB2312" w:hAnsi="方正楷体_GB2312" w:eastAsia="方正楷体_GB2312" w:cs="方正楷体_GB2312"/>
                <w:color w:val="181E18"/>
                <w:spacing w:val="0"/>
                <w:sz w:val="21"/>
                <w:szCs w:val="21"/>
                <w:highlight w:val="none"/>
                <w:u w:color="173156"/>
              </w:rPr>
              <w:t>1</w:t>
            </w:r>
          </w:p>
        </w:tc>
        <w:tc>
          <w:tcPr>
            <w:tcW w:w="5496" w:type="dxa"/>
            <w:gridSpan w:val="2"/>
            <w:vAlign w:val="center"/>
          </w:tcPr>
          <w:p w14:paraId="72E18562">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r>
              <w:rPr>
                <w:rFonts w:hint="eastAsia" w:ascii="方正楷体_GB2312" w:hAnsi="方正楷体_GB2312" w:eastAsia="方正楷体_GB2312" w:cs="方正楷体_GB2312"/>
                <w:color w:val="181E18"/>
                <w:spacing w:val="0"/>
                <w:sz w:val="21"/>
                <w:szCs w:val="21"/>
                <w:highlight w:val="none"/>
                <w:u w:color="173156"/>
              </w:rPr>
              <w:t>债权申报登记表</w:t>
            </w:r>
          </w:p>
        </w:tc>
        <w:tc>
          <w:tcPr>
            <w:tcW w:w="744" w:type="dxa"/>
          </w:tcPr>
          <w:p w14:paraId="70EFD66B">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p>
        </w:tc>
        <w:tc>
          <w:tcPr>
            <w:tcW w:w="744" w:type="dxa"/>
          </w:tcPr>
          <w:p w14:paraId="4240F0D0">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p>
        </w:tc>
        <w:tc>
          <w:tcPr>
            <w:tcW w:w="1622" w:type="dxa"/>
          </w:tcPr>
          <w:p w14:paraId="308DA9FF">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p>
        </w:tc>
      </w:tr>
      <w:tr w14:paraId="0A9E6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66" w:type="dxa"/>
            <w:vAlign w:val="center"/>
          </w:tcPr>
          <w:p w14:paraId="5F6696B4">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lang w:val="en-US" w:eastAsia="zh-CN"/>
              </w:rPr>
            </w:pPr>
            <w:r>
              <w:rPr>
                <w:rFonts w:hint="eastAsia" w:ascii="方正楷体_GB2312" w:hAnsi="方正楷体_GB2312" w:eastAsia="方正楷体_GB2312" w:cs="方正楷体_GB2312"/>
                <w:color w:val="181E18"/>
                <w:spacing w:val="0"/>
                <w:sz w:val="21"/>
                <w:szCs w:val="21"/>
                <w:highlight w:val="none"/>
                <w:u w:color="173156"/>
                <w:lang w:val="en-US" w:eastAsia="zh-CN"/>
              </w:rPr>
              <w:t>2</w:t>
            </w:r>
          </w:p>
        </w:tc>
        <w:tc>
          <w:tcPr>
            <w:tcW w:w="5496" w:type="dxa"/>
            <w:gridSpan w:val="2"/>
            <w:vAlign w:val="center"/>
          </w:tcPr>
          <w:p w14:paraId="770A6758">
            <w:pPr>
              <w:autoSpaceDE w:val="0"/>
              <w:autoSpaceDN w:val="0"/>
              <w:adjustRightInd w:val="0"/>
              <w:spacing w:line="360" w:lineRule="auto"/>
              <w:jc w:val="center"/>
              <w:rPr>
                <w:rFonts w:hint="default" w:ascii="方正楷体_GB2312" w:hAnsi="方正楷体_GB2312" w:eastAsia="方正楷体_GB2312" w:cs="方正楷体_GB2312"/>
                <w:color w:val="181E18"/>
                <w:spacing w:val="0"/>
                <w:sz w:val="21"/>
                <w:szCs w:val="21"/>
                <w:highlight w:val="none"/>
                <w:u w:color="173156"/>
                <w:lang w:val="en-US" w:eastAsia="zh-CN"/>
              </w:rPr>
            </w:pPr>
            <w:r>
              <w:rPr>
                <w:rFonts w:hint="eastAsia" w:ascii="方正楷体_GB2312" w:hAnsi="方正楷体_GB2312" w:eastAsia="方正楷体_GB2312" w:cs="方正楷体_GB2312"/>
                <w:color w:val="181E18"/>
                <w:spacing w:val="0"/>
                <w:sz w:val="21"/>
                <w:szCs w:val="21"/>
                <w:highlight w:val="none"/>
                <w:u w:color="173156"/>
                <w:lang w:val="en-US" w:eastAsia="zh-CN"/>
              </w:rPr>
              <w:t>申报书</w:t>
            </w:r>
          </w:p>
        </w:tc>
        <w:tc>
          <w:tcPr>
            <w:tcW w:w="744" w:type="dxa"/>
          </w:tcPr>
          <w:p w14:paraId="284B9290">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p>
        </w:tc>
        <w:tc>
          <w:tcPr>
            <w:tcW w:w="744" w:type="dxa"/>
          </w:tcPr>
          <w:p w14:paraId="5B0B8507">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p>
        </w:tc>
        <w:tc>
          <w:tcPr>
            <w:tcW w:w="1622" w:type="dxa"/>
          </w:tcPr>
          <w:p w14:paraId="5527ACA1">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p>
        </w:tc>
      </w:tr>
      <w:tr w14:paraId="7BC3E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66" w:type="dxa"/>
            <w:shd w:val="clear"/>
            <w:vAlign w:val="center"/>
          </w:tcPr>
          <w:p w14:paraId="7274010F">
            <w:pPr>
              <w:autoSpaceDE w:val="0"/>
              <w:autoSpaceDN w:val="0"/>
              <w:adjustRightInd w:val="0"/>
              <w:spacing w:line="360" w:lineRule="auto"/>
              <w:jc w:val="center"/>
              <w:rPr>
                <w:rFonts w:hint="eastAsia" w:ascii="方正楷体_GB2312" w:hAnsi="方正楷体_GB2312" w:eastAsia="方正楷体_GB2312" w:cs="方正楷体_GB2312"/>
                <w:color w:val="181E18"/>
                <w:spacing w:val="0"/>
                <w:kern w:val="2"/>
                <w:sz w:val="21"/>
                <w:szCs w:val="21"/>
                <w:highlight w:val="none"/>
                <w:u w:color="173156"/>
                <w:lang w:val="en-US" w:eastAsia="zh-CN" w:bidi="ar-SA"/>
              </w:rPr>
            </w:pPr>
            <w:r>
              <w:rPr>
                <w:rFonts w:hint="eastAsia" w:ascii="方正楷体_GB2312" w:hAnsi="方正楷体_GB2312" w:eastAsia="方正楷体_GB2312" w:cs="方正楷体_GB2312"/>
                <w:color w:val="181E18"/>
                <w:spacing w:val="0"/>
                <w:sz w:val="21"/>
                <w:szCs w:val="21"/>
                <w:highlight w:val="none"/>
                <w:u w:color="173156"/>
                <w:lang w:val="en-US" w:eastAsia="zh-CN"/>
              </w:rPr>
              <w:t>3</w:t>
            </w:r>
          </w:p>
        </w:tc>
        <w:tc>
          <w:tcPr>
            <w:tcW w:w="5496" w:type="dxa"/>
            <w:gridSpan w:val="2"/>
            <w:shd w:val="clear"/>
            <w:vAlign w:val="center"/>
          </w:tcPr>
          <w:p w14:paraId="7C96ACDB">
            <w:pPr>
              <w:autoSpaceDE w:val="0"/>
              <w:autoSpaceDN w:val="0"/>
              <w:adjustRightInd w:val="0"/>
              <w:spacing w:line="360" w:lineRule="auto"/>
              <w:jc w:val="center"/>
              <w:rPr>
                <w:rFonts w:hint="eastAsia" w:ascii="方正楷体_GB2312" w:hAnsi="方正楷体_GB2312" w:eastAsia="方正楷体_GB2312" w:cs="方正楷体_GB2312"/>
                <w:color w:val="181E18"/>
                <w:spacing w:val="0"/>
                <w:kern w:val="2"/>
                <w:sz w:val="21"/>
                <w:szCs w:val="21"/>
                <w:highlight w:val="none"/>
                <w:u w:color="173156"/>
                <w:lang w:val="en-US" w:eastAsia="zh-CN" w:bidi="ar-SA"/>
              </w:rPr>
            </w:pPr>
            <w:r>
              <w:rPr>
                <w:rFonts w:hint="eastAsia" w:ascii="方正楷体_GB2312" w:hAnsi="方正楷体_GB2312" w:eastAsia="方正楷体_GB2312" w:cs="方正楷体_GB2312"/>
                <w:color w:val="181E18"/>
                <w:spacing w:val="0"/>
                <w:sz w:val="21"/>
                <w:szCs w:val="21"/>
                <w:highlight w:val="none"/>
                <w:u w:color="173156"/>
              </w:rPr>
              <w:t>债权人银行信息、送达地址确认书</w:t>
            </w:r>
          </w:p>
        </w:tc>
        <w:tc>
          <w:tcPr>
            <w:tcW w:w="744" w:type="dxa"/>
          </w:tcPr>
          <w:p w14:paraId="59A93020">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p>
        </w:tc>
        <w:tc>
          <w:tcPr>
            <w:tcW w:w="744" w:type="dxa"/>
          </w:tcPr>
          <w:p w14:paraId="145BFCF7">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p>
        </w:tc>
        <w:tc>
          <w:tcPr>
            <w:tcW w:w="1622" w:type="dxa"/>
          </w:tcPr>
          <w:p w14:paraId="614652A8">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p>
        </w:tc>
      </w:tr>
      <w:tr w14:paraId="65D32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66" w:type="dxa"/>
            <w:vMerge w:val="restart"/>
            <w:vAlign w:val="center"/>
          </w:tcPr>
          <w:p w14:paraId="465142FA">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lang w:eastAsia="zh-CN"/>
              </w:rPr>
            </w:pPr>
            <w:r>
              <w:rPr>
                <w:rFonts w:hint="eastAsia" w:ascii="方正楷体_GB2312" w:hAnsi="方正楷体_GB2312" w:eastAsia="方正楷体_GB2312" w:cs="方正楷体_GB2312"/>
                <w:color w:val="181E18"/>
                <w:spacing w:val="0"/>
                <w:sz w:val="21"/>
                <w:szCs w:val="21"/>
                <w:highlight w:val="none"/>
                <w:u w:color="173156"/>
                <w:lang w:val="en-US" w:eastAsia="zh-CN"/>
              </w:rPr>
              <w:t>4</w:t>
            </w:r>
          </w:p>
        </w:tc>
        <w:tc>
          <w:tcPr>
            <w:tcW w:w="947" w:type="dxa"/>
            <w:vAlign w:val="center"/>
          </w:tcPr>
          <w:p w14:paraId="12A07491">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r>
              <w:rPr>
                <w:rFonts w:hint="eastAsia" w:ascii="方正楷体_GB2312" w:hAnsi="方正楷体_GB2312" w:eastAsia="方正楷体_GB2312" w:cs="方正楷体_GB2312"/>
                <w:color w:val="181E18"/>
                <w:spacing w:val="0"/>
                <w:sz w:val="21"/>
                <w:szCs w:val="21"/>
                <w:highlight w:val="none"/>
                <w:u w:color="173156"/>
              </w:rPr>
              <w:t>□单位</w:t>
            </w:r>
          </w:p>
        </w:tc>
        <w:tc>
          <w:tcPr>
            <w:tcW w:w="4549" w:type="dxa"/>
            <w:vAlign w:val="center"/>
          </w:tcPr>
          <w:p w14:paraId="1F1245DA">
            <w:pPr>
              <w:autoSpaceDE w:val="0"/>
              <w:autoSpaceDN w:val="0"/>
              <w:adjustRightInd w:val="0"/>
              <w:spacing w:line="360" w:lineRule="auto"/>
              <w:jc w:val="both"/>
              <w:rPr>
                <w:rFonts w:hint="eastAsia" w:ascii="方正楷体_GB2312" w:hAnsi="方正楷体_GB2312" w:eastAsia="方正楷体_GB2312" w:cs="方正楷体_GB2312"/>
                <w:color w:val="181E18"/>
                <w:spacing w:val="0"/>
                <w:sz w:val="21"/>
                <w:szCs w:val="21"/>
                <w:highlight w:val="none"/>
                <w:u w:color="173156"/>
              </w:rPr>
            </w:pPr>
            <w:r>
              <w:rPr>
                <w:rFonts w:hint="eastAsia" w:ascii="方正楷体_GB2312" w:hAnsi="方正楷体_GB2312" w:eastAsia="方正楷体_GB2312" w:cs="方正楷体_GB2312"/>
                <w:color w:val="181E18"/>
                <w:spacing w:val="0"/>
                <w:sz w:val="21"/>
                <w:szCs w:val="21"/>
                <w:highlight w:val="none"/>
                <w:u w:color="173156"/>
              </w:rPr>
              <w:t>□营业执照；□法定代表人身份证明；□法定代表人身份证；□授权委托书；□代理人身份证明</w:t>
            </w:r>
          </w:p>
        </w:tc>
        <w:tc>
          <w:tcPr>
            <w:tcW w:w="744" w:type="dxa"/>
          </w:tcPr>
          <w:p w14:paraId="06191680">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p>
        </w:tc>
        <w:tc>
          <w:tcPr>
            <w:tcW w:w="744" w:type="dxa"/>
          </w:tcPr>
          <w:p w14:paraId="3C6D0AAA">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p>
        </w:tc>
        <w:tc>
          <w:tcPr>
            <w:tcW w:w="1622" w:type="dxa"/>
          </w:tcPr>
          <w:p w14:paraId="2DFE1B28">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p>
        </w:tc>
      </w:tr>
      <w:tr w14:paraId="2BB15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66" w:type="dxa"/>
            <w:vMerge w:val="continue"/>
            <w:vAlign w:val="center"/>
          </w:tcPr>
          <w:p w14:paraId="21326BA7">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p>
        </w:tc>
        <w:tc>
          <w:tcPr>
            <w:tcW w:w="947" w:type="dxa"/>
            <w:vAlign w:val="center"/>
          </w:tcPr>
          <w:p w14:paraId="3FFF26B0">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r>
              <w:rPr>
                <w:rFonts w:hint="eastAsia" w:ascii="方正楷体_GB2312" w:hAnsi="方正楷体_GB2312" w:eastAsia="方正楷体_GB2312" w:cs="方正楷体_GB2312"/>
                <w:color w:val="181E18"/>
                <w:spacing w:val="0"/>
                <w:sz w:val="21"/>
                <w:szCs w:val="21"/>
                <w:highlight w:val="none"/>
                <w:u w:color="173156"/>
              </w:rPr>
              <w:t>□个人</w:t>
            </w:r>
          </w:p>
        </w:tc>
        <w:tc>
          <w:tcPr>
            <w:tcW w:w="4549" w:type="dxa"/>
            <w:vAlign w:val="center"/>
          </w:tcPr>
          <w:p w14:paraId="4DC1509E">
            <w:pPr>
              <w:autoSpaceDE w:val="0"/>
              <w:autoSpaceDN w:val="0"/>
              <w:adjustRightInd w:val="0"/>
              <w:spacing w:line="360" w:lineRule="auto"/>
              <w:jc w:val="both"/>
              <w:rPr>
                <w:rFonts w:hint="eastAsia" w:ascii="方正楷体_GB2312" w:hAnsi="方正楷体_GB2312" w:eastAsia="方正楷体_GB2312" w:cs="方正楷体_GB2312"/>
                <w:color w:val="181E18"/>
                <w:spacing w:val="0"/>
                <w:sz w:val="21"/>
                <w:szCs w:val="21"/>
                <w:highlight w:val="none"/>
                <w:u w:color="173156"/>
              </w:rPr>
            </w:pPr>
            <w:r>
              <w:rPr>
                <w:rFonts w:hint="eastAsia" w:ascii="方正楷体_GB2312" w:hAnsi="方正楷体_GB2312" w:eastAsia="方正楷体_GB2312" w:cs="方正楷体_GB2312"/>
                <w:color w:val="181E18"/>
                <w:spacing w:val="0"/>
                <w:sz w:val="21"/>
                <w:szCs w:val="21"/>
                <w:highlight w:val="none"/>
                <w:u w:color="173156"/>
              </w:rPr>
              <w:t>□身份证明；□授权委托书；□代理人身份证明</w:t>
            </w:r>
          </w:p>
        </w:tc>
        <w:tc>
          <w:tcPr>
            <w:tcW w:w="744" w:type="dxa"/>
          </w:tcPr>
          <w:p w14:paraId="243EB25B">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p>
        </w:tc>
        <w:tc>
          <w:tcPr>
            <w:tcW w:w="744" w:type="dxa"/>
          </w:tcPr>
          <w:p w14:paraId="1D195169">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p>
        </w:tc>
        <w:tc>
          <w:tcPr>
            <w:tcW w:w="1622" w:type="dxa"/>
          </w:tcPr>
          <w:p w14:paraId="248A863A">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p>
        </w:tc>
      </w:tr>
      <w:tr w14:paraId="366FF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66" w:type="dxa"/>
            <w:vAlign w:val="center"/>
          </w:tcPr>
          <w:p w14:paraId="09517930">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lang w:eastAsia="zh-CN"/>
              </w:rPr>
            </w:pPr>
            <w:r>
              <w:rPr>
                <w:rFonts w:hint="eastAsia" w:ascii="方正楷体_GB2312" w:hAnsi="方正楷体_GB2312" w:eastAsia="方正楷体_GB2312" w:cs="方正楷体_GB2312"/>
                <w:color w:val="181E18"/>
                <w:spacing w:val="0"/>
                <w:sz w:val="21"/>
                <w:szCs w:val="21"/>
                <w:highlight w:val="none"/>
                <w:u w:color="173156"/>
                <w:lang w:val="en-US" w:eastAsia="zh-CN"/>
              </w:rPr>
              <w:t>5</w:t>
            </w:r>
          </w:p>
        </w:tc>
        <w:tc>
          <w:tcPr>
            <w:tcW w:w="5496" w:type="dxa"/>
            <w:gridSpan w:val="2"/>
            <w:vAlign w:val="center"/>
          </w:tcPr>
          <w:p w14:paraId="5F80AE3C">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r>
              <w:rPr>
                <w:rFonts w:hint="eastAsia" w:ascii="方正楷体_GB2312" w:hAnsi="方正楷体_GB2312" w:eastAsia="方正楷体_GB2312" w:cs="方正楷体_GB2312"/>
                <w:color w:val="181E18"/>
                <w:spacing w:val="0"/>
                <w:sz w:val="21"/>
                <w:szCs w:val="21"/>
                <w:highlight w:val="none"/>
                <w:u w:color="173156"/>
              </w:rPr>
              <w:t>债权申报真实性承诺书</w:t>
            </w:r>
          </w:p>
        </w:tc>
        <w:tc>
          <w:tcPr>
            <w:tcW w:w="744" w:type="dxa"/>
          </w:tcPr>
          <w:p w14:paraId="348C9EB3">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p>
        </w:tc>
        <w:tc>
          <w:tcPr>
            <w:tcW w:w="744" w:type="dxa"/>
          </w:tcPr>
          <w:p w14:paraId="0B183DA8">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p>
        </w:tc>
        <w:tc>
          <w:tcPr>
            <w:tcW w:w="1622" w:type="dxa"/>
          </w:tcPr>
          <w:p w14:paraId="28BE39EF">
            <w:pPr>
              <w:autoSpaceDE w:val="0"/>
              <w:autoSpaceDN w:val="0"/>
              <w:adjustRightInd w:val="0"/>
              <w:spacing w:line="360" w:lineRule="auto"/>
              <w:jc w:val="center"/>
              <w:rPr>
                <w:rFonts w:hint="eastAsia" w:ascii="方正楷体_GB2312" w:hAnsi="方正楷体_GB2312" w:eastAsia="方正楷体_GB2312" w:cs="方正楷体_GB2312"/>
                <w:color w:val="181E18"/>
                <w:spacing w:val="0"/>
                <w:sz w:val="21"/>
                <w:szCs w:val="21"/>
                <w:highlight w:val="none"/>
                <w:u w:color="173156"/>
              </w:rPr>
            </w:pPr>
          </w:p>
        </w:tc>
      </w:tr>
      <w:tr w14:paraId="6BFEC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66" w:type="dxa"/>
            <w:vAlign w:val="center"/>
          </w:tcPr>
          <w:p w14:paraId="0A547B91">
            <w:pPr>
              <w:autoSpaceDE w:val="0"/>
              <w:autoSpaceDN w:val="0"/>
              <w:adjustRightInd w:val="0"/>
              <w:spacing w:line="360" w:lineRule="auto"/>
              <w:jc w:val="center"/>
              <w:rPr>
                <w:rFonts w:hint="eastAsia" w:ascii="华文仿宋" w:hAnsi="华文仿宋" w:eastAsia="华文仿宋" w:cs="Helvetica Neue"/>
                <w:color w:val="181E18"/>
                <w:spacing w:val="0"/>
                <w:highlight w:val="none"/>
                <w:u w:color="173156"/>
                <w:lang w:eastAsia="zh-CN"/>
              </w:rPr>
            </w:pPr>
            <w:r>
              <w:rPr>
                <w:rFonts w:hint="eastAsia" w:ascii="华文仿宋" w:hAnsi="华文仿宋" w:eastAsia="华文仿宋" w:cs="Helvetica Neue"/>
                <w:color w:val="181E18"/>
                <w:spacing w:val="0"/>
                <w:highlight w:val="none"/>
                <w:u w:color="173156"/>
                <w:lang w:val="en-US" w:eastAsia="zh-CN"/>
              </w:rPr>
              <w:t>6</w:t>
            </w:r>
          </w:p>
        </w:tc>
        <w:tc>
          <w:tcPr>
            <w:tcW w:w="5496" w:type="dxa"/>
            <w:gridSpan w:val="2"/>
            <w:vAlign w:val="center"/>
          </w:tcPr>
          <w:p w14:paraId="14AD35BC">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r>
              <w:rPr>
                <w:rFonts w:hint="eastAsia" w:ascii="华文仿宋" w:hAnsi="华文仿宋" w:eastAsia="华文仿宋" w:cs="Helvetica Neue"/>
                <w:color w:val="181E18"/>
                <w:spacing w:val="0"/>
                <w:highlight w:val="none"/>
                <w:u w:color="173156"/>
              </w:rPr>
              <w:t>债权人会议议事规则及债权人会议表决规则</w:t>
            </w:r>
          </w:p>
        </w:tc>
        <w:tc>
          <w:tcPr>
            <w:tcW w:w="744" w:type="dxa"/>
          </w:tcPr>
          <w:p w14:paraId="33B20B4E">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744" w:type="dxa"/>
          </w:tcPr>
          <w:p w14:paraId="3005F569">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1622" w:type="dxa"/>
          </w:tcPr>
          <w:p w14:paraId="27DCC8C9">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r>
      <w:tr w14:paraId="3504E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66" w:type="dxa"/>
            <w:vAlign w:val="center"/>
          </w:tcPr>
          <w:p w14:paraId="4ECBB94B">
            <w:pPr>
              <w:autoSpaceDE w:val="0"/>
              <w:autoSpaceDN w:val="0"/>
              <w:adjustRightInd w:val="0"/>
              <w:spacing w:line="360" w:lineRule="auto"/>
              <w:jc w:val="center"/>
              <w:rPr>
                <w:rFonts w:hint="eastAsia" w:ascii="华文仿宋" w:hAnsi="华文仿宋" w:eastAsia="华文仿宋" w:cs="Helvetica Neue"/>
                <w:color w:val="181E18"/>
                <w:spacing w:val="0"/>
                <w:highlight w:val="none"/>
                <w:u w:color="173156"/>
                <w:lang w:eastAsia="zh-CN"/>
              </w:rPr>
            </w:pPr>
            <w:r>
              <w:rPr>
                <w:rFonts w:hint="eastAsia" w:ascii="华文仿宋" w:hAnsi="华文仿宋" w:eastAsia="华文仿宋" w:cs="Helvetica Neue"/>
                <w:color w:val="181E18"/>
                <w:spacing w:val="0"/>
                <w:highlight w:val="none"/>
                <w:u w:color="173156"/>
                <w:lang w:val="en-US" w:eastAsia="zh-CN"/>
              </w:rPr>
              <w:t>7</w:t>
            </w:r>
          </w:p>
        </w:tc>
        <w:tc>
          <w:tcPr>
            <w:tcW w:w="5496" w:type="dxa"/>
            <w:gridSpan w:val="2"/>
            <w:vAlign w:val="center"/>
          </w:tcPr>
          <w:p w14:paraId="2442B4CC">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744" w:type="dxa"/>
          </w:tcPr>
          <w:p w14:paraId="67A11AB3">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744" w:type="dxa"/>
          </w:tcPr>
          <w:p w14:paraId="0665FC67">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1622" w:type="dxa"/>
          </w:tcPr>
          <w:p w14:paraId="1E3E54AB">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r>
      <w:tr w14:paraId="18DAF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66" w:type="dxa"/>
            <w:vAlign w:val="center"/>
          </w:tcPr>
          <w:p w14:paraId="6D79873E">
            <w:pPr>
              <w:autoSpaceDE w:val="0"/>
              <w:autoSpaceDN w:val="0"/>
              <w:adjustRightInd w:val="0"/>
              <w:spacing w:line="360" w:lineRule="auto"/>
              <w:jc w:val="center"/>
              <w:rPr>
                <w:rFonts w:hint="eastAsia" w:ascii="华文仿宋" w:hAnsi="华文仿宋" w:eastAsia="华文仿宋" w:cs="Helvetica Neue"/>
                <w:color w:val="181E18"/>
                <w:spacing w:val="0"/>
                <w:highlight w:val="none"/>
                <w:u w:color="173156"/>
                <w:lang w:eastAsia="zh-CN"/>
              </w:rPr>
            </w:pPr>
            <w:r>
              <w:rPr>
                <w:rFonts w:hint="eastAsia" w:ascii="华文仿宋" w:hAnsi="华文仿宋" w:eastAsia="华文仿宋" w:cs="Helvetica Neue"/>
                <w:color w:val="181E18"/>
                <w:spacing w:val="0"/>
                <w:highlight w:val="none"/>
                <w:u w:color="173156"/>
                <w:lang w:val="en-US" w:eastAsia="zh-CN"/>
              </w:rPr>
              <w:t>8</w:t>
            </w:r>
          </w:p>
        </w:tc>
        <w:tc>
          <w:tcPr>
            <w:tcW w:w="5496" w:type="dxa"/>
            <w:gridSpan w:val="2"/>
            <w:vAlign w:val="center"/>
          </w:tcPr>
          <w:p w14:paraId="63CDF1A9">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744" w:type="dxa"/>
          </w:tcPr>
          <w:p w14:paraId="3CEB7975">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744" w:type="dxa"/>
          </w:tcPr>
          <w:p w14:paraId="52AAC8D6">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1622" w:type="dxa"/>
          </w:tcPr>
          <w:p w14:paraId="2F4342C5">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r>
      <w:tr w14:paraId="45D24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66" w:type="dxa"/>
            <w:vAlign w:val="center"/>
          </w:tcPr>
          <w:p w14:paraId="012BECC9">
            <w:pPr>
              <w:autoSpaceDE w:val="0"/>
              <w:autoSpaceDN w:val="0"/>
              <w:adjustRightInd w:val="0"/>
              <w:spacing w:line="360" w:lineRule="auto"/>
              <w:jc w:val="center"/>
              <w:rPr>
                <w:rFonts w:hint="default" w:ascii="华文仿宋" w:hAnsi="华文仿宋" w:eastAsia="华文仿宋" w:cs="Helvetica Neue"/>
                <w:color w:val="181E18"/>
                <w:spacing w:val="0"/>
                <w:highlight w:val="none"/>
                <w:u w:color="173156"/>
                <w:lang w:val="en-US" w:eastAsia="zh-CN"/>
              </w:rPr>
            </w:pPr>
            <w:r>
              <w:rPr>
                <w:rFonts w:hint="eastAsia" w:ascii="华文仿宋" w:hAnsi="华文仿宋" w:eastAsia="华文仿宋" w:cs="Helvetica Neue"/>
                <w:color w:val="181E18"/>
                <w:spacing w:val="0"/>
                <w:highlight w:val="none"/>
                <w:u w:color="173156"/>
                <w:lang w:val="en-US" w:eastAsia="zh-CN"/>
              </w:rPr>
              <w:t>9</w:t>
            </w:r>
          </w:p>
        </w:tc>
        <w:tc>
          <w:tcPr>
            <w:tcW w:w="5496" w:type="dxa"/>
            <w:gridSpan w:val="2"/>
            <w:vAlign w:val="center"/>
          </w:tcPr>
          <w:p w14:paraId="0059AF88">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744" w:type="dxa"/>
          </w:tcPr>
          <w:p w14:paraId="5792D5E6">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744" w:type="dxa"/>
          </w:tcPr>
          <w:p w14:paraId="16D61791">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c>
          <w:tcPr>
            <w:tcW w:w="1622" w:type="dxa"/>
          </w:tcPr>
          <w:p w14:paraId="28687EC3">
            <w:pPr>
              <w:autoSpaceDE w:val="0"/>
              <w:autoSpaceDN w:val="0"/>
              <w:adjustRightInd w:val="0"/>
              <w:spacing w:line="360" w:lineRule="auto"/>
              <w:jc w:val="center"/>
              <w:rPr>
                <w:rFonts w:ascii="华文仿宋" w:hAnsi="华文仿宋" w:eastAsia="华文仿宋" w:cs="Helvetica Neue"/>
                <w:color w:val="181E18"/>
                <w:spacing w:val="0"/>
                <w:highlight w:val="none"/>
                <w:u w:color="173156"/>
              </w:rPr>
            </w:pPr>
          </w:p>
        </w:tc>
      </w:tr>
      <w:tr w14:paraId="18940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9072" w:type="dxa"/>
            <w:gridSpan w:val="6"/>
          </w:tcPr>
          <w:p w14:paraId="48DF66CA">
            <w:pPr>
              <w:autoSpaceDE w:val="0"/>
              <w:autoSpaceDN w:val="0"/>
              <w:adjustRightInd w:val="0"/>
              <w:jc w:val="both"/>
              <w:rPr>
                <w:rFonts w:hint="eastAsia" w:ascii="方正楷体_GB2312" w:hAnsi="方正楷体_GB2312" w:eastAsia="方正楷体_GB2312" w:cs="方正楷体_GB2312"/>
                <w:color w:val="181E18"/>
                <w:spacing w:val="0"/>
                <w:sz w:val="21"/>
                <w:szCs w:val="21"/>
                <w:highlight w:val="none"/>
                <w:u w:color="173156"/>
              </w:rPr>
            </w:pPr>
            <w:r>
              <w:rPr>
                <w:rFonts w:hint="eastAsia" w:ascii="方正楷体_GB2312" w:hAnsi="方正楷体_GB2312" w:eastAsia="方正楷体_GB2312" w:cs="方正楷体_GB2312"/>
                <w:b/>
                <w:bCs/>
                <w:color w:val="181E18"/>
                <w:spacing w:val="0"/>
                <w:sz w:val="21"/>
                <w:szCs w:val="21"/>
                <w:highlight w:val="none"/>
                <w:u w:color="173156"/>
              </w:rPr>
              <w:t>提交人声明：</w:t>
            </w:r>
            <w:r>
              <w:rPr>
                <w:rFonts w:hint="eastAsia" w:ascii="方正楷体_GB2312" w:hAnsi="方正楷体_GB2312" w:eastAsia="方正楷体_GB2312" w:cs="方正楷体_GB2312"/>
                <w:color w:val="181E18"/>
                <w:spacing w:val="0"/>
                <w:sz w:val="21"/>
                <w:szCs w:val="21"/>
                <w:highlight w:val="none"/>
                <w:u w:color="173156"/>
              </w:rPr>
              <w:t>本次提交的所有申报债权文件复印件与原件相一致，不存在变造、伪造等情形，否则愿意承担由此产生的法律责任。</w:t>
            </w:r>
          </w:p>
          <w:p w14:paraId="0EC83550">
            <w:pPr>
              <w:autoSpaceDE w:val="0"/>
              <w:autoSpaceDN w:val="0"/>
              <w:adjustRightInd w:val="0"/>
              <w:jc w:val="both"/>
              <w:rPr>
                <w:rFonts w:hint="eastAsia" w:ascii="方正楷体_GB2312" w:hAnsi="方正楷体_GB2312" w:eastAsia="方正楷体_GB2312" w:cs="方正楷体_GB2312"/>
                <w:color w:val="181E18"/>
                <w:spacing w:val="0"/>
                <w:sz w:val="21"/>
                <w:szCs w:val="21"/>
                <w:highlight w:val="none"/>
                <w:u w:color="173156"/>
              </w:rPr>
            </w:pPr>
            <w:r>
              <w:rPr>
                <w:rFonts w:hint="eastAsia" w:ascii="方正楷体_GB2312" w:hAnsi="方正楷体_GB2312" w:eastAsia="方正楷体_GB2312" w:cs="方正楷体_GB2312"/>
                <w:b/>
                <w:bCs/>
                <w:color w:val="181E18"/>
                <w:spacing w:val="0"/>
                <w:sz w:val="21"/>
                <w:szCs w:val="21"/>
                <w:highlight w:val="none"/>
                <w:u w:color="173156"/>
              </w:rPr>
              <w:t>签收人声明：</w:t>
            </w:r>
            <w:r>
              <w:rPr>
                <w:rFonts w:hint="eastAsia" w:ascii="方正楷体_GB2312" w:hAnsi="方正楷体_GB2312" w:eastAsia="方正楷体_GB2312" w:cs="方正楷体_GB2312"/>
                <w:color w:val="181E18"/>
                <w:spacing w:val="0"/>
                <w:sz w:val="21"/>
                <w:szCs w:val="21"/>
                <w:highlight w:val="none"/>
                <w:u w:color="173156"/>
              </w:rPr>
              <w:t>本次申报债权文件的签收并不代表签收人对其申报债权以及提交文件资料真实性、合法性及关联性的确认。</w:t>
            </w:r>
          </w:p>
        </w:tc>
      </w:tr>
    </w:tbl>
    <w:p w14:paraId="6AAC707D">
      <w:pPr>
        <w:autoSpaceDE w:val="0"/>
        <w:autoSpaceDN w:val="0"/>
        <w:adjustRightInd w:val="0"/>
        <w:jc w:val="both"/>
        <w:rPr>
          <w:rFonts w:hint="eastAsia" w:ascii="方正楷体_GB2312" w:hAnsi="方正楷体_GB2312" w:eastAsia="方正楷体_GB2312" w:cs="方正楷体_GB2312"/>
          <w:color w:val="181E18"/>
          <w:spacing w:val="0"/>
          <w:sz w:val="21"/>
          <w:szCs w:val="21"/>
          <w:highlight w:val="none"/>
          <w:u w:color="173156"/>
        </w:rPr>
      </w:pPr>
    </w:p>
    <w:p w14:paraId="1F2425C3">
      <w:pPr>
        <w:autoSpaceDE w:val="0"/>
        <w:autoSpaceDN w:val="0"/>
        <w:adjustRightInd w:val="0"/>
        <w:jc w:val="both"/>
        <w:rPr>
          <w:rFonts w:hint="eastAsia" w:ascii="方正楷体_GB2312" w:hAnsi="方正楷体_GB2312" w:eastAsia="方正楷体_GB2312" w:cs="方正楷体_GB2312"/>
          <w:color w:val="181E18"/>
          <w:spacing w:val="0"/>
          <w:sz w:val="21"/>
          <w:szCs w:val="21"/>
          <w:highlight w:val="none"/>
          <w:u w:color="173156"/>
        </w:rPr>
      </w:pPr>
      <w:r>
        <w:rPr>
          <w:rFonts w:hint="eastAsia" w:ascii="方正楷体_GB2312" w:hAnsi="方正楷体_GB2312" w:eastAsia="方正楷体_GB2312" w:cs="方正楷体_GB2312"/>
          <w:color w:val="181E18"/>
          <w:spacing w:val="0"/>
          <w:sz w:val="21"/>
          <w:szCs w:val="21"/>
          <w:highlight w:val="none"/>
          <w:u w:color="173156"/>
        </w:rPr>
        <w:t>提交人（签字或盖章）：　　　　　　　　　　　　　　　　　签收人（签字）：</w:t>
      </w:r>
    </w:p>
    <w:p w14:paraId="40BC8004">
      <w:pPr>
        <w:autoSpaceDE w:val="0"/>
        <w:autoSpaceDN w:val="0"/>
        <w:adjustRightInd w:val="0"/>
        <w:jc w:val="both"/>
        <w:rPr>
          <w:rFonts w:hint="eastAsia" w:ascii="方正楷体_GB2312" w:hAnsi="方正楷体_GB2312" w:eastAsia="方正楷体_GB2312" w:cs="方正楷体_GB2312"/>
          <w:color w:val="181E18"/>
          <w:spacing w:val="0"/>
          <w:sz w:val="21"/>
          <w:szCs w:val="21"/>
          <w:highlight w:val="none"/>
          <w:u w:color="173156"/>
        </w:rPr>
      </w:pPr>
    </w:p>
    <w:p w14:paraId="78B07BF3">
      <w:pPr>
        <w:autoSpaceDE w:val="0"/>
        <w:autoSpaceDN w:val="0"/>
        <w:adjustRightInd w:val="0"/>
        <w:jc w:val="both"/>
        <w:rPr>
          <w:rFonts w:hint="eastAsia" w:ascii="方正楷体_GB2312" w:hAnsi="方正楷体_GB2312" w:eastAsia="方正楷体_GB2312" w:cs="方正楷体_GB2312"/>
          <w:color w:val="181E18"/>
          <w:spacing w:val="0"/>
          <w:sz w:val="21"/>
          <w:szCs w:val="21"/>
          <w:highlight w:val="none"/>
          <w:u w:color="173156"/>
        </w:rPr>
      </w:pPr>
      <w:r>
        <w:rPr>
          <w:rFonts w:hint="eastAsia" w:ascii="方正楷体_GB2312" w:hAnsi="方正楷体_GB2312" w:eastAsia="方正楷体_GB2312" w:cs="方正楷体_GB2312"/>
          <w:color w:val="181E18"/>
          <w:spacing w:val="0"/>
          <w:sz w:val="21"/>
          <w:szCs w:val="21"/>
          <w:highlight w:val="none"/>
          <w:u w:color="173156"/>
        </w:rPr>
        <w:t>提交时间：　　　　　　　　　　　　　　　　　　　　　　　签收时间：</w:t>
      </w:r>
    </w:p>
    <w:p w14:paraId="7E952542">
      <w:pPr>
        <w:widowControl/>
        <w:jc w:val="center"/>
        <w:rPr>
          <w:rFonts w:hint="eastAsia" w:ascii="方正楷体_GB2312" w:hAnsi="方正楷体_GB2312" w:eastAsia="方正楷体_GB2312" w:cs="方正楷体_GB2312"/>
          <w:b/>
          <w:bCs/>
          <w:color w:val="181E18"/>
          <w:spacing w:val="0"/>
          <w:kern w:val="2"/>
          <w:sz w:val="21"/>
          <w:szCs w:val="21"/>
          <w:highlight w:val="none"/>
          <w:u w:color="173156"/>
          <w:lang w:val="en-US" w:eastAsia="zh-CN" w:bidi="ar-SA"/>
        </w:rPr>
      </w:pPr>
    </w:p>
    <w:p w14:paraId="6D1F5FD9">
      <w:pPr>
        <w:widowControl/>
        <w:jc w:val="center"/>
        <w:rPr>
          <w:rFonts w:hint="eastAsia" w:ascii="黑体" w:hAnsi="黑体" w:eastAsia="黑体" w:cs="黑体"/>
          <w:b/>
          <w:bCs/>
          <w:color w:val="181E18"/>
          <w:spacing w:val="0"/>
          <w:kern w:val="2"/>
          <w:sz w:val="36"/>
          <w:szCs w:val="36"/>
          <w:highlight w:val="none"/>
          <w:u w:color="173156"/>
          <w:lang w:val="en-US" w:eastAsia="zh-CN" w:bidi="ar-SA"/>
        </w:rPr>
      </w:pPr>
      <w:r>
        <w:rPr>
          <w:rFonts w:hint="eastAsia" w:ascii="黑体" w:hAnsi="黑体" w:eastAsia="黑体" w:cs="黑体"/>
          <w:b/>
          <w:bCs/>
          <w:color w:val="181E18"/>
          <w:spacing w:val="0"/>
          <w:kern w:val="2"/>
          <w:sz w:val="36"/>
          <w:szCs w:val="36"/>
          <w:highlight w:val="none"/>
          <w:u w:color="173156"/>
          <w:lang w:val="en-US" w:eastAsia="zh-CN" w:bidi="ar-SA"/>
        </w:rPr>
        <w:t>柘荣县亿利达机械制造有限公司破产清算案</w:t>
      </w:r>
    </w:p>
    <w:p w14:paraId="3712A489">
      <w:pPr>
        <w:widowControl/>
        <w:jc w:val="center"/>
        <w:rPr>
          <w:rFonts w:hint="eastAsia" w:ascii="黑体" w:hAnsi="黑体" w:eastAsia="黑体" w:cs="黑体"/>
          <w:b/>
          <w:bCs/>
          <w:spacing w:val="0"/>
          <w:sz w:val="36"/>
          <w:szCs w:val="36"/>
          <w:highlight w:val="none"/>
        </w:rPr>
      </w:pPr>
      <w:r>
        <w:rPr>
          <w:rFonts w:hint="eastAsia" w:ascii="黑体" w:hAnsi="黑体" w:eastAsia="黑体" w:cs="黑体"/>
          <w:b/>
          <w:bCs/>
          <w:color w:val="181E18"/>
          <w:spacing w:val="0"/>
          <w:kern w:val="2"/>
          <w:sz w:val="36"/>
          <w:szCs w:val="36"/>
          <w:highlight w:val="none"/>
          <w:u w:color="173156"/>
          <w:lang w:val="en-US" w:eastAsia="zh-CN" w:bidi="ar-SA"/>
        </w:rPr>
        <w:t>债权申报表</w:t>
      </w:r>
    </w:p>
    <w:p w14:paraId="01C164E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bCs/>
          <w:spacing w:val="0"/>
          <w:sz w:val="21"/>
          <w:szCs w:val="21"/>
          <w:highlight w:val="none"/>
        </w:rPr>
      </w:pPr>
      <w:r>
        <w:rPr>
          <w:rFonts w:hint="eastAsia" w:ascii="华文仿宋" w:hAnsi="华文仿宋" w:eastAsia="华文仿宋" w:cs="Helvetica Neue"/>
          <w:color w:val="181E18"/>
          <w:spacing w:val="0"/>
          <w:sz w:val="21"/>
          <w:szCs w:val="21"/>
          <w:highlight w:val="none"/>
          <w:u w:color="173156"/>
          <w:lang w:val="en-US" w:eastAsia="zh-CN"/>
        </w:rPr>
        <w:t xml:space="preserve">                                                        </w:t>
      </w:r>
      <w:r>
        <w:rPr>
          <w:rFonts w:hint="eastAsia" w:ascii="方正仿宋_GB2312" w:hAnsi="方正仿宋_GB2312" w:eastAsia="方正仿宋_GB2312" w:cs="方正仿宋_GB2312"/>
          <w:color w:val="181E18"/>
          <w:spacing w:val="0"/>
          <w:sz w:val="21"/>
          <w:szCs w:val="21"/>
          <w:highlight w:val="none"/>
          <w:u w:color="173156"/>
        </w:rPr>
        <w:t xml:space="preserve">债权申报编号【  </w:t>
      </w:r>
      <w:r>
        <w:rPr>
          <w:rFonts w:hint="eastAsia" w:ascii="方正仿宋_GB2312" w:hAnsi="方正仿宋_GB2312" w:eastAsia="方正仿宋_GB2312" w:cs="方正仿宋_GB2312"/>
          <w:color w:val="181E18"/>
          <w:spacing w:val="0"/>
          <w:sz w:val="21"/>
          <w:szCs w:val="21"/>
          <w:highlight w:val="none"/>
          <w:u w:color="173156"/>
          <w:lang w:val="en-US" w:eastAsia="zh-CN"/>
        </w:rPr>
        <w:t xml:space="preserve">       </w:t>
      </w:r>
      <w:r>
        <w:rPr>
          <w:rFonts w:hint="eastAsia" w:ascii="方正仿宋_GB2312" w:hAnsi="方正仿宋_GB2312" w:eastAsia="方正仿宋_GB2312" w:cs="方正仿宋_GB2312"/>
          <w:color w:val="181E18"/>
          <w:spacing w:val="0"/>
          <w:sz w:val="21"/>
          <w:szCs w:val="21"/>
          <w:highlight w:val="none"/>
          <w:u w:color="173156"/>
        </w:rPr>
        <w:t>】</w:t>
      </w:r>
    </w:p>
    <w:tbl>
      <w:tblPr>
        <w:tblStyle w:val="7"/>
        <w:tblW w:w="9158"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114"/>
        <w:gridCol w:w="1972"/>
        <w:gridCol w:w="2254"/>
        <w:gridCol w:w="2114"/>
      </w:tblGrid>
      <w:tr w14:paraId="4B6B0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704" w:type="dxa"/>
            <w:vMerge w:val="restart"/>
          </w:tcPr>
          <w:p w14:paraId="75826BBC">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p>
          <w:p w14:paraId="5F1D02EA">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债权人基本情况</w:t>
            </w:r>
          </w:p>
        </w:tc>
        <w:tc>
          <w:tcPr>
            <w:tcW w:w="2114" w:type="dxa"/>
            <w:vAlign w:val="center"/>
          </w:tcPr>
          <w:p w14:paraId="59F3D66C">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姓名/名称</w:t>
            </w:r>
          </w:p>
        </w:tc>
        <w:tc>
          <w:tcPr>
            <w:tcW w:w="1972" w:type="dxa"/>
          </w:tcPr>
          <w:p w14:paraId="022FDE3B">
            <w:pPr>
              <w:autoSpaceDE w:val="0"/>
              <w:autoSpaceDN w:val="0"/>
              <w:adjustRightInd w:val="0"/>
              <w:spacing w:line="360" w:lineRule="auto"/>
              <w:jc w:val="center"/>
              <w:rPr>
                <w:rFonts w:hint="eastAsia" w:ascii="方正仿宋_GB2312" w:hAnsi="方正仿宋_GB2312" w:eastAsia="方正仿宋_GB2312" w:cs="方正仿宋_GB2312"/>
                <w:color w:val="181E18"/>
                <w:spacing w:val="0"/>
                <w:sz w:val="21"/>
                <w:szCs w:val="21"/>
                <w:highlight w:val="none"/>
                <w:u w:color="173156"/>
              </w:rPr>
            </w:pPr>
          </w:p>
        </w:tc>
        <w:tc>
          <w:tcPr>
            <w:tcW w:w="2254" w:type="dxa"/>
            <w:vAlign w:val="center"/>
          </w:tcPr>
          <w:p w14:paraId="600A0788">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身份证/社会信用代码</w:t>
            </w:r>
          </w:p>
        </w:tc>
        <w:tc>
          <w:tcPr>
            <w:tcW w:w="2114" w:type="dxa"/>
          </w:tcPr>
          <w:p w14:paraId="658A5082">
            <w:pPr>
              <w:autoSpaceDE w:val="0"/>
              <w:autoSpaceDN w:val="0"/>
              <w:adjustRightInd w:val="0"/>
              <w:spacing w:line="360" w:lineRule="auto"/>
              <w:jc w:val="center"/>
              <w:rPr>
                <w:rFonts w:hint="eastAsia" w:ascii="方正仿宋_GB2312" w:hAnsi="方正仿宋_GB2312" w:eastAsia="方正仿宋_GB2312" w:cs="方正仿宋_GB2312"/>
                <w:color w:val="181E18"/>
                <w:spacing w:val="0"/>
                <w:sz w:val="21"/>
                <w:szCs w:val="21"/>
                <w:highlight w:val="none"/>
                <w:u w:color="173156"/>
              </w:rPr>
            </w:pPr>
          </w:p>
        </w:tc>
      </w:tr>
      <w:tr w14:paraId="29F6C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04" w:type="dxa"/>
            <w:vMerge w:val="continue"/>
          </w:tcPr>
          <w:p w14:paraId="2E7A4179">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p>
        </w:tc>
        <w:tc>
          <w:tcPr>
            <w:tcW w:w="2114" w:type="dxa"/>
          </w:tcPr>
          <w:p w14:paraId="5AF9DF8D">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法定代表人</w:t>
            </w:r>
          </w:p>
          <w:p w14:paraId="1D4ACE1A">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（负责人）</w:t>
            </w:r>
          </w:p>
        </w:tc>
        <w:tc>
          <w:tcPr>
            <w:tcW w:w="1972" w:type="dxa"/>
          </w:tcPr>
          <w:p w14:paraId="565D32BE">
            <w:pPr>
              <w:autoSpaceDE w:val="0"/>
              <w:autoSpaceDN w:val="0"/>
              <w:adjustRightInd w:val="0"/>
              <w:spacing w:line="360" w:lineRule="auto"/>
              <w:jc w:val="center"/>
              <w:rPr>
                <w:rFonts w:hint="eastAsia" w:ascii="方正仿宋_GB2312" w:hAnsi="方正仿宋_GB2312" w:eastAsia="方正仿宋_GB2312" w:cs="方正仿宋_GB2312"/>
                <w:color w:val="181E18"/>
                <w:spacing w:val="0"/>
                <w:sz w:val="21"/>
                <w:szCs w:val="21"/>
                <w:highlight w:val="none"/>
                <w:u w:color="173156"/>
              </w:rPr>
            </w:pPr>
          </w:p>
        </w:tc>
        <w:tc>
          <w:tcPr>
            <w:tcW w:w="2254" w:type="dxa"/>
            <w:vAlign w:val="center"/>
          </w:tcPr>
          <w:p w14:paraId="78EF30EF">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联系电话</w:t>
            </w:r>
          </w:p>
        </w:tc>
        <w:tc>
          <w:tcPr>
            <w:tcW w:w="2114" w:type="dxa"/>
          </w:tcPr>
          <w:p w14:paraId="5219464D">
            <w:pPr>
              <w:autoSpaceDE w:val="0"/>
              <w:autoSpaceDN w:val="0"/>
              <w:adjustRightInd w:val="0"/>
              <w:spacing w:line="360" w:lineRule="auto"/>
              <w:jc w:val="center"/>
              <w:rPr>
                <w:rFonts w:hint="eastAsia" w:ascii="方正仿宋_GB2312" w:hAnsi="方正仿宋_GB2312" w:eastAsia="方正仿宋_GB2312" w:cs="方正仿宋_GB2312"/>
                <w:color w:val="181E18"/>
                <w:spacing w:val="0"/>
                <w:sz w:val="21"/>
                <w:szCs w:val="21"/>
                <w:highlight w:val="none"/>
                <w:u w:color="173156"/>
              </w:rPr>
            </w:pPr>
          </w:p>
        </w:tc>
      </w:tr>
      <w:tr w14:paraId="37143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04" w:type="dxa"/>
            <w:vMerge w:val="continue"/>
          </w:tcPr>
          <w:p w14:paraId="41DE3D6E">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p>
        </w:tc>
        <w:tc>
          <w:tcPr>
            <w:tcW w:w="2114" w:type="dxa"/>
            <w:vAlign w:val="center"/>
          </w:tcPr>
          <w:p w14:paraId="1E34E2D6">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代理人姓名</w:t>
            </w:r>
          </w:p>
        </w:tc>
        <w:tc>
          <w:tcPr>
            <w:tcW w:w="1972" w:type="dxa"/>
          </w:tcPr>
          <w:p w14:paraId="084DF9DC">
            <w:pPr>
              <w:autoSpaceDE w:val="0"/>
              <w:autoSpaceDN w:val="0"/>
              <w:adjustRightInd w:val="0"/>
              <w:spacing w:line="360" w:lineRule="auto"/>
              <w:jc w:val="center"/>
              <w:rPr>
                <w:rFonts w:hint="eastAsia" w:ascii="方正仿宋_GB2312" w:hAnsi="方正仿宋_GB2312" w:eastAsia="方正仿宋_GB2312" w:cs="方正仿宋_GB2312"/>
                <w:color w:val="181E18"/>
                <w:spacing w:val="0"/>
                <w:sz w:val="21"/>
                <w:szCs w:val="21"/>
                <w:highlight w:val="none"/>
                <w:u w:color="173156"/>
              </w:rPr>
            </w:pPr>
          </w:p>
        </w:tc>
        <w:tc>
          <w:tcPr>
            <w:tcW w:w="2254" w:type="dxa"/>
            <w:vAlign w:val="center"/>
          </w:tcPr>
          <w:p w14:paraId="2B195230">
            <w:pPr>
              <w:autoSpaceDE w:val="0"/>
              <w:autoSpaceDN w:val="0"/>
              <w:adjustRightInd w:val="0"/>
              <w:spacing w:line="360" w:lineRule="auto"/>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联系电话</w:t>
            </w:r>
          </w:p>
        </w:tc>
        <w:tc>
          <w:tcPr>
            <w:tcW w:w="2114" w:type="dxa"/>
          </w:tcPr>
          <w:p w14:paraId="4931ED65">
            <w:pPr>
              <w:autoSpaceDE w:val="0"/>
              <w:autoSpaceDN w:val="0"/>
              <w:adjustRightInd w:val="0"/>
              <w:spacing w:line="360" w:lineRule="auto"/>
              <w:jc w:val="center"/>
              <w:rPr>
                <w:rFonts w:hint="eastAsia" w:ascii="方正仿宋_GB2312" w:hAnsi="方正仿宋_GB2312" w:eastAsia="方正仿宋_GB2312" w:cs="方正仿宋_GB2312"/>
                <w:color w:val="181E18"/>
                <w:spacing w:val="0"/>
                <w:sz w:val="21"/>
                <w:szCs w:val="21"/>
                <w:highlight w:val="none"/>
                <w:u w:color="173156"/>
              </w:rPr>
            </w:pPr>
          </w:p>
        </w:tc>
      </w:tr>
      <w:tr w14:paraId="751E4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04" w:type="dxa"/>
            <w:vMerge w:val="continue"/>
          </w:tcPr>
          <w:p w14:paraId="15449938">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p>
        </w:tc>
        <w:tc>
          <w:tcPr>
            <w:tcW w:w="2114" w:type="dxa"/>
            <w:vAlign w:val="center"/>
          </w:tcPr>
          <w:p w14:paraId="142E57E1">
            <w:pPr>
              <w:autoSpaceDE w:val="0"/>
              <w:autoSpaceDN w:val="0"/>
              <w:adjustRightInd w:val="0"/>
              <w:spacing w:line="360" w:lineRule="auto"/>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联系地址</w:t>
            </w:r>
          </w:p>
        </w:tc>
        <w:tc>
          <w:tcPr>
            <w:tcW w:w="6340" w:type="dxa"/>
            <w:gridSpan w:val="3"/>
          </w:tcPr>
          <w:p w14:paraId="6B58BCB3">
            <w:pPr>
              <w:autoSpaceDE w:val="0"/>
              <w:autoSpaceDN w:val="0"/>
              <w:adjustRightInd w:val="0"/>
              <w:spacing w:line="360" w:lineRule="auto"/>
              <w:jc w:val="center"/>
              <w:rPr>
                <w:rFonts w:hint="eastAsia" w:ascii="方正仿宋_GB2312" w:hAnsi="方正仿宋_GB2312" w:eastAsia="方正仿宋_GB2312" w:cs="方正仿宋_GB2312"/>
                <w:color w:val="181E18"/>
                <w:spacing w:val="0"/>
                <w:sz w:val="21"/>
                <w:szCs w:val="21"/>
                <w:highlight w:val="none"/>
                <w:u w:color="173156"/>
              </w:rPr>
            </w:pPr>
          </w:p>
        </w:tc>
      </w:tr>
      <w:tr w14:paraId="0C006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704" w:type="dxa"/>
            <w:vMerge w:val="restart"/>
          </w:tcPr>
          <w:p w14:paraId="0A3A212D">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p>
          <w:p w14:paraId="16BEC241">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申报债权数额</w:t>
            </w:r>
          </w:p>
        </w:tc>
        <w:tc>
          <w:tcPr>
            <w:tcW w:w="2114" w:type="dxa"/>
            <w:vAlign w:val="center"/>
          </w:tcPr>
          <w:p w14:paraId="17D07049">
            <w:pPr>
              <w:autoSpaceDE w:val="0"/>
              <w:autoSpaceDN w:val="0"/>
              <w:adjustRightInd w:val="0"/>
              <w:spacing w:line="360" w:lineRule="auto"/>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本金</w:t>
            </w:r>
          </w:p>
        </w:tc>
        <w:tc>
          <w:tcPr>
            <w:tcW w:w="6340" w:type="dxa"/>
            <w:gridSpan w:val="3"/>
            <w:vAlign w:val="center"/>
          </w:tcPr>
          <w:p w14:paraId="30EEE868">
            <w:pPr>
              <w:autoSpaceDE w:val="0"/>
              <w:autoSpaceDN w:val="0"/>
              <w:adjustRightInd w:val="0"/>
              <w:spacing w:line="360" w:lineRule="auto"/>
              <w:jc w:val="both"/>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　　　　　　　　　　　　　大写：</w:t>
            </w:r>
          </w:p>
        </w:tc>
      </w:tr>
      <w:tr w14:paraId="4CE37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704" w:type="dxa"/>
            <w:vMerge w:val="continue"/>
          </w:tcPr>
          <w:p w14:paraId="4A54AD33">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p>
        </w:tc>
        <w:tc>
          <w:tcPr>
            <w:tcW w:w="2114" w:type="dxa"/>
            <w:vAlign w:val="center"/>
          </w:tcPr>
          <w:p w14:paraId="51551AC5">
            <w:pPr>
              <w:autoSpaceDE w:val="0"/>
              <w:autoSpaceDN w:val="0"/>
              <w:adjustRightInd w:val="0"/>
              <w:spacing w:line="360" w:lineRule="auto"/>
              <w:jc w:val="center"/>
              <w:rPr>
                <w:rFonts w:hint="eastAsia" w:ascii="方正仿宋_GB2312" w:hAnsi="方正仿宋_GB2312" w:eastAsia="方正仿宋_GB2312" w:cs="方正仿宋_GB2312"/>
                <w:color w:val="181E18"/>
                <w:spacing w:val="0"/>
                <w:sz w:val="21"/>
                <w:szCs w:val="21"/>
                <w:highlight w:val="none"/>
                <w:u w:color="173156"/>
                <w:lang w:eastAsia="zh-CN"/>
              </w:rPr>
            </w:pPr>
            <w:r>
              <w:rPr>
                <w:rFonts w:hint="eastAsia" w:ascii="方正仿宋_GB2312" w:hAnsi="方正仿宋_GB2312" w:eastAsia="方正仿宋_GB2312" w:cs="方正仿宋_GB2312"/>
                <w:color w:val="181E18"/>
                <w:spacing w:val="0"/>
                <w:sz w:val="21"/>
                <w:szCs w:val="21"/>
                <w:highlight w:val="none"/>
                <w:u w:color="173156"/>
              </w:rPr>
              <w:t>利息等孳息债权</w:t>
            </w:r>
          </w:p>
        </w:tc>
        <w:tc>
          <w:tcPr>
            <w:tcW w:w="6340" w:type="dxa"/>
            <w:gridSpan w:val="3"/>
            <w:vAlign w:val="center"/>
          </w:tcPr>
          <w:p w14:paraId="5574E06B">
            <w:pPr>
              <w:autoSpaceDE w:val="0"/>
              <w:autoSpaceDN w:val="0"/>
              <w:adjustRightInd w:val="0"/>
              <w:spacing w:line="360" w:lineRule="auto"/>
              <w:jc w:val="both"/>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　　　　　　　　　　　　　大写：</w:t>
            </w:r>
          </w:p>
        </w:tc>
      </w:tr>
      <w:tr w14:paraId="0F353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704" w:type="dxa"/>
            <w:vMerge w:val="continue"/>
          </w:tcPr>
          <w:p w14:paraId="62B8BD97">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p>
        </w:tc>
        <w:tc>
          <w:tcPr>
            <w:tcW w:w="2114" w:type="dxa"/>
            <w:vAlign w:val="center"/>
          </w:tcPr>
          <w:p w14:paraId="73547793">
            <w:pPr>
              <w:autoSpaceDE w:val="0"/>
              <w:autoSpaceDN w:val="0"/>
              <w:adjustRightInd w:val="0"/>
              <w:spacing w:line="360" w:lineRule="auto"/>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其他损失债权</w:t>
            </w:r>
          </w:p>
        </w:tc>
        <w:tc>
          <w:tcPr>
            <w:tcW w:w="6340" w:type="dxa"/>
            <w:gridSpan w:val="3"/>
            <w:vAlign w:val="center"/>
          </w:tcPr>
          <w:p w14:paraId="147CEF0D">
            <w:pPr>
              <w:autoSpaceDE w:val="0"/>
              <w:autoSpaceDN w:val="0"/>
              <w:adjustRightInd w:val="0"/>
              <w:spacing w:line="360" w:lineRule="auto"/>
              <w:jc w:val="both"/>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　　　　　　　　　　　　　大写：</w:t>
            </w:r>
          </w:p>
        </w:tc>
      </w:tr>
      <w:tr w14:paraId="613D3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704" w:type="dxa"/>
            <w:vMerge w:val="continue"/>
          </w:tcPr>
          <w:p w14:paraId="392286E0">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p>
        </w:tc>
        <w:tc>
          <w:tcPr>
            <w:tcW w:w="2114" w:type="dxa"/>
            <w:vAlign w:val="center"/>
          </w:tcPr>
          <w:p w14:paraId="39D7CD5F">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总额</w:t>
            </w:r>
          </w:p>
        </w:tc>
        <w:tc>
          <w:tcPr>
            <w:tcW w:w="6340" w:type="dxa"/>
            <w:gridSpan w:val="3"/>
            <w:vAlign w:val="center"/>
          </w:tcPr>
          <w:p w14:paraId="02A7967A">
            <w:pPr>
              <w:autoSpaceDE w:val="0"/>
              <w:autoSpaceDN w:val="0"/>
              <w:adjustRightInd w:val="0"/>
              <w:jc w:val="both"/>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　　　　　　　　　　　　　大写：</w:t>
            </w:r>
          </w:p>
        </w:tc>
      </w:tr>
      <w:tr w14:paraId="50805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704" w:type="dxa"/>
            <w:vMerge w:val="restart"/>
            <w:vAlign w:val="center"/>
          </w:tcPr>
          <w:p w14:paraId="1A963099">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财产担保情况</w:t>
            </w:r>
          </w:p>
        </w:tc>
        <w:tc>
          <w:tcPr>
            <w:tcW w:w="2114" w:type="dxa"/>
            <w:vAlign w:val="center"/>
          </w:tcPr>
          <w:p w14:paraId="74A60E75">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有无特定财产担保</w:t>
            </w:r>
          </w:p>
        </w:tc>
        <w:tc>
          <w:tcPr>
            <w:tcW w:w="1972" w:type="dxa"/>
            <w:vAlign w:val="center"/>
          </w:tcPr>
          <w:p w14:paraId="40FE4DDE">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□有　　　□无</w:t>
            </w:r>
          </w:p>
        </w:tc>
        <w:tc>
          <w:tcPr>
            <w:tcW w:w="2254" w:type="dxa"/>
            <w:vAlign w:val="center"/>
          </w:tcPr>
          <w:p w14:paraId="2BF37F5F">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担保金额</w:t>
            </w:r>
          </w:p>
        </w:tc>
        <w:tc>
          <w:tcPr>
            <w:tcW w:w="2114" w:type="dxa"/>
          </w:tcPr>
          <w:p w14:paraId="16FD88C5">
            <w:pPr>
              <w:autoSpaceDE w:val="0"/>
              <w:autoSpaceDN w:val="0"/>
              <w:adjustRightInd w:val="0"/>
              <w:spacing w:line="360" w:lineRule="auto"/>
              <w:jc w:val="center"/>
              <w:rPr>
                <w:rFonts w:hint="eastAsia" w:ascii="方正仿宋_GB2312" w:hAnsi="方正仿宋_GB2312" w:eastAsia="方正仿宋_GB2312" w:cs="方正仿宋_GB2312"/>
                <w:color w:val="181E18"/>
                <w:spacing w:val="0"/>
                <w:sz w:val="21"/>
                <w:szCs w:val="21"/>
                <w:highlight w:val="none"/>
                <w:u w:color="173156"/>
              </w:rPr>
            </w:pPr>
          </w:p>
        </w:tc>
      </w:tr>
      <w:tr w14:paraId="62DC0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704" w:type="dxa"/>
            <w:vMerge w:val="continue"/>
          </w:tcPr>
          <w:p w14:paraId="2DBD822D">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p>
        </w:tc>
        <w:tc>
          <w:tcPr>
            <w:tcW w:w="2114" w:type="dxa"/>
            <w:vAlign w:val="center"/>
          </w:tcPr>
          <w:p w14:paraId="29709778">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财产担保方式</w:t>
            </w:r>
          </w:p>
        </w:tc>
        <w:tc>
          <w:tcPr>
            <w:tcW w:w="6340" w:type="dxa"/>
            <w:gridSpan w:val="3"/>
            <w:vAlign w:val="center"/>
          </w:tcPr>
          <w:p w14:paraId="35CE47B3">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□抵押　　　　　□质押　　　　　□留置</w:t>
            </w:r>
          </w:p>
        </w:tc>
      </w:tr>
      <w:tr w14:paraId="1494E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704" w:type="dxa"/>
            <w:vMerge w:val="continue"/>
          </w:tcPr>
          <w:p w14:paraId="26FC2F60">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p>
        </w:tc>
        <w:tc>
          <w:tcPr>
            <w:tcW w:w="2114" w:type="dxa"/>
            <w:vAlign w:val="center"/>
          </w:tcPr>
          <w:p w14:paraId="1F36FDB7">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担保财产及担保金额</w:t>
            </w:r>
          </w:p>
        </w:tc>
        <w:tc>
          <w:tcPr>
            <w:tcW w:w="6340" w:type="dxa"/>
            <w:gridSpan w:val="3"/>
          </w:tcPr>
          <w:p w14:paraId="7D57A181">
            <w:pPr>
              <w:autoSpaceDE w:val="0"/>
              <w:autoSpaceDN w:val="0"/>
              <w:adjustRightInd w:val="0"/>
              <w:spacing w:line="360" w:lineRule="auto"/>
              <w:jc w:val="center"/>
              <w:rPr>
                <w:rFonts w:hint="eastAsia" w:ascii="方正仿宋_GB2312" w:hAnsi="方正仿宋_GB2312" w:eastAsia="方正仿宋_GB2312" w:cs="方正仿宋_GB2312"/>
                <w:color w:val="181E18"/>
                <w:spacing w:val="0"/>
                <w:sz w:val="21"/>
                <w:szCs w:val="21"/>
                <w:highlight w:val="none"/>
                <w:u w:color="173156"/>
              </w:rPr>
            </w:pPr>
          </w:p>
        </w:tc>
      </w:tr>
      <w:tr w14:paraId="51ED2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2818" w:type="dxa"/>
            <w:gridSpan w:val="2"/>
            <w:vAlign w:val="center"/>
          </w:tcPr>
          <w:p w14:paraId="0987AE95">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是否连带债务人</w:t>
            </w:r>
          </w:p>
        </w:tc>
        <w:tc>
          <w:tcPr>
            <w:tcW w:w="6340" w:type="dxa"/>
            <w:gridSpan w:val="3"/>
            <w:vAlign w:val="center"/>
          </w:tcPr>
          <w:p w14:paraId="24B06BCD">
            <w:pPr>
              <w:autoSpaceDE w:val="0"/>
              <w:autoSpaceDN w:val="0"/>
              <w:adjustRightInd w:val="0"/>
              <w:spacing w:line="360" w:lineRule="auto"/>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□有　　　　　□否</w:t>
            </w:r>
          </w:p>
        </w:tc>
      </w:tr>
      <w:tr w14:paraId="2B7E4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2818" w:type="dxa"/>
            <w:gridSpan w:val="2"/>
            <w:vAlign w:val="center"/>
          </w:tcPr>
          <w:p w14:paraId="6AB35400">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是否属连带债权人</w:t>
            </w:r>
          </w:p>
        </w:tc>
        <w:tc>
          <w:tcPr>
            <w:tcW w:w="6340" w:type="dxa"/>
            <w:gridSpan w:val="3"/>
            <w:vAlign w:val="center"/>
          </w:tcPr>
          <w:p w14:paraId="79871E99">
            <w:pPr>
              <w:autoSpaceDE w:val="0"/>
              <w:autoSpaceDN w:val="0"/>
              <w:adjustRightInd w:val="0"/>
              <w:spacing w:line="360" w:lineRule="auto"/>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□有　　　　　□否</w:t>
            </w:r>
          </w:p>
        </w:tc>
      </w:tr>
      <w:tr w14:paraId="7974F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818" w:type="dxa"/>
            <w:gridSpan w:val="2"/>
            <w:vMerge w:val="restart"/>
            <w:vAlign w:val="center"/>
          </w:tcPr>
          <w:p w14:paraId="68E3AEA4">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债权涉诉（仲裁）情况</w:t>
            </w:r>
          </w:p>
        </w:tc>
        <w:tc>
          <w:tcPr>
            <w:tcW w:w="1972" w:type="dxa"/>
            <w:vAlign w:val="center"/>
          </w:tcPr>
          <w:p w14:paraId="7BCE8912">
            <w:pPr>
              <w:autoSpaceDE w:val="0"/>
              <w:autoSpaceDN w:val="0"/>
              <w:adjustRightInd w:val="0"/>
              <w:spacing w:line="360" w:lineRule="auto"/>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有无涉诉（仲裁）</w:t>
            </w:r>
          </w:p>
        </w:tc>
        <w:tc>
          <w:tcPr>
            <w:tcW w:w="4368" w:type="dxa"/>
            <w:gridSpan w:val="2"/>
            <w:vAlign w:val="center"/>
          </w:tcPr>
          <w:p w14:paraId="61E98FF7">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□有　　　　　□无</w:t>
            </w:r>
          </w:p>
        </w:tc>
      </w:tr>
      <w:tr w14:paraId="3586D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818" w:type="dxa"/>
            <w:gridSpan w:val="2"/>
            <w:vMerge w:val="continue"/>
          </w:tcPr>
          <w:p w14:paraId="770F8900">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p>
        </w:tc>
        <w:tc>
          <w:tcPr>
            <w:tcW w:w="1972" w:type="dxa"/>
            <w:vAlign w:val="center"/>
          </w:tcPr>
          <w:p w14:paraId="0BCF351F">
            <w:pPr>
              <w:autoSpaceDE w:val="0"/>
              <w:autoSpaceDN w:val="0"/>
              <w:adjustRightInd w:val="0"/>
              <w:spacing w:line="360" w:lineRule="auto"/>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有无生效裁判文书</w:t>
            </w:r>
          </w:p>
        </w:tc>
        <w:tc>
          <w:tcPr>
            <w:tcW w:w="4368" w:type="dxa"/>
            <w:gridSpan w:val="2"/>
            <w:vAlign w:val="center"/>
          </w:tcPr>
          <w:p w14:paraId="373101CD">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□有　　　　　□无</w:t>
            </w:r>
          </w:p>
        </w:tc>
      </w:tr>
      <w:tr w14:paraId="2086B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2818" w:type="dxa"/>
            <w:gridSpan w:val="2"/>
            <w:vMerge w:val="continue"/>
          </w:tcPr>
          <w:p w14:paraId="41A4C346">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p>
        </w:tc>
        <w:tc>
          <w:tcPr>
            <w:tcW w:w="1972" w:type="dxa"/>
            <w:vAlign w:val="center"/>
          </w:tcPr>
          <w:p w14:paraId="2978490E">
            <w:pPr>
              <w:autoSpaceDE w:val="0"/>
              <w:autoSpaceDN w:val="0"/>
              <w:adjustRightInd w:val="0"/>
              <w:spacing w:line="360" w:lineRule="auto"/>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是否已申请执行</w:t>
            </w:r>
          </w:p>
        </w:tc>
        <w:tc>
          <w:tcPr>
            <w:tcW w:w="4368" w:type="dxa"/>
            <w:gridSpan w:val="2"/>
            <w:vAlign w:val="center"/>
          </w:tcPr>
          <w:p w14:paraId="7958EA32">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□有　　　　　□否</w:t>
            </w:r>
          </w:p>
        </w:tc>
      </w:tr>
      <w:tr w14:paraId="15799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2818" w:type="dxa"/>
            <w:gridSpan w:val="2"/>
            <w:vMerge w:val="continue"/>
          </w:tcPr>
          <w:p w14:paraId="145D5B1A">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p>
        </w:tc>
        <w:tc>
          <w:tcPr>
            <w:tcW w:w="1972" w:type="dxa"/>
            <w:vAlign w:val="center"/>
          </w:tcPr>
          <w:p w14:paraId="2FFB77CC">
            <w:pPr>
              <w:autoSpaceDE w:val="0"/>
              <w:autoSpaceDN w:val="0"/>
              <w:adjustRightInd w:val="0"/>
              <w:spacing w:line="360" w:lineRule="auto"/>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已清偿的金额</w:t>
            </w:r>
          </w:p>
        </w:tc>
        <w:tc>
          <w:tcPr>
            <w:tcW w:w="4368" w:type="dxa"/>
            <w:gridSpan w:val="2"/>
            <w:vAlign w:val="center"/>
          </w:tcPr>
          <w:p w14:paraId="20E0D248">
            <w:pPr>
              <w:autoSpaceDE w:val="0"/>
              <w:autoSpaceDN w:val="0"/>
              <w:adjustRightInd w:val="0"/>
              <w:spacing w:line="360" w:lineRule="auto"/>
              <w:jc w:val="center"/>
              <w:rPr>
                <w:rFonts w:hint="eastAsia" w:ascii="方正仿宋_GB2312" w:hAnsi="方正仿宋_GB2312" w:eastAsia="方正仿宋_GB2312" w:cs="方正仿宋_GB2312"/>
                <w:color w:val="181E18"/>
                <w:spacing w:val="0"/>
                <w:sz w:val="21"/>
                <w:szCs w:val="21"/>
                <w:highlight w:val="none"/>
                <w:u w:color="173156"/>
              </w:rPr>
            </w:pPr>
          </w:p>
        </w:tc>
      </w:tr>
      <w:tr w14:paraId="40D40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2818" w:type="dxa"/>
            <w:gridSpan w:val="2"/>
            <w:vAlign w:val="center"/>
          </w:tcPr>
          <w:p w14:paraId="5D5C54A8">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基本事实</w:t>
            </w:r>
          </w:p>
          <w:p w14:paraId="64A1EBCC">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（债权内容）</w:t>
            </w:r>
          </w:p>
        </w:tc>
        <w:tc>
          <w:tcPr>
            <w:tcW w:w="6340" w:type="dxa"/>
            <w:gridSpan w:val="3"/>
          </w:tcPr>
          <w:p w14:paraId="3F4A1706">
            <w:pPr>
              <w:autoSpaceDE w:val="0"/>
              <w:autoSpaceDN w:val="0"/>
              <w:adjustRightInd w:val="0"/>
              <w:jc w:val="both"/>
              <w:rPr>
                <w:rFonts w:hint="eastAsia" w:ascii="方正仿宋_GB2312" w:hAnsi="方正仿宋_GB2312" w:eastAsia="方正仿宋_GB2312" w:cs="方正仿宋_GB2312"/>
                <w:color w:val="181E18"/>
                <w:spacing w:val="0"/>
                <w:sz w:val="21"/>
                <w:szCs w:val="21"/>
                <w:highlight w:val="none"/>
                <w:u w:color="173156"/>
              </w:rPr>
            </w:pPr>
          </w:p>
          <w:p w14:paraId="52AE646B">
            <w:pPr>
              <w:autoSpaceDE w:val="0"/>
              <w:autoSpaceDN w:val="0"/>
              <w:adjustRightInd w:val="0"/>
              <w:rPr>
                <w:rFonts w:hint="eastAsia" w:ascii="方正仿宋_GB2312" w:hAnsi="方正仿宋_GB2312" w:eastAsia="方正仿宋_GB2312" w:cs="方正仿宋_GB2312"/>
                <w:color w:val="181E18"/>
                <w:spacing w:val="0"/>
                <w:sz w:val="21"/>
                <w:szCs w:val="21"/>
                <w:highlight w:val="none"/>
                <w:u w:color="173156"/>
              </w:rPr>
            </w:pPr>
          </w:p>
          <w:p w14:paraId="7FFDB780">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p>
          <w:p w14:paraId="3A61A136">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（不够填写时可另附页）</w:t>
            </w:r>
          </w:p>
        </w:tc>
      </w:tr>
      <w:tr w14:paraId="19341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trPr>
        <w:tc>
          <w:tcPr>
            <w:tcW w:w="2818" w:type="dxa"/>
            <w:gridSpan w:val="2"/>
            <w:vAlign w:val="center"/>
          </w:tcPr>
          <w:p w14:paraId="6DE5C626">
            <w:pPr>
              <w:autoSpaceDE w:val="0"/>
              <w:autoSpaceDN w:val="0"/>
              <w:adjustRightInd w:val="0"/>
              <w:jc w:val="center"/>
              <w:rPr>
                <w:rFonts w:hint="eastAsia" w:ascii="方正仿宋_GB2312" w:hAnsi="方正仿宋_GB2312" w:eastAsia="方正仿宋_GB2312" w:cs="方正仿宋_GB2312"/>
                <w:color w:val="181E18"/>
                <w:spacing w:val="0"/>
                <w:sz w:val="21"/>
                <w:szCs w:val="21"/>
                <w:highlight w:val="none"/>
                <w:u w:color="173156"/>
              </w:rPr>
            </w:pPr>
            <w:r>
              <w:rPr>
                <w:rFonts w:hint="eastAsia" w:ascii="方正仿宋_GB2312" w:hAnsi="方正仿宋_GB2312" w:eastAsia="方正仿宋_GB2312" w:cs="方正仿宋_GB2312"/>
                <w:color w:val="181E18"/>
                <w:spacing w:val="0"/>
                <w:sz w:val="21"/>
                <w:szCs w:val="21"/>
                <w:highlight w:val="none"/>
                <w:u w:color="173156"/>
              </w:rPr>
              <w:t>备注</w:t>
            </w:r>
          </w:p>
        </w:tc>
        <w:tc>
          <w:tcPr>
            <w:tcW w:w="6340" w:type="dxa"/>
            <w:gridSpan w:val="3"/>
            <w:vAlign w:val="center"/>
          </w:tcPr>
          <w:p w14:paraId="1277E0F7">
            <w:pPr>
              <w:pStyle w:val="11"/>
              <w:widowControl/>
              <w:numPr>
                <w:ilvl w:val="0"/>
                <w:numId w:val="0"/>
              </w:numPr>
              <w:autoSpaceDE w:val="0"/>
              <w:autoSpaceDN w:val="0"/>
              <w:adjustRightInd w:val="0"/>
              <w:ind w:leftChars="0"/>
              <w:rPr>
                <w:rFonts w:hint="eastAsia" w:ascii="方正仿宋_GB2312" w:hAnsi="方正仿宋_GB2312" w:eastAsia="方正仿宋_GB2312" w:cs="方正仿宋_GB2312"/>
                <w:color w:val="181E18"/>
                <w:spacing w:val="0"/>
                <w:kern w:val="0"/>
                <w:sz w:val="21"/>
                <w:szCs w:val="21"/>
                <w:highlight w:val="none"/>
                <w:u w:color="173156"/>
              </w:rPr>
            </w:pPr>
            <w:r>
              <w:rPr>
                <w:rFonts w:hint="eastAsia" w:ascii="方正仿宋_GB2312" w:hAnsi="方正仿宋_GB2312" w:eastAsia="方正仿宋_GB2312" w:cs="方正仿宋_GB2312"/>
                <w:color w:val="181E18"/>
                <w:spacing w:val="0"/>
                <w:kern w:val="0"/>
                <w:sz w:val="21"/>
                <w:szCs w:val="21"/>
                <w:highlight w:val="none"/>
                <w:u w:color="173156"/>
                <w:lang w:val="en-US" w:eastAsia="zh-CN"/>
              </w:rPr>
              <w:t>1.</w:t>
            </w:r>
            <w:r>
              <w:rPr>
                <w:rFonts w:hint="eastAsia" w:ascii="方正仿宋_GB2312" w:hAnsi="方正仿宋_GB2312" w:eastAsia="方正仿宋_GB2312" w:cs="方正仿宋_GB2312"/>
                <w:color w:val="181E18"/>
                <w:spacing w:val="0"/>
                <w:kern w:val="0"/>
                <w:sz w:val="21"/>
                <w:szCs w:val="21"/>
                <w:highlight w:val="none"/>
                <w:u w:color="173156"/>
              </w:rPr>
              <w:t>提交材料的纸张规格应为A4纸，可直接打印。</w:t>
            </w:r>
          </w:p>
          <w:p w14:paraId="698391CA">
            <w:pPr>
              <w:pStyle w:val="11"/>
              <w:widowControl/>
              <w:numPr>
                <w:ilvl w:val="0"/>
                <w:numId w:val="0"/>
              </w:numPr>
              <w:autoSpaceDE w:val="0"/>
              <w:autoSpaceDN w:val="0"/>
              <w:adjustRightInd w:val="0"/>
              <w:ind w:leftChars="0"/>
              <w:rPr>
                <w:rFonts w:hint="eastAsia" w:ascii="方正仿宋_GB2312" w:hAnsi="方正仿宋_GB2312" w:eastAsia="方正仿宋_GB2312" w:cs="方正仿宋_GB2312"/>
                <w:color w:val="181E18"/>
                <w:spacing w:val="0"/>
                <w:kern w:val="0"/>
                <w:sz w:val="21"/>
                <w:szCs w:val="21"/>
                <w:highlight w:val="none"/>
                <w:u w:color="173156"/>
              </w:rPr>
            </w:pPr>
            <w:r>
              <w:rPr>
                <w:rFonts w:hint="eastAsia" w:ascii="方正仿宋_GB2312" w:hAnsi="方正仿宋_GB2312" w:eastAsia="方正仿宋_GB2312" w:cs="方正仿宋_GB2312"/>
                <w:color w:val="181E18"/>
                <w:spacing w:val="0"/>
                <w:kern w:val="0"/>
                <w:sz w:val="21"/>
                <w:szCs w:val="21"/>
                <w:highlight w:val="none"/>
                <w:u w:color="173156"/>
                <w:lang w:val="en-US" w:eastAsia="zh-CN"/>
              </w:rPr>
              <w:t>2.</w:t>
            </w:r>
            <w:r>
              <w:rPr>
                <w:rFonts w:hint="eastAsia" w:ascii="方正仿宋_GB2312" w:hAnsi="方正仿宋_GB2312" w:eastAsia="方正仿宋_GB2312" w:cs="方正仿宋_GB2312"/>
                <w:color w:val="181E18"/>
                <w:spacing w:val="0"/>
                <w:kern w:val="0"/>
                <w:sz w:val="21"/>
                <w:szCs w:val="21"/>
                <w:highlight w:val="none"/>
                <w:u w:color="173156"/>
              </w:rPr>
              <w:t>禁止任何形式的重复申报或虚假债权，否则，申报人将承担由此产生的民事赔偿及其他全部法律责任。</w:t>
            </w:r>
          </w:p>
        </w:tc>
      </w:tr>
    </w:tbl>
    <w:p w14:paraId="24B67987">
      <w:pPr>
        <w:autoSpaceDE w:val="0"/>
        <w:autoSpaceDN w:val="0"/>
        <w:adjustRightInd w:val="0"/>
        <w:rPr>
          <w:rFonts w:hint="eastAsia" w:ascii="方正仿宋_GB2312" w:hAnsi="方正仿宋_GB2312" w:eastAsia="方正仿宋_GB2312" w:cs="方正仿宋_GB2312"/>
          <w:color w:val="181E18"/>
          <w:spacing w:val="0"/>
          <w:sz w:val="21"/>
          <w:szCs w:val="21"/>
          <w:highlight w:val="none"/>
          <w:u w:color="173156"/>
        </w:rPr>
      </w:pPr>
    </w:p>
    <w:p w14:paraId="0BCF7EBB">
      <w:pPr>
        <w:autoSpaceDE w:val="0"/>
        <w:autoSpaceDN w:val="0"/>
        <w:adjustRightInd w:val="0"/>
        <w:rPr>
          <w:rFonts w:hint="eastAsia" w:ascii="方正仿宋_GB2312" w:hAnsi="方正仿宋_GB2312" w:eastAsia="方正仿宋_GB2312" w:cs="方正仿宋_GB2312"/>
          <w:b/>
          <w:bCs/>
          <w:spacing w:val="0"/>
          <w:sz w:val="21"/>
          <w:szCs w:val="21"/>
          <w:highlight w:val="none"/>
          <w:lang w:eastAsia="zh-CN"/>
        </w:rPr>
      </w:pPr>
      <w:r>
        <w:rPr>
          <w:rFonts w:hint="eastAsia" w:ascii="方正仿宋_GB2312" w:hAnsi="方正仿宋_GB2312" w:eastAsia="方正仿宋_GB2312" w:cs="方正仿宋_GB2312"/>
          <w:color w:val="181E18"/>
          <w:spacing w:val="0"/>
          <w:sz w:val="21"/>
          <w:szCs w:val="21"/>
          <w:highlight w:val="none"/>
          <w:u w:color="173156"/>
        </w:rPr>
        <w:t>申报人：　　　　　　　　　　　　　　申报日期：　　　　年　　　月　　　日</w:t>
      </w:r>
    </w:p>
    <w:p w14:paraId="69DDDD4C">
      <w:pPr>
        <w:widowControl/>
        <w:jc w:val="left"/>
        <w:rPr>
          <w:rFonts w:hint="eastAsia" w:ascii="方正仿宋_GB2312" w:hAnsi="方正仿宋_GB2312" w:eastAsia="方正仿宋_GB2312" w:cs="方正仿宋_GB2312"/>
          <w:spacing w:val="0"/>
          <w:sz w:val="21"/>
          <w:szCs w:val="21"/>
          <w:highlight w:val="none"/>
        </w:rPr>
      </w:pPr>
    </w:p>
    <w:p w14:paraId="50267ECF">
      <w:pPr>
        <w:widowControl/>
        <w:jc w:val="left"/>
        <w:rPr>
          <w:rFonts w:hint="eastAsia" w:ascii="方正仿宋_GB2312" w:hAnsi="方正仿宋_GB2312" w:eastAsia="方正仿宋_GB2312" w:cs="方正仿宋_GB2312"/>
          <w:spacing w:val="0"/>
          <w:sz w:val="21"/>
          <w:szCs w:val="21"/>
          <w:highlight w:val="none"/>
        </w:rPr>
      </w:pPr>
    </w:p>
    <w:p w14:paraId="3511756E">
      <w:pPr>
        <w:widowControl/>
        <w:jc w:val="left"/>
        <w:rPr>
          <w:rFonts w:hint="eastAsia" w:ascii="方正仿宋_GB2312" w:hAnsi="方正仿宋_GB2312" w:eastAsia="方正仿宋_GB2312" w:cs="方正仿宋_GB2312"/>
          <w:spacing w:val="0"/>
          <w:sz w:val="21"/>
          <w:szCs w:val="21"/>
          <w:highlight w:val="none"/>
        </w:rPr>
      </w:pPr>
    </w:p>
    <w:p w14:paraId="3E3640AD">
      <w:pPr>
        <w:widowControl/>
        <w:jc w:val="center"/>
        <w:rPr>
          <w:rFonts w:hint="eastAsia" w:ascii="黑体" w:hAnsi="黑体" w:eastAsia="黑体" w:cs="黑体"/>
          <w:spacing w:val="0"/>
          <w:sz w:val="44"/>
          <w:szCs w:val="44"/>
          <w:highlight w:val="none"/>
          <w:lang w:val="en-US" w:eastAsia="zh-CN"/>
        </w:rPr>
      </w:pPr>
      <w:r>
        <w:rPr>
          <w:rFonts w:hint="eastAsia" w:ascii="黑体" w:hAnsi="黑体" w:eastAsia="黑体" w:cs="黑体"/>
          <w:spacing w:val="0"/>
          <w:sz w:val="44"/>
          <w:szCs w:val="44"/>
          <w:highlight w:val="none"/>
          <w:lang w:val="en-US" w:eastAsia="zh-CN"/>
        </w:rPr>
        <w:t>债权申报书</w:t>
      </w:r>
    </w:p>
    <w:p w14:paraId="520215D0">
      <w:pPr>
        <w:widowControl/>
        <w:jc w:val="both"/>
        <w:rPr>
          <w:rFonts w:hint="eastAsia" w:ascii="黑体" w:hAnsi="黑体" w:eastAsia="黑体" w:cs="黑体"/>
          <w:spacing w:val="0"/>
          <w:sz w:val="44"/>
          <w:szCs w:val="44"/>
          <w:highlight w:val="none"/>
          <w:lang w:val="en-US" w:eastAsia="zh-CN"/>
        </w:rPr>
      </w:pPr>
    </w:p>
    <w:p w14:paraId="2F5A7049">
      <w:pPr>
        <w:widowControl/>
        <w:jc w:val="both"/>
        <w:rPr>
          <w:rFonts w:hint="eastAsia" w:ascii="方正仿宋_GB2312" w:hAnsi="方正仿宋_GB2312" w:eastAsia="方正仿宋_GB2312" w:cs="方正仿宋_GB2312"/>
          <w:b/>
          <w:bCs/>
          <w:spacing w:val="0"/>
          <w:sz w:val="32"/>
          <w:szCs w:val="32"/>
          <w:highlight w:val="none"/>
          <w:lang w:val="en-US" w:eastAsia="zh-CN"/>
        </w:rPr>
      </w:pPr>
      <w:r>
        <w:rPr>
          <w:rFonts w:hint="eastAsia" w:ascii="方正仿宋_GB2312" w:hAnsi="方正仿宋_GB2312" w:eastAsia="方正仿宋_GB2312" w:cs="方正仿宋_GB2312"/>
          <w:b/>
          <w:bCs/>
          <w:spacing w:val="0"/>
          <w:sz w:val="32"/>
          <w:szCs w:val="32"/>
          <w:highlight w:val="none"/>
          <w:lang w:val="en-US" w:eastAsia="zh-CN"/>
        </w:rPr>
        <w:t>申报人：</w:t>
      </w:r>
    </w:p>
    <w:p w14:paraId="14F72284">
      <w:pPr>
        <w:widowControl/>
        <w:jc w:val="both"/>
        <w:rPr>
          <w:rFonts w:hint="eastAsia" w:ascii="方正仿宋_GB2312" w:hAnsi="方正仿宋_GB2312" w:eastAsia="方正仿宋_GB2312" w:cs="方正仿宋_GB2312"/>
          <w:b/>
          <w:bCs/>
          <w:spacing w:val="0"/>
          <w:sz w:val="32"/>
          <w:szCs w:val="32"/>
          <w:highlight w:val="none"/>
          <w:lang w:val="en-US" w:eastAsia="zh-CN"/>
        </w:rPr>
      </w:pPr>
    </w:p>
    <w:p w14:paraId="16555E17">
      <w:pPr>
        <w:widowControl/>
        <w:jc w:val="both"/>
        <w:rPr>
          <w:rFonts w:hint="eastAsia" w:ascii="方正仿宋_GB2312" w:hAnsi="方正仿宋_GB2312" w:eastAsia="方正仿宋_GB2312" w:cs="方正仿宋_GB2312"/>
          <w:b/>
          <w:bCs/>
          <w:spacing w:val="0"/>
          <w:sz w:val="32"/>
          <w:szCs w:val="32"/>
          <w:highlight w:val="none"/>
          <w:lang w:val="en-US" w:eastAsia="zh-CN"/>
        </w:rPr>
      </w:pPr>
    </w:p>
    <w:p w14:paraId="67A8B2D6">
      <w:pPr>
        <w:widowControl/>
        <w:jc w:val="both"/>
        <w:rPr>
          <w:rFonts w:hint="eastAsia" w:ascii="方正仿宋_GB2312" w:hAnsi="方正仿宋_GB2312" w:eastAsia="方正仿宋_GB2312" w:cs="方正仿宋_GB2312"/>
          <w:b/>
          <w:bCs/>
          <w:spacing w:val="0"/>
          <w:sz w:val="32"/>
          <w:szCs w:val="32"/>
          <w:highlight w:val="none"/>
          <w:lang w:val="en-US" w:eastAsia="zh-CN"/>
        </w:rPr>
      </w:pPr>
      <w:r>
        <w:rPr>
          <w:rFonts w:hint="eastAsia" w:ascii="方正仿宋_GB2312" w:hAnsi="方正仿宋_GB2312" w:eastAsia="方正仿宋_GB2312" w:cs="方正仿宋_GB2312"/>
          <w:b/>
          <w:bCs/>
          <w:spacing w:val="0"/>
          <w:sz w:val="32"/>
          <w:szCs w:val="32"/>
          <w:highlight w:val="none"/>
          <w:lang w:val="en-US" w:eastAsia="zh-CN"/>
        </w:rPr>
        <w:t>申报事项：</w:t>
      </w:r>
    </w:p>
    <w:p w14:paraId="0D1D921A">
      <w:pPr>
        <w:widowControl/>
        <w:jc w:val="both"/>
        <w:rPr>
          <w:rFonts w:hint="eastAsia" w:ascii="方正仿宋_GB2312" w:hAnsi="方正仿宋_GB2312" w:eastAsia="方正仿宋_GB2312" w:cs="方正仿宋_GB2312"/>
          <w:b/>
          <w:bCs/>
          <w:spacing w:val="0"/>
          <w:sz w:val="32"/>
          <w:szCs w:val="32"/>
          <w:highlight w:val="none"/>
          <w:lang w:val="en-US" w:eastAsia="zh-CN"/>
        </w:rPr>
      </w:pPr>
    </w:p>
    <w:p w14:paraId="15F0F9B3">
      <w:pPr>
        <w:widowControl/>
        <w:jc w:val="both"/>
        <w:rPr>
          <w:rFonts w:hint="eastAsia" w:ascii="方正仿宋_GB2312" w:hAnsi="方正仿宋_GB2312" w:eastAsia="方正仿宋_GB2312" w:cs="方正仿宋_GB2312"/>
          <w:b/>
          <w:bCs/>
          <w:spacing w:val="0"/>
          <w:sz w:val="32"/>
          <w:szCs w:val="32"/>
          <w:highlight w:val="none"/>
          <w:lang w:val="en-US" w:eastAsia="zh-CN"/>
        </w:rPr>
      </w:pPr>
    </w:p>
    <w:p w14:paraId="337BE512">
      <w:pPr>
        <w:widowControl/>
        <w:jc w:val="both"/>
        <w:rPr>
          <w:rFonts w:hint="eastAsia" w:ascii="方正仿宋_GB2312" w:hAnsi="方正仿宋_GB2312" w:eastAsia="方正仿宋_GB2312" w:cs="方正仿宋_GB2312"/>
          <w:spacing w:val="0"/>
          <w:sz w:val="32"/>
          <w:szCs w:val="32"/>
          <w:highlight w:val="none"/>
          <w:lang w:val="en-US" w:eastAsia="zh-CN"/>
        </w:rPr>
      </w:pPr>
      <w:r>
        <w:rPr>
          <w:rFonts w:hint="eastAsia" w:ascii="方正仿宋_GB2312" w:hAnsi="方正仿宋_GB2312" w:eastAsia="方正仿宋_GB2312" w:cs="方正仿宋_GB2312"/>
          <w:b/>
          <w:bCs/>
          <w:spacing w:val="0"/>
          <w:sz w:val="32"/>
          <w:szCs w:val="32"/>
          <w:highlight w:val="none"/>
          <w:lang w:val="en-US" w:eastAsia="zh-CN"/>
        </w:rPr>
        <w:t>事实与理由</w:t>
      </w:r>
      <w:r>
        <w:rPr>
          <w:rFonts w:hint="eastAsia" w:ascii="方正仿宋_GB2312" w:hAnsi="方正仿宋_GB2312" w:eastAsia="方正仿宋_GB2312" w:cs="方正仿宋_GB2312"/>
          <w:spacing w:val="0"/>
          <w:sz w:val="32"/>
          <w:szCs w:val="32"/>
          <w:highlight w:val="none"/>
          <w:lang w:val="en-US" w:eastAsia="zh-CN"/>
        </w:rPr>
        <w:t>：</w:t>
      </w:r>
    </w:p>
    <w:p w14:paraId="4D1C7540">
      <w:pPr>
        <w:widowControl/>
        <w:jc w:val="both"/>
        <w:rPr>
          <w:rFonts w:hint="eastAsia" w:ascii="方正仿宋_GB2312" w:hAnsi="方正仿宋_GB2312" w:eastAsia="方正仿宋_GB2312" w:cs="方正仿宋_GB2312"/>
          <w:spacing w:val="0"/>
          <w:sz w:val="32"/>
          <w:szCs w:val="32"/>
          <w:highlight w:val="none"/>
          <w:lang w:val="en-US" w:eastAsia="zh-CN"/>
        </w:rPr>
      </w:pPr>
    </w:p>
    <w:p w14:paraId="5B1D39AF">
      <w:pPr>
        <w:widowControl/>
        <w:jc w:val="both"/>
        <w:rPr>
          <w:rFonts w:hint="eastAsia" w:ascii="方正仿宋_GB2312" w:hAnsi="方正仿宋_GB2312" w:eastAsia="方正仿宋_GB2312" w:cs="方正仿宋_GB2312"/>
          <w:spacing w:val="0"/>
          <w:sz w:val="32"/>
          <w:szCs w:val="32"/>
          <w:highlight w:val="none"/>
          <w:lang w:val="en-US" w:eastAsia="zh-CN"/>
        </w:rPr>
      </w:pPr>
    </w:p>
    <w:p w14:paraId="18514856">
      <w:pPr>
        <w:widowControl/>
        <w:jc w:val="both"/>
        <w:rPr>
          <w:rFonts w:hint="eastAsia" w:ascii="方正仿宋_GB2312" w:hAnsi="方正仿宋_GB2312" w:eastAsia="方正仿宋_GB2312" w:cs="方正仿宋_GB2312"/>
          <w:spacing w:val="0"/>
          <w:sz w:val="32"/>
          <w:szCs w:val="32"/>
          <w:highlight w:val="none"/>
          <w:lang w:val="en-US" w:eastAsia="zh-CN"/>
        </w:rPr>
      </w:pPr>
    </w:p>
    <w:p w14:paraId="51E1BEBB">
      <w:pPr>
        <w:widowControl/>
        <w:jc w:val="both"/>
        <w:rPr>
          <w:rFonts w:hint="eastAsia" w:ascii="方正仿宋_GB2312" w:hAnsi="方正仿宋_GB2312" w:eastAsia="方正仿宋_GB2312" w:cs="方正仿宋_GB2312"/>
          <w:spacing w:val="0"/>
          <w:sz w:val="32"/>
          <w:szCs w:val="32"/>
          <w:highlight w:val="none"/>
          <w:lang w:val="en-US" w:eastAsia="zh-CN"/>
        </w:rPr>
      </w:pPr>
    </w:p>
    <w:p w14:paraId="51F9CB07">
      <w:pPr>
        <w:widowControl/>
        <w:jc w:val="both"/>
        <w:rPr>
          <w:rFonts w:hint="eastAsia" w:ascii="方正仿宋_GB2312" w:hAnsi="方正仿宋_GB2312" w:eastAsia="方正仿宋_GB2312" w:cs="方正仿宋_GB2312"/>
          <w:spacing w:val="0"/>
          <w:sz w:val="32"/>
          <w:szCs w:val="32"/>
          <w:highlight w:val="none"/>
          <w:lang w:val="en-US" w:eastAsia="zh-CN"/>
        </w:rPr>
      </w:pPr>
      <w:r>
        <w:rPr>
          <w:rFonts w:hint="eastAsia" w:ascii="方正仿宋_GB2312" w:hAnsi="方正仿宋_GB2312" w:eastAsia="方正仿宋_GB2312" w:cs="方正仿宋_GB2312"/>
          <w:spacing w:val="0"/>
          <w:sz w:val="32"/>
          <w:szCs w:val="32"/>
          <w:highlight w:val="none"/>
          <w:lang w:val="en-US" w:eastAsia="zh-CN"/>
        </w:rPr>
        <w:t xml:space="preserve">                            申报人：</w:t>
      </w:r>
    </w:p>
    <w:p w14:paraId="6387D550">
      <w:pPr>
        <w:widowControl/>
        <w:jc w:val="both"/>
        <w:rPr>
          <w:rFonts w:hint="eastAsia" w:ascii="方正仿宋_GB2312" w:hAnsi="方正仿宋_GB2312" w:eastAsia="方正仿宋_GB2312" w:cs="方正仿宋_GB2312"/>
          <w:spacing w:val="0"/>
          <w:sz w:val="32"/>
          <w:szCs w:val="32"/>
          <w:highlight w:val="none"/>
          <w:lang w:val="en-US" w:eastAsia="zh-CN"/>
        </w:rPr>
      </w:pPr>
    </w:p>
    <w:p w14:paraId="42F359AD">
      <w:pPr>
        <w:widowControl/>
        <w:jc w:val="both"/>
        <w:rPr>
          <w:rFonts w:hint="default" w:ascii="方正仿宋_GB2312" w:hAnsi="方正仿宋_GB2312" w:eastAsia="方正仿宋_GB2312" w:cs="方正仿宋_GB2312"/>
          <w:spacing w:val="0"/>
          <w:sz w:val="32"/>
          <w:szCs w:val="32"/>
          <w:highlight w:val="none"/>
          <w:lang w:val="en-US" w:eastAsia="zh-CN"/>
        </w:rPr>
        <w:sectPr>
          <w:pgSz w:w="11906" w:h="16838"/>
          <w:pgMar w:top="1134" w:right="1800" w:bottom="1134" w:left="1800" w:header="720" w:footer="720" w:gutter="0"/>
          <w:cols w:space="720" w:num="1"/>
          <w:docGrid w:type="lines" w:linePitch="312" w:charSpace="0"/>
        </w:sectPr>
      </w:pPr>
      <w:r>
        <w:rPr>
          <w:rFonts w:hint="eastAsia" w:ascii="方正仿宋_GB2312" w:hAnsi="方正仿宋_GB2312" w:eastAsia="方正仿宋_GB2312" w:cs="方正仿宋_GB2312"/>
          <w:spacing w:val="0"/>
          <w:sz w:val="32"/>
          <w:szCs w:val="32"/>
          <w:highlight w:val="none"/>
          <w:lang w:val="en-US" w:eastAsia="zh-CN"/>
        </w:rPr>
        <w:t xml:space="preserve">                                     年  月  日</w:t>
      </w:r>
    </w:p>
    <w:p w14:paraId="0FC33CA0">
      <w:pPr>
        <w:widowControl/>
        <w:jc w:val="center"/>
        <w:rPr>
          <w:rFonts w:hint="eastAsia" w:ascii="黑体" w:hAnsi="黑体" w:eastAsia="黑体" w:cs="黑体"/>
          <w:b/>
          <w:bCs/>
          <w:color w:val="181E18"/>
          <w:spacing w:val="0"/>
          <w:kern w:val="2"/>
          <w:sz w:val="44"/>
          <w:szCs w:val="44"/>
          <w:highlight w:val="none"/>
          <w:u w:color="173156"/>
          <w:lang w:val="en-US" w:eastAsia="zh-CN" w:bidi="ar-SA"/>
        </w:rPr>
      </w:pPr>
      <w:r>
        <w:rPr>
          <w:rFonts w:hint="eastAsia" w:ascii="黑体" w:hAnsi="黑体" w:eastAsia="黑体" w:cs="黑体"/>
          <w:b/>
          <w:bCs/>
          <w:color w:val="181E18"/>
          <w:spacing w:val="0"/>
          <w:kern w:val="2"/>
          <w:sz w:val="44"/>
          <w:szCs w:val="44"/>
          <w:highlight w:val="none"/>
          <w:u w:color="173156"/>
          <w:lang w:val="en-US" w:eastAsia="zh-CN" w:bidi="ar-SA"/>
        </w:rPr>
        <w:t>孳息债权计算说明</w:t>
      </w:r>
    </w:p>
    <w:p w14:paraId="537B9A2F">
      <w:pPr>
        <w:autoSpaceDE w:val="0"/>
        <w:autoSpaceDN w:val="0"/>
        <w:adjustRightInd w:val="0"/>
        <w:rPr>
          <w:rFonts w:ascii="华文仿宋" w:hAnsi="华文仿宋" w:eastAsia="华文仿宋" w:cs="Helvetica Neue"/>
          <w:color w:val="181E18"/>
          <w:spacing w:val="0"/>
          <w:highlight w:val="none"/>
          <w:u w:color="173156"/>
        </w:rPr>
      </w:pPr>
    </w:p>
    <w:tbl>
      <w:tblPr>
        <w:tblStyle w:val="6"/>
        <w:tblpPr w:leftFromText="180" w:rightFromText="180" w:vertAnchor="text" w:horzAnchor="page" w:tblpXSpec="center" w:tblpY="97"/>
        <w:tblOverlap w:val="never"/>
        <w:tblW w:w="8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0"/>
      </w:tblGrid>
      <w:tr w14:paraId="47C41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5" w:hRule="atLeast"/>
          <w:jc w:val="center"/>
        </w:trPr>
        <w:tc>
          <w:tcPr>
            <w:tcW w:w="8380" w:type="dxa"/>
          </w:tcPr>
          <w:p w14:paraId="3AA77B0A">
            <w:pPr>
              <w:autoSpaceDE w:val="0"/>
              <w:autoSpaceDN w:val="0"/>
              <w:adjustRightInd w:val="0"/>
              <w:jc w:val="both"/>
              <w:rPr>
                <w:rFonts w:ascii="华文仿宋" w:hAnsi="华文仿宋" w:eastAsia="华文仿宋" w:cs="Helvetica Neue"/>
                <w:color w:val="181E18"/>
                <w:spacing w:val="0"/>
                <w:highlight w:val="none"/>
                <w:u w:color="173156"/>
              </w:rPr>
            </w:pPr>
          </w:p>
          <w:p w14:paraId="1BD113E1">
            <w:pPr>
              <w:autoSpaceDE w:val="0"/>
              <w:autoSpaceDN w:val="0"/>
              <w:adjustRightInd w:val="0"/>
              <w:jc w:val="both"/>
              <w:rPr>
                <w:rFonts w:ascii="华文仿宋" w:hAnsi="华文仿宋" w:eastAsia="华文仿宋" w:cs="Helvetica Neue"/>
                <w:color w:val="181E18"/>
                <w:spacing w:val="0"/>
                <w:highlight w:val="none"/>
                <w:u w:color="173156"/>
              </w:rPr>
            </w:pPr>
          </w:p>
          <w:p w14:paraId="79479213">
            <w:pPr>
              <w:autoSpaceDE w:val="0"/>
              <w:autoSpaceDN w:val="0"/>
              <w:adjustRightInd w:val="0"/>
              <w:jc w:val="both"/>
              <w:rPr>
                <w:rFonts w:ascii="华文仿宋" w:hAnsi="华文仿宋" w:eastAsia="华文仿宋" w:cs="Helvetica Neue"/>
                <w:color w:val="181E18"/>
                <w:spacing w:val="0"/>
                <w:highlight w:val="none"/>
                <w:u w:color="173156"/>
              </w:rPr>
            </w:pPr>
          </w:p>
          <w:p w14:paraId="74D093E6">
            <w:pPr>
              <w:autoSpaceDE w:val="0"/>
              <w:autoSpaceDN w:val="0"/>
              <w:adjustRightInd w:val="0"/>
              <w:jc w:val="both"/>
              <w:rPr>
                <w:rFonts w:ascii="华文仿宋" w:hAnsi="华文仿宋" w:eastAsia="华文仿宋" w:cs="Helvetica Neue"/>
                <w:color w:val="181E18"/>
                <w:spacing w:val="0"/>
                <w:highlight w:val="none"/>
                <w:u w:color="173156"/>
              </w:rPr>
            </w:pPr>
          </w:p>
        </w:tc>
      </w:tr>
    </w:tbl>
    <w:p w14:paraId="4362C19A">
      <w:pPr>
        <w:autoSpaceDE w:val="0"/>
        <w:autoSpaceDN w:val="0"/>
        <w:adjustRightInd w:val="0"/>
        <w:jc w:val="both"/>
        <w:rPr>
          <w:rFonts w:ascii="华文仿宋" w:hAnsi="华文仿宋" w:eastAsia="华文仿宋" w:cs="Helvetica Neue"/>
          <w:color w:val="181E18"/>
          <w:spacing w:val="0"/>
          <w:highlight w:val="none"/>
          <w:u w:color="173156"/>
        </w:rPr>
      </w:pPr>
    </w:p>
    <w:p w14:paraId="6380C730">
      <w:pPr>
        <w:autoSpaceDE w:val="0"/>
        <w:autoSpaceDN w:val="0"/>
        <w:adjustRightInd w:val="0"/>
        <w:rPr>
          <w:rFonts w:hint="eastAsia" w:ascii="方正楷体_GB2312" w:hAnsi="方正楷体_GB2312" w:eastAsia="方正楷体_GB2312" w:cs="方正楷体_GB2312"/>
          <w:color w:val="181E18"/>
          <w:spacing w:val="0"/>
          <w:highlight w:val="none"/>
          <w:u w:color="173156"/>
        </w:rPr>
      </w:pPr>
      <w:r>
        <w:rPr>
          <w:rFonts w:hint="eastAsia" w:ascii="方正楷体_GB2312" w:hAnsi="方正楷体_GB2312" w:eastAsia="方正楷体_GB2312" w:cs="方正楷体_GB2312"/>
          <w:color w:val="181E18"/>
          <w:spacing w:val="0"/>
          <w:highlight w:val="none"/>
          <w:u w:color="173156"/>
        </w:rPr>
        <w:t>申报人（签名或盖章）：　　　　　　　　　　申报日期：　　　年　　</w:t>
      </w:r>
      <w:r>
        <w:rPr>
          <w:rFonts w:hint="eastAsia" w:ascii="方正楷体_GB2312" w:hAnsi="方正楷体_GB2312" w:eastAsia="方正楷体_GB2312" w:cs="方正楷体_GB2312"/>
          <w:color w:val="181E18"/>
          <w:spacing w:val="0"/>
          <w:highlight w:val="none"/>
          <w:u w:color="173156"/>
          <w:lang w:val="en-US" w:eastAsia="zh-CN"/>
        </w:rPr>
        <w:t xml:space="preserve"> </w:t>
      </w:r>
      <w:r>
        <w:rPr>
          <w:rFonts w:hint="eastAsia" w:ascii="方正楷体_GB2312" w:hAnsi="方正楷体_GB2312" w:eastAsia="方正楷体_GB2312" w:cs="方正楷体_GB2312"/>
          <w:color w:val="181E18"/>
          <w:spacing w:val="0"/>
          <w:highlight w:val="none"/>
          <w:u w:color="173156"/>
        </w:rPr>
        <w:t>月　</w:t>
      </w:r>
      <w:r>
        <w:rPr>
          <w:rFonts w:hint="eastAsia" w:ascii="方正楷体_GB2312" w:hAnsi="方正楷体_GB2312" w:eastAsia="方正楷体_GB2312" w:cs="方正楷体_GB2312"/>
          <w:color w:val="181E18"/>
          <w:spacing w:val="0"/>
          <w:highlight w:val="none"/>
          <w:u w:color="173156"/>
          <w:lang w:val="en-US" w:eastAsia="zh-CN"/>
        </w:rPr>
        <w:t xml:space="preserve">  </w:t>
      </w:r>
      <w:r>
        <w:rPr>
          <w:rFonts w:hint="eastAsia" w:ascii="方正楷体_GB2312" w:hAnsi="方正楷体_GB2312" w:eastAsia="方正楷体_GB2312" w:cs="方正楷体_GB2312"/>
          <w:color w:val="181E18"/>
          <w:spacing w:val="0"/>
          <w:highlight w:val="none"/>
          <w:u w:color="173156"/>
        </w:rPr>
        <w:t>日</w:t>
      </w:r>
    </w:p>
    <w:p w14:paraId="78D804AC">
      <w:pPr>
        <w:widowControl/>
        <w:jc w:val="left"/>
        <w:rPr>
          <w:rFonts w:hint="eastAsia" w:ascii="方正楷体_GB2312" w:hAnsi="方正楷体_GB2312" w:eastAsia="方正楷体_GB2312" w:cs="方正楷体_GB2312"/>
          <w:spacing w:val="0"/>
          <w:highlight w:val="none"/>
        </w:rPr>
        <w:sectPr>
          <w:pgSz w:w="11906" w:h="16838"/>
          <w:pgMar w:top="1440" w:right="1800" w:bottom="1440" w:left="1800" w:header="720" w:footer="720" w:gutter="0"/>
          <w:cols w:space="720" w:num="1"/>
          <w:docGrid w:type="lines" w:linePitch="312" w:charSpace="0"/>
        </w:sectPr>
      </w:pPr>
    </w:p>
    <w:p w14:paraId="5438F038">
      <w:pPr>
        <w:widowControl/>
        <w:jc w:val="center"/>
        <w:rPr>
          <w:rFonts w:hint="eastAsia" w:ascii="黑体" w:hAnsi="黑体" w:eastAsia="黑体" w:cs="黑体"/>
          <w:b/>
          <w:bCs/>
          <w:color w:val="181E18"/>
          <w:spacing w:val="0"/>
          <w:kern w:val="2"/>
          <w:sz w:val="44"/>
          <w:szCs w:val="44"/>
          <w:highlight w:val="none"/>
          <w:u w:color="173156"/>
          <w:lang w:val="en-US" w:eastAsia="zh-CN" w:bidi="ar-SA"/>
        </w:rPr>
      </w:pPr>
      <w:r>
        <w:rPr>
          <w:rFonts w:hint="eastAsia" w:ascii="黑体" w:hAnsi="黑体" w:eastAsia="黑体" w:cs="黑体"/>
          <w:b/>
          <w:bCs/>
          <w:spacing w:val="0"/>
          <w:sz w:val="44"/>
          <w:szCs w:val="44"/>
          <w:highlight w:val="none"/>
        </w:rPr>
        <w:t xml:space="preserve"> </w:t>
      </w:r>
      <w:r>
        <w:rPr>
          <w:rFonts w:hint="eastAsia" w:ascii="黑体" w:hAnsi="黑体" w:eastAsia="黑体" w:cs="黑体"/>
          <w:b/>
          <w:bCs/>
          <w:color w:val="181E18"/>
          <w:spacing w:val="0"/>
          <w:kern w:val="2"/>
          <w:sz w:val="44"/>
          <w:szCs w:val="44"/>
          <w:highlight w:val="none"/>
          <w:u w:color="173156"/>
          <w:lang w:val="en-US" w:eastAsia="zh-CN" w:bidi="ar-SA"/>
        </w:rPr>
        <w:t>债权人银行信息、送达地址确认书</w:t>
      </w:r>
    </w:p>
    <w:tbl>
      <w:tblPr>
        <w:tblStyle w:val="6"/>
        <w:tblW w:w="9799" w:type="dxa"/>
        <w:jc w:val="center"/>
        <w:tblLayout w:type="fixed"/>
        <w:tblCellMar>
          <w:top w:w="0" w:type="dxa"/>
          <w:left w:w="108" w:type="dxa"/>
          <w:bottom w:w="0" w:type="dxa"/>
          <w:right w:w="108" w:type="dxa"/>
        </w:tblCellMar>
      </w:tblPr>
      <w:tblGrid>
        <w:gridCol w:w="1584"/>
        <w:gridCol w:w="8215"/>
      </w:tblGrid>
      <w:tr w14:paraId="60E9F4F3">
        <w:tblPrEx>
          <w:tblCellMar>
            <w:top w:w="0" w:type="dxa"/>
            <w:left w:w="108" w:type="dxa"/>
            <w:bottom w:w="0" w:type="dxa"/>
            <w:right w:w="108" w:type="dxa"/>
          </w:tblCellMar>
        </w:tblPrEx>
        <w:trPr>
          <w:trHeight w:val="557" w:hRule="atLeast"/>
          <w:jc w:val="center"/>
        </w:trPr>
        <w:tc>
          <w:tcPr>
            <w:tcW w:w="1584" w:type="dxa"/>
            <w:tcBorders>
              <w:top w:val="single" w:color="auto" w:sz="4" w:space="0"/>
              <w:left w:val="single" w:color="auto" w:sz="4" w:space="0"/>
              <w:bottom w:val="single" w:color="auto" w:sz="4" w:space="0"/>
              <w:right w:val="single" w:color="auto" w:sz="4" w:space="0"/>
            </w:tcBorders>
            <w:vAlign w:val="center"/>
          </w:tcPr>
          <w:p w14:paraId="544112CC">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eastAsia="仿宋_GB2312"/>
                <w:spacing w:val="0"/>
                <w:sz w:val="21"/>
                <w:szCs w:val="21"/>
                <w:highlight w:val="none"/>
              </w:rPr>
            </w:pPr>
            <w:r>
              <w:rPr>
                <w:rFonts w:hint="eastAsia" w:ascii="仿宋_GB2312" w:eastAsia="仿宋_GB2312"/>
                <w:spacing w:val="0"/>
                <w:sz w:val="21"/>
                <w:szCs w:val="21"/>
                <w:highlight w:val="none"/>
              </w:rPr>
              <w:t>债权人名称</w:t>
            </w:r>
          </w:p>
        </w:tc>
        <w:tc>
          <w:tcPr>
            <w:tcW w:w="8215" w:type="dxa"/>
            <w:tcBorders>
              <w:top w:val="single" w:color="auto" w:sz="4" w:space="0"/>
              <w:left w:val="nil"/>
              <w:bottom w:val="single" w:color="auto" w:sz="4" w:space="0"/>
              <w:right w:val="single" w:color="auto" w:sz="4" w:space="0"/>
            </w:tcBorders>
            <w:vAlign w:val="center"/>
          </w:tcPr>
          <w:p w14:paraId="47A944FB">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eastAsia="仿宋_GB2312"/>
                <w:spacing w:val="0"/>
                <w:sz w:val="21"/>
                <w:szCs w:val="21"/>
                <w:highlight w:val="none"/>
              </w:rPr>
            </w:pPr>
          </w:p>
        </w:tc>
      </w:tr>
      <w:tr w14:paraId="1C75A73B">
        <w:tblPrEx>
          <w:tblCellMar>
            <w:top w:w="0" w:type="dxa"/>
            <w:left w:w="108" w:type="dxa"/>
            <w:bottom w:w="0" w:type="dxa"/>
            <w:right w:w="108" w:type="dxa"/>
          </w:tblCellMar>
        </w:tblPrEx>
        <w:trPr>
          <w:trHeight w:val="5518" w:hRule="atLeast"/>
          <w:jc w:val="center"/>
        </w:trPr>
        <w:tc>
          <w:tcPr>
            <w:tcW w:w="1584" w:type="dxa"/>
            <w:tcBorders>
              <w:top w:val="single" w:color="auto" w:sz="4" w:space="0"/>
              <w:left w:val="single" w:color="auto" w:sz="4" w:space="0"/>
              <w:bottom w:val="single" w:color="auto" w:sz="4" w:space="0"/>
              <w:right w:val="single" w:color="auto" w:sz="4" w:space="0"/>
            </w:tcBorders>
            <w:vAlign w:val="center"/>
          </w:tcPr>
          <w:p w14:paraId="47034073">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eastAsia="仿宋_GB2312"/>
                <w:spacing w:val="0"/>
                <w:sz w:val="21"/>
                <w:szCs w:val="21"/>
                <w:highlight w:val="none"/>
              </w:rPr>
            </w:pPr>
            <w:r>
              <w:rPr>
                <w:rFonts w:hint="eastAsia" w:ascii="仿宋_GB2312" w:eastAsia="仿宋_GB2312"/>
                <w:spacing w:val="0"/>
                <w:sz w:val="21"/>
                <w:szCs w:val="21"/>
                <w:highlight w:val="none"/>
              </w:rPr>
              <w:t>管理人对债权人填写送达地址确认书的告知事项</w:t>
            </w:r>
          </w:p>
        </w:tc>
        <w:tc>
          <w:tcPr>
            <w:tcW w:w="8215" w:type="dxa"/>
            <w:tcBorders>
              <w:top w:val="single" w:color="auto" w:sz="4" w:space="0"/>
              <w:left w:val="nil"/>
              <w:bottom w:val="single" w:color="auto" w:sz="4" w:space="0"/>
              <w:right w:val="single" w:color="auto" w:sz="4" w:space="0"/>
            </w:tcBorders>
            <w:vAlign w:val="center"/>
          </w:tcPr>
          <w:p w14:paraId="17C5FBA0">
            <w:pPr>
              <w:keepNext w:val="0"/>
              <w:keepLines w:val="0"/>
              <w:pageBreakBefore w:val="0"/>
              <w:widowControl w:val="0"/>
              <w:kinsoku/>
              <w:wordWrap/>
              <w:overflowPunct/>
              <w:topLinePunct w:val="0"/>
              <w:autoSpaceDE/>
              <w:autoSpaceDN/>
              <w:bidi w:val="0"/>
              <w:adjustRightInd/>
              <w:snapToGrid/>
              <w:spacing w:line="260" w:lineRule="exact"/>
              <w:ind w:firstLine="422" w:firstLineChars="200"/>
              <w:textAlignment w:val="auto"/>
              <w:rPr>
                <w:rFonts w:hint="eastAsia" w:ascii="仿宋_GB2312" w:eastAsia="仿宋_GB2312"/>
                <w:b/>
                <w:bCs/>
                <w:spacing w:val="0"/>
                <w:sz w:val="21"/>
                <w:szCs w:val="21"/>
                <w:highlight w:val="none"/>
                <w:lang w:val="en-US" w:eastAsia="zh-CN"/>
              </w:rPr>
            </w:pPr>
            <w:r>
              <w:rPr>
                <w:rFonts w:hint="eastAsia" w:ascii="仿宋_GB2312" w:eastAsia="仿宋_GB2312"/>
                <w:b/>
                <w:bCs/>
                <w:spacing w:val="0"/>
                <w:sz w:val="21"/>
                <w:szCs w:val="21"/>
                <w:highlight w:val="none"/>
                <w:lang w:val="en-US" w:eastAsia="zh-CN"/>
              </w:rPr>
              <w:t>1.依照《最高人民法院关于推进破产案件依法高效审理的意见》第3条规定，管理人在接管债务人财产、接受债权申报等执行职务过程中，应当要求债务人、债权人及其他利害关系人书面确认送达地址、电子送达方式及法律后果。有关送达规则，参照适用《最高人民法院关于进一步加强民事送达工作的若干意见》的规定。</w:t>
            </w:r>
          </w:p>
          <w:p w14:paraId="2A9104CB">
            <w:pPr>
              <w:keepNext w:val="0"/>
              <w:keepLines w:val="0"/>
              <w:pageBreakBefore w:val="0"/>
              <w:widowControl w:val="0"/>
              <w:kinsoku/>
              <w:wordWrap/>
              <w:overflowPunct/>
              <w:topLinePunct w:val="0"/>
              <w:autoSpaceDE/>
              <w:autoSpaceDN/>
              <w:bidi w:val="0"/>
              <w:adjustRightInd/>
              <w:snapToGrid/>
              <w:spacing w:line="260" w:lineRule="exact"/>
              <w:ind w:firstLine="422" w:firstLineChars="200"/>
              <w:textAlignment w:val="auto"/>
              <w:rPr>
                <w:rFonts w:hint="eastAsia" w:ascii="仿宋_GB2312" w:eastAsia="仿宋_GB2312"/>
                <w:b/>
                <w:bCs/>
                <w:spacing w:val="0"/>
                <w:sz w:val="21"/>
                <w:szCs w:val="21"/>
                <w:highlight w:val="none"/>
                <w:lang w:val="en-US" w:eastAsia="zh-CN"/>
              </w:rPr>
            </w:pPr>
            <w:r>
              <w:rPr>
                <w:rFonts w:hint="eastAsia" w:ascii="仿宋_GB2312" w:eastAsia="仿宋_GB2312"/>
                <w:b/>
                <w:bCs/>
                <w:spacing w:val="0"/>
                <w:sz w:val="21"/>
                <w:szCs w:val="21"/>
                <w:highlight w:val="none"/>
                <w:lang w:val="en-US" w:eastAsia="zh-CN"/>
              </w:rPr>
              <w:t>2.依照《最高人民法院关于推进破产案件依法高效审理的意见》第1条第2款规定，对于企业破产法及相关司法解释规定需要通知或者告知的事项，人民法院、管理人可以采用电话、短信、传真、电子邮件、即时通信、通讯群组等能够确认其收悉的简便方式通知或者告知债权人、债务人及其他利害关系人。</w:t>
            </w:r>
          </w:p>
          <w:p w14:paraId="7A47D7DD">
            <w:pPr>
              <w:keepNext w:val="0"/>
              <w:keepLines w:val="0"/>
              <w:pageBreakBefore w:val="0"/>
              <w:widowControl w:val="0"/>
              <w:kinsoku/>
              <w:wordWrap/>
              <w:overflowPunct/>
              <w:topLinePunct w:val="0"/>
              <w:autoSpaceDE/>
              <w:autoSpaceDN/>
              <w:bidi w:val="0"/>
              <w:adjustRightInd/>
              <w:snapToGrid/>
              <w:spacing w:line="260" w:lineRule="exact"/>
              <w:ind w:firstLine="422" w:firstLineChars="200"/>
              <w:textAlignment w:val="auto"/>
              <w:rPr>
                <w:rFonts w:hint="eastAsia" w:ascii="仿宋_GB2312" w:eastAsia="仿宋_GB2312"/>
                <w:b/>
                <w:bCs/>
                <w:spacing w:val="0"/>
                <w:sz w:val="21"/>
                <w:szCs w:val="21"/>
                <w:highlight w:val="none"/>
                <w:lang w:val="en-US" w:eastAsia="zh-CN"/>
              </w:rPr>
            </w:pPr>
            <w:r>
              <w:rPr>
                <w:rFonts w:hint="eastAsia" w:ascii="仿宋_GB2312" w:eastAsia="仿宋_GB2312"/>
                <w:b/>
                <w:bCs/>
                <w:spacing w:val="0"/>
                <w:sz w:val="21"/>
                <w:szCs w:val="21"/>
                <w:highlight w:val="none"/>
                <w:lang w:val="en-US" w:eastAsia="zh-CN"/>
              </w:rPr>
              <w:t>3.为便于债权人及时接收管理人、人民法院送达的各类文书，保证破产程序顺利进行，当事人应当如实提供确切的送达地址及联系方式等内容；受送达人确认的送达地址、送达联系方式系其委托诉讼代理人的地址或联系方式的，应当同时提供其本人或其他指定代收人的送达地址、送达联系方式。</w:t>
            </w:r>
          </w:p>
          <w:p w14:paraId="4AD0C052">
            <w:pPr>
              <w:keepNext w:val="0"/>
              <w:keepLines w:val="0"/>
              <w:pageBreakBefore w:val="0"/>
              <w:widowControl w:val="0"/>
              <w:kinsoku/>
              <w:wordWrap/>
              <w:overflowPunct/>
              <w:topLinePunct w:val="0"/>
              <w:autoSpaceDE/>
              <w:autoSpaceDN/>
              <w:bidi w:val="0"/>
              <w:adjustRightInd/>
              <w:snapToGrid/>
              <w:spacing w:line="260" w:lineRule="exact"/>
              <w:ind w:firstLine="422" w:firstLineChars="200"/>
              <w:textAlignment w:val="auto"/>
              <w:rPr>
                <w:rFonts w:hint="eastAsia" w:ascii="仿宋_GB2312" w:eastAsia="仿宋_GB2312"/>
                <w:b/>
                <w:bCs/>
                <w:spacing w:val="0"/>
                <w:sz w:val="21"/>
                <w:szCs w:val="21"/>
                <w:highlight w:val="none"/>
                <w:lang w:val="en-US" w:eastAsia="zh-CN"/>
              </w:rPr>
            </w:pPr>
            <w:r>
              <w:rPr>
                <w:rFonts w:hint="eastAsia" w:ascii="仿宋_GB2312" w:eastAsia="仿宋_GB2312"/>
                <w:b/>
                <w:bCs/>
                <w:spacing w:val="0"/>
                <w:sz w:val="21"/>
                <w:szCs w:val="21"/>
                <w:highlight w:val="none"/>
                <w:lang w:val="en-US" w:eastAsia="zh-CN"/>
              </w:rPr>
              <w:t>4.确认的地址及联系方式适用于本案各个破产程序，包括：破产清算、和解、重整（含预重整）、衍生诉讼（一审、二审、执行程序）以及同期与破产事务相关的其他事项。</w:t>
            </w:r>
          </w:p>
          <w:p w14:paraId="3A4E44FA">
            <w:pPr>
              <w:keepNext w:val="0"/>
              <w:keepLines w:val="0"/>
              <w:pageBreakBefore w:val="0"/>
              <w:widowControl w:val="0"/>
              <w:kinsoku/>
              <w:wordWrap/>
              <w:overflowPunct/>
              <w:topLinePunct w:val="0"/>
              <w:autoSpaceDE/>
              <w:autoSpaceDN/>
              <w:bidi w:val="0"/>
              <w:adjustRightInd/>
              <w:snapToGrid/>
              <w:spacing w:line="260" w:lineRule="exact"/>
              <w:ind w:firstLine="422" w:firstLineChars="200"/>
              <w:textAlignment w:val="auto"/>
              <w:rPr>
                <w:rFonts w:hint="eastAsia" w:ascii="仿宋_GB2312" w:eastAsia="仿宋_GB2312"/>
                <w:b/>
                <w:bCs/>
                <w:spacing w:val="0"/>
                <w:sz w:val="21"/>
                <w:szCs w:val="21"/>
                <w:highlight w:val="none"/>
                <w:lang w:val="en-US" w:eastAsia="zh-CN"/>
              </w:rPr>
            </w:pPr>
            <w:r>
              <w:rPr>
                <w:rFonts w:hint="eastAsia" w:ascii="仿宋_GB2312" w:eastAsia="仿宋_GB2312"/>
                <w:b/>
                <w:bCs/>
                <w:spacing w:val="0"/>
                <w:sz w:val="21"/>
                <w:szCs w:val="21"/>
                <w:highlight w:val="none"/>
                <w:lang w:val="en-US" w:eastAsia="zh-CN"/>
              </w:rPr>
              <w:t>5.破产案件审理期间如果上述内容有变更，应及时告知管理人变更后的内容。</w:t>
            </w:r>
          </w:p>
          <w:p w14:paraId="3550BA70">
            <w:pPr>
              <w:keepNext w:val="0"/>
              <w:keepLines w:val="0"/>
              <w:pageBreakBefore w:val="0"/>
              <w:widowControl w:val="0"/>
              <w:kinsoku/>
              <w:wordWrap/>
              <w:overflowPunct/>
              <w:topLinePunct w:val="0"/>
              <w:autoSpaceDE/>
              <w:autoSpaceDN/>
              <w:bidi w:val="0"/>
              <w:adjustRightInd/>
              <w:snapToGrid/>
              <w:spacing w:line="260" w:lineRule="exact"/>
              <w:ind w:firstLine="422" w:firstLineChars="200"/>
              <w:textAlignment w:val="auto"/>
              <w:rPr>
                <w:rFonts w:hint="eastAsia" w:ascii="仿宋_GB2312" w:eastAsia="仿宋_GB2312"/>
                <w:b/>
                <w:bCs/>
                <w:spacing w:val="0"/>
                <w:sz w:val="21"/>
                <w:szCs w:val="21"/>
                <w:highlight w:val="none"/>
                <w:lang w:val="en-US" w:eastAsia="zh-CN"/>
              </w:rPr>
            </w:pPr>
            <w:r>
              <w:rPr>
                <w:rFonts w:hint="eastAsia" w:ascii="仿宋_GB2312" w:eastAsia="仿宋_GB2312"/>
                <w:b/>
                <w:bCs/>
                <w:spacing w:val="0"/>
                <w:sz w:val="21"/>
                <w:szCs w:val="21"/>
                <w:highlight w:val="none"/>
                <w:lang w:val="en-US" w:eastAsia="zh-CN"/>
              </w:rPr>
              <w:t>6.如果提供的送达地址不确切，或不及时告知变更后的送达地址，导致相关文书经邮寄无法送达或未及时送达的，自文书、材料等退回之日为送达之日。</w:t>
            </w:r>
          </w:p>
          <w:p w14:paraId="61287296">
            <w:pPr>
              <w:keepNext w:val="0"/>
              <w:keepLines w:val="0"/>
              <w:pageBreakBefore w:val="0"/>
              <w:widowControl w:val="0"/>
              <w:kinsoku/>
              <w:wordWrap/>
              <w:overflowPunct/>
              <w:topLinePunct w:val="0"/>
              <w:autoSpaceDE/>
              <w:autoSpaceDN/>
              <w:bidi w:val="0"/>
              <w:adjustRightInd/>
              <w:snapToGrid/>
              <w:spacing w:line="260" w:lineRule="exact"/>
              <w:ind w:firstLine="422" w:firstLineChars="200"/>
              <w:textAlignment w:val="auto"/>
              <w:rPr>
                <w:rFonts w:ascii="仿宋_GB2312" w:eastAsia="仿宋_GB2312"/>
                <w:spacing w:val="0"/>
                <w:sz w:val="21"/>
                <w:szCs w:val="21"/>
                <w:highlight w:val="none"/>
              </w:rPr>
            </w:pPr>
            <w:r>
              <w:rPr>
                <w:rFonts w:hint="eastAsia" w:ascii="仿宋_GB2312" w:eastAsia="仿宋_GB2312"/>
                <w:b/>
                <w:bCs/>
                <w:spacing w:val="0"/>
                <w:sz w:val="21"/>
                <w:szCs w:val="21"/>
                <w:highlight w:val="none"/>
                <w:lang w:val="en-US" w:eastAsia="zh-CN"/>
              </w:rPr>
              <w:t>7.经受送达人同意，管理人、人民法院可以采用能够确认其收悉的电子方式送达相关法律文书，送达信息到达受送达人特定系统的日期为送达日期。</w:t>
            </w:r>
          </w:p>
        </w:tc>
      </w:tr>
      <w:tr w14:paraId="4805B840">
        <w:tblPrEx>
          <w:tblCellMar>
            <w:top w:w="0" w:type="dxa"/>
            <w:left w:w="108" w:type="dxa"/>
            <w:bottom w:w="0" w:type="dxa"/>
            <w:right w:w="108" w:type="dxa"/>
          </w:tblCellMar>
        </w:tblPrEx>
        <w:trPr>
          <w:trHeight w:val="1152" w:hRule="atLeast"/>
          <w:jc w:val="center"/>
        </w:trPr>
        <w:tc>
          <w:tcPr>
            <w:tcW w:w="1584" w:type="dxa"/>
            <w:tcBorders>
              <w:top w:val="single" w:color="auto" w:sz="4" w:space="0"/>
              <w:left w:val="single" w:color="auto" w:sz="4" w:space="0"/>
              <w:bottom w:val="single" w:color="auto" w:sz="4" w:space="0"/>
              <w:right w:val="single" w:color="auto" w:sz="4" w:space="0"/>
            </w:tcBorders>
            <w:vAlign w:val="center"/>
          </w:tcPr>
          <w:p w14:paraId="4782F31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1"/>
                <w:szCs w:val="21"/>
                <w:highlight w:val="none"/>
              </w:rPr>
            </w:pPr>
            <w:r>
              <w:rPr>
                <w:rFonts w:hint="eastAsia" w:ascii="仿宋_GB2312" w:eastAsia="仿宋_GB2312"/>
                <w:spacing w:val="0"/>
                <w:sz w:val="21"/>
                <w:szCs w:val="21"/>
                <w:highlight w:val="none"/>
              </w:rPr>
              <w:t>开户银行及账号信息</w:t>
            </w:r>
          </w:p>
        </w:tc>
        <w:tc>
          <w:tcPr>
            <w:tcW w:w="8215" w:type="dxa"/>
            <w:tcBorders>
              <w:top w:val="single" w:color="auto" w:sz="4" w:space="0"/>
              <w:left w:val="nil"/>
              <w:bottom w:val="single" w:color="auto" w:sz="4" w:space="0"/>
              <w:right w:val="single" w:color="auto" w:sz="4" w:space="0"/>
            </w:tcBorders>
            <w:vAlign w:val="center"/>
          </w:tcPr>
          <w:p w14:paraId="7A106C9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1"/>
                <w:szCs w:val="21"/>
                <w:highlight w:val="none"/>
              </w:rPr>
            </w:pPr>
            <w:r>
              <w:rPr>
                <w:rFonts w:hint="eastAsia" w:ascii="仿宋_GB2312" w:eastAsia="仿宋_GB2312"/>
                <w:spacing w:val="0"/>
                <w:sz w:val="21"/>
                <w:szCs w:val="21"/>
                <w:highlight w:val="none"/>
              </w:rPr>
              <w:t>开户银行：</w:t>
            </w:r>
          </w:p>
          <w:p w14:paraId="07EA6B4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1"/>
                <w:szCs w:val="21"/>
                <w:highlight w:val="none"/>
              </w:rPr>
            </w:pPr>
            <w:r>
              <w:rPr>
                <w:rFonts w:hint="eastAsia" w:ascii="仿宋_GB2312" w:eastAsia="仿宋_GB2312"/>
                <w:spacing w:val="0"/>
                <w:sz w:val="21"/>
                <w:szCs w:val="21"/>
                <w:highlight w:val="none"/>
              </w:rPr>
              <w:t>账户名：</w:t>
            </w:r>
          </w:p>
          <w:p w14:paraId="5B3D9A5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1"/>
                <w:szCs w:val="21"/>
                <w:highlight w:val="none"/>
              </w:rPr>
            </w:pPr>
            <w:r>
              <w:rPr>
                <w:rFonts w:hint="eastAsia" w:ascii="仿宋_GB2312" w:eastAsia="仿宋_GB2312"/>
                <w:spacing w:val="0"/>
                <w:sz w:val="21"/>
                <w:szCs w:val="21"/>
                <w:highlight w:val="none"/>
              </w:rPr>
              <w:t>账号：</w:t>
            </w:r>
          </w:p>
        </w:tc>
      </w:tr>
      <w:tr w14:paraId="7978AAF6">
        <w:tblPrEx>
          <w:tblCellMar>
            <w:top w:w="0" w:type="dxa"/>
            <w:left w:w="108" w:type="dxa"/>
            <w:bottom w:w="0" w:type="dxa"/>
            <w:right w:w="108" w:type="dxa"/>
          </w:tblCellMar>
        </w:tblPrEx>
        <w:trPr>
          <w:trHeight w:val="1840" w:hRule="atLeast"/>
          <w:jc w:val="center"/>
        </w:trPr>
        <w:tc>
          <w:tcPr>
            <w:tcW w:w="1584" w:type="dxa"/>
            <w:tcBorders>
              <w:top w:val="single" w:color="auto" w:sz="4" w:space="0"/>
              <w:left w:val="single" w:color="auto" w:sz="4" w:space="0"/>
              <w:bottom w:val="single" w:color="auto" w:sz="4" w:space="0"/>
              <w:right w:val="single" w:color="auto" w:sz="4" w:space="0"/>
            </w:tcBorders>
            <w:vAlign w:val="center"/>
          </w:tcPr>
          <w:p w14:paraId="70E45D24">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_GB2312" w:eastAsia="仿宋_GB2312"/>
                <w:spacing w:val="0"/>
                <w:sz w:val="21"/>
                <w:szCs w:val="21"/>
                <w:highlight w:val="none"/>
                <w:lang w:val="en-US" w:eastAsia="zh-CN"/>
              </w:rPr>
            </w:pPr>
            <w:r>
              <w:rPr>
                <w:rFonts w:hint="eastAsia" w:ascii="仿宋_GB2312" w:eastAsia="仿宋_GB2312"/>
                <w:spacing w:val="0"/>
                <w:sz w:val="21"/>
                <w:szCs w:val="21"/>
                <w:highlight w:val="none"/>
                <w:lang w:val="en-US" w:eastAsia="zh-CN"/>
              </w:rPr>
              <w:t>邮寄送达</w:t>
            </w:r>
          </w:p>
        </w:tc>
        <w:tc>
          <w:tcPr>
            <w:tcW w:w="8215" w:type="dxa"/>
            <w:tcBorders>
              <w:top w:val="single" w:color="auto" w:sz="4" w:space="0"/>
              <w:left w:val="nil"/>
              <w:bottom w:val="single" w:color="auto" w:sz="4" w:space="0"/>
              <w:right w:val="single" w:color="auto" w:sz="4" w:space="0"/>
            </w:tcBorders>
            <w:vAlign w:val="center"/>
          </w:tcPr>
          <w:p w14:paraId="51D7DF18">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eastAsia="仿宋_GB2312"/>
                <w:spacing w:val="0"/>
                <w:sz w:val="21"/>
                <w:szCs w:val="21"/>
                <w:highlight w:val="none"/>
              </w:rPr>
            </w:pPr>
            <w:r>
              <w:rPr>
                <w:rFonts w:hint="eastAsia" w:ascii="仿宋_GB2312" w:eastAsia="仿宋_GB2312"/>
                <w:spacing w:val="0"/>
                <w:sz w:val="21"/>
                <w:szCs w:val="21"/>
                <w:highlight w:val="none"/>
              </w:rPr>
              <w:t>本人（本单位）确认下列地址为送达地址：</w:t>
            </w:r>
          </w:p>
          <w:p w14:paraId="1615C4E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1"/>
                <w:szCs w:val="21"/>
                <w:highlight w:val="none"/>
              </w:rPr>
            </w:pPr>
            <w:r>
              <w:rPr>
                <w:rFonts w:hint="eastAsia" w:ascii="仿宋_GB2312" w:eastAsia="仿宋_GB2312"/>
                <w:spacing w:val="0"/>
                <w:sz w:val="21"/>
                <w:szCs w:val="21"/>
                <w:highlight w:val="none"/>
              </w:rPr>
              <w:t xml:space="preserve">收件人：                       邮编：        </w:t>
            </w:r>
          </w:p>
          <w:p w14:paraId="71E30D6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1"/>
                <w:szCs w:val="21"/>
                <w:highlight w:val="none"/>
              </w:rPr>
            </w:pPr>
            <w:r>
              <w:rPr>
                <w:rFonts w:hint="eastAsia" w:ascii="仿宋_GB2312" w:eastAsia="仿宋_GB2312"/>
                <w:spacing w:val="0"/>
                <w:sz w:val="21"/>
                <w:szCs w:val="21"/>
                <w:highlight w:val="none"/>
              </w:rPr>
              <w:t xml:space="preserve">联系地址：                            </w:t>
            </w:r>
          </w:p>
          <w:p w14:paraId="4ED5F45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1"/>
                <w:szCs w:val="21"/>
                <w:highlight w:val="none"/>
              </w:rPr>
            </w:pPr>
            <w:r>
              <w:rPr>
                <w:rFonts w:hint="eastAsia" w:ascii="仿宋_GB2312" w:eastAsia="仿宋_GB2312"/>
                <w:spacing w:val="0"/>
                <w:sz w:val="21"/>
                <w:szCs w:val="21"/>
                <w:highlight w:val="none"/>
              </w:rPr>
              <w:t xml:space="preserve">联系电话：                             </w:t>
            </w:r>
          </w:p>
          <w:p w14:paraId="7575EBE6">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_GB2312" w:eastAsia="仿宋_GB2312"/>
                <w:spacing w:val="0"/>
                <w:sz w:val="21"/>
                <w:szCs w:val="21"/>
                <w:highlight w:val="none"/>
              </w:rPr>
            </w:pPr>
            <w:r>
              <w:rPr>
                <w:rFonts w:hint="eastAsia" w:ascii="仿宋_GB2312" w:eastAsia="仿宋_GB2312"/>
                <w:spacing w:val="0"/>
                <w:sz w:val="21"/>
                <w:szCs w:val="21"/>
                <w:highlight w:val="none"/>
              </w:rPr>
              <w:t xml:space="preserve">传真：                         电子邮箱：               </w:t>
            </w:r>
          </w:p>
        </w:tc>
      </w:tr>
      <w:tr w14:paraId="321A7255">
        <w:tblPrEx>
          <w:tblCellMar>
            <w:top w:w="0" w:type="dxa"/>
            <w:left w:w="108" w:type="dxa"/>
            <w:bottom w:w="0" w:type="dxa"/>
            <w:right w:w="108" w:type="dxa"/>
          </w:tblCellMar>
        </w:tblPrEx>
        <w:trPr>
          <w:trHeight w:val="2177" w:hRule="atLeast"/>
          <w:jc w:val="center"/>
        </w:trPr>
        <w:tc>
          <w:tcPr>
            <w:tcW w:w="1584" w:type="dxa"/>
            <w:tcBorders>
              <w:top w:val="single" w:color="auto" w:sz="4" w:space="0"/>
              <w:left w:val="single" w:color="auto" w:sz="4" w:space="0"/>
              <w:bottom w:val="single" w:color="auto" w:sz="4" w:space="0"/>
              <w:right w:val="single" w:color="auto" w:sz="4" w:space="0"/>
            </w:tcBorders>
            <w:vAlign w:val="center"/>
          </w:tcPr>
          <w:p w14:paraId="079612D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_GB2312" w:eastAsia="仿宋_GB2312"/>
                <w:spacing w:val="0"/>
                <w:sz w:val="21"/>
                <w:szCs w:val="21"/>
                <w:highlight w:val="none"/>
                <w:lang w:val="en-US" w:eastAsia="zh-CN"/>
              </w:rPr>
            </w:pPr>
            <w:r>
              <w:rPr>
                <w:rFonts w:hint="eastAsia" w:ascii="仿宋_GB2312" w:eastAsia="仿宋_GB2312"/>
                <w:spacing w:val="0"/>
                <w:sz w:val="21"/>
                <w:szCs w:val="21"/>
                <w:highlight w:val="none"/>
                <w:lang w:val="en-US" w:eastAsia="zh-CN"/>
              </w:rPr>
              <w:t>电子送达</w:t>
            </w:r>
          </w:p>
        </w:tc>
        <w:tc>
          <w:tcPr>
            <w:tcW w:w="8215" w:type="dxa"/>
            <w:tcBorders>
              <w:top w:val="single" w:color="auto" w:sz="4" w:space="0"/>
              <w:left w:val="nil"/>
              <w:bottom w:val="single" w:color="auto" w:sz="4" w:space="0"/>
              <w:right w:val="single" w:color="auto" w:sz="4" w:space="0"/>
            </w:tcBorders>
            <w:vAlign w:val="center"/>
          </w:tcPr>
          <w:p w14:paraId="6FAB0A1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1"/>
                <w:szCs w:val="21"/>
                <w:highlight w:val="none"/>
              </w:rPr>
            </w:pPr>
            <w:r>
              <w:rPr>
                <w:rFonts w:hint="eastAsia" w:ascii="仿宋_GB2312" w:eastAsia="仿宋_GB2312"/>
                <w:spacing w:val="0"/>
                <w:sz w:val="21"/>
                <w:szCs w:val="21"/>
                <w:highlight w:val="none"/>
              </w:rPr>
              <w:t>是否同意电子送达</w:t>
            </w:r>
            <w:r>
              <w:rPr>
                <w:rFonts w:hint="eastAsia" w:ascii="仿宋_GB2312" w:eastAsia="仿宋_GB2312"/>
                <w:spacing w:val="0"/>
                <w:sz w:val="21"/>
                <w:szCs w:val="21"/>
                <w:highlight w:val="none"/>
                <w:lang w:val="en-US" w:eastAsia="zh-CN"/>
              </w:rPr>
              <w:t>□</w:t>
            </w:r>
            <w:r>
              <w:rPr>
                <w:rFonts w:hint="eastAsia" w:ascii="仿宋_GB2312" w:eastAsia="仿宋_GB2312"/>
                <w:spacing w:val="0"/>
                <w:sz w:val="21"/>
                <w:szCs w:val="21"/>
                <w:highlight w:val="none"/>
              </w:rPr>
              <w:t>是；</w:t>
            </w:r>
            <w:r>
              <w:rPr>
                <w:rFonts w:hint="eastAsia" w:ascii="仿宋_GB2312" w:eastAsia="仿宋_GB2312"/>
                <w:spacing w:val="0"/>
                <w:sz w:val="21"/>
                <w:szCs w:val="21"/>
                <w:highlight w:val="none"/>
                <w:lang w:val="en-US" w:eastAsia="zh-CN"/>
              </w:rPr>
              <w:t>□</w:t>
            </w:r>
            <w:r>
              <w:rPr>
                <w:rFonts w:hint="eastAsia" w:ascii="仿宋_GB2312" w:eastAsia="仿宋_GB2312"/>
                <w:spacing w:val="0"/>
                <w:sz w:val="21"/>
                <w:szCs w:val="21"/>
                <w:highlight w:val="none"/>
              </w:rPr>
              <w:t>否</w:t>
            </w:r>
          </w:p>
          <w:p w14:paraId="1B51250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1"/>
                <w:szCs w:val="21"/>
                <w:highlight w:val="none"/>
              </w:rPr>
            </w:pPr>
            <w:r>
              <w:rPr>
                <w:rFonts w:hint="eastAsia" w:ascii="仿宋_GB2312" w:eastAsia="仿宋_GB2312"/>
                <w:spacing w:val="0"/>
                <w:sz w:val="21"/>
                <w:szCs w:val="21"/>
                <w:highlight w:val="none"/>
                <w:lang w:val="en-US" w:eastAsia="zh-CN"/>
              </w:rPr>
              <w:t>□</w:t>
            </w:r>
            <w:r>
              <w:rPr>
                <w:rFonts w:hint="eastAsia" w:ascii="仿宋_GB2312" w:eastAsia="仿宋_GB2312"/>
                <w:spacing w:val="0"/>
                <w:sz w:val="21"/>
                <w:szCs w:val="21"/>
                <w:highlight w:val="none"/>
              </w:rPr>
              <w:t xml:space="preserve">手机号码： </w:t>
            </w:r>
          </w:p>
          <w:p w14:paraId="6370D39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1"/>
                <w:szCs w:val="21"/>
                <w:highlight w:val="none"/>
              </w:rPr>
            </w:pPr>
            <w:r>
              <w:rPr>
                <w:rFonts w:hint="eastAsia" w:ascii="仿宋_GB2312" w:eastAsia="仿宋_GB2312"/>
                <w:spacing w:val="0"/>
                <w:sz w:val="21"/>
                <w:szCs w:val="21"/>
                <w:highlight w:val="none"/>
                <w:lang w:val="en-US" w:eastAsia="zh-CN"/>
              </w:rPr>
              <w:t>□</w:t>
            </w:r>
            <w:r>
              <w:rPr>
                <w:rFonts w:hint="eastAsia" w:ascii="仿宋_GB2312" w:eastAsia="仿宋_GB2312"/>
                <w:spacing w:val="0"/>
                <w:sz w:val="21"/>
                <w:szCs w:val="21"/>
                <w:highlight w:val="none"/>
              </w:rPr>
              <w:t>传真号码：</w:t>
            </w:r>
          </w:p>
          <w:p w14:paraId="510AC49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1"/>
                <w:szCs w:val="21"/>
                <w:highlight w:val="none"/>
              </w:rPr>
            </w:pPr>
            <w:r>
              <w:rPr>
                <w:rFonts w:hint="eastAsia" w:ascii="仿宋_GB2312" w:eastAsia="仿宋_GB2312"/>
                <w:spacing w:val="0"/>
                <w:sz w:val="21"/>
                <w:szCs w:val="21"/>
                <w:highlight w:val="none"/>
                <w:lang w:val="en-US" w:eastAsia="zh-CN"/>
              </w:rPr>
              <w:t>□</w:t>
            </w:r>
            <w:r>
              <w:rPr>
                <w:rFonts w:hint="eastAsia" w:ascii="仿宋_GB2312" w:eastAsia="仿宋_GB2312"/>
                <w:spacing w:val="0"/>
                <w:sz w:val="21"/>
                <w:szCs w:val="21"/>
                <w:highlight w:val="none"/>
              </w:rPr>
              <w:t xml:space="preserve">微信号码： </w:t>
            </w:r>
          </w:p>
          <w:p w14:paraId="3FF8DCC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1"/>
                <w:szCs w:val="21"/>
                <w:highlight w:val="none"/>
              </w:rPr>
            </w:pPr>
            <w:r>
              <w:rPr>
                <w:rFonts w:hint="eastAsia" w:ascii="仿宋_GB2312" w:eastAsia="仿宋_GB2312"/>
                <w:spacing w:val="0"/>
                <w:sz w:val="21"/>
                <w:szCs w:val="21"/>
                <w:highlight w:val="none"/>
                <w:lang w:val="en-US" w:eastAsia="zh-CN"/>
              </w:rPr>
              <w:t>□</w:t>
            </w:r>
            <w:r>
              <w:rPr>
                <w:rFonts w:hint="eastAsia" w:ascii="仿宋_GB2312" w:eastAsia="仿宋_GB2312"/>
                <w:spacing w:val="0"/>
                <w:sz w:val="21"/>
                <w:szCs w:val="21"/>
                <w:highlight w:val="none"/>
              </w:rPr>
              <w:t>QQ号码：</w:t>
            </w:r>
          </w:p>
          <w:p w14:paraId="7C99D66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eastAsia="仿宋_GB2312"/>
                <w:spacing w:val="0"/>
                <w:sz w:val="21"/>
                <w:szCs w:val="21"/>
                <w:highlight w:val="none"/>
              </w:rPr>
            </w:pPr>
            <w:r>
              <w:rPr>
                <w:rFonts w:hint="eastAsia" w:ascii="仿宋_GB2312" w:eastAsia="仿宋_GB2312"/>
                <w:spacing w:val="0"/>
                <w:sz w:val="21"/>
                <w:szCs w:val="21"/>
                <w:highlight w:val="none"/>
                <w:lang w:val="en-US" w:eastAsia="zh-CN"/>
              </w:rPr>
              <w:t>□</w:t>
            </w:r>
            <w:r>
              <w:rPr>
                <w:rFonts w:hint="eastAsia" w:ascii="仿宋_GB2312" w:eastAsia="仿宋_GB2312"/>
                <w:spacing w:val="0"/>
                <w:sz w:val="21"/>
                <w:szCs w:val="21"/>
                <w:highlight w:val="none"/>
              </w:rPr>
              <w:t>电子邮件地址：</w:t>
            </w:r>
          </w:p>
        </w:tc>
      </w:tr>
      <w:tr w14:paraId="7A18F98C">
        <w:tblPrEx>
          <w:tblCellMar>
            <w:top w:w="0" w:type="dxa"/>
            <w:left w:w="108" w:type="dxa"/>
            <w:bottom w:w="0" w:type="dxa"/>
            <w:right w:w="108" w:type="dxa"/>
          </w:tblCellMar>
        </w:tblPrEx>
        <w:trPr>
          <w:trHeight w:val="1335" w:hRule="atLeast"/>
          <w:jc w:val="center"/>
        </w:trPr>
        <w:tc>
          <w:tcPr>
            <w:tcW w:w="1584" w:type="dxa"/>
            <w:tcBorders>
              <w:top w:val="single" w:color="auto" w:sz="4" w:space="0"/>
              <w:left w:val="single" w:color="auto" w:sz="4" w:space="0"/>
              <w:bottom w:val="single" w:color="auto" w:sz="4" w:space="0"/>
              <w:right w:val="single" w:color="auto" w:sz="4" w:space="0"/>
            </w:tcBorders>
            <w:vAlign w:val="center"/>
          </w:tcPr>
          <w:p w14:paraId="000483EB">
            <w:pPr>
              <w:keepNext w:val="0"/>
              <w:keepLines w:val="0"/>
              <w:pageBreakBefore w:val="0"/>
              <w:widowControl w:val="0"/>
              <w:kinsoku/>
              <w:overflowPunct/>
              <w:topLinePunct w:val="0"/>
              <w:autoSpaceDE/>
              <w:autoSpaceDN/>
              <w:bidi w:val="0"/>
              <w:adjustRightInd/>
              <w:snapToGrid/>
              <w:spacing w:line="360" w:lineRule="exact"/>
              <w:textAlignment w:val="auto"/>
              <w:rPr>
                <w:rFonts w:ascii="仿宋_GB2312" w:eastAsia="仿宋_GB2312"/>
                <w:spacing w:val="0"/>
                <w:sz w:val="21"/>
                <w:szCs w:val="21"/>
                <w:highlight w:val="none"/>
              </w:rPr>
            </w:pPr>
            <w:r>
              <w:rPr>
                <w:rFonts w:hint="eastAsia" w:ascii="仿宋_GB2312" w:eastAsia="仿宋_GB2312"/>
                <w:spacing w:val="0"/>
                <w:sz w:val="21"/>
                <w:szCs w:val="21"/>
                <w:highlight w:val="none"/>
              </w:rPr>
              <w:t>债权人对自己送达地址的确认</w:t>
            </w:r>
          </w:p>
        </w:tc>
        <w:tc>
          <w:tcPr>
            <w:tcW w:w="8215" w:type="dxa"/>
            <w:tcBorders>
              <w:top w:val="single" w:color="auto" w:sz="4" w:space="0"/>
              <w:left w:val="nil"/>
              <w:bottom w:val="single" w:color="auto" w:sz="4" w:space="0"/>
              <w:right w:val="single" w:color="auto" w:sz="4" w:space="0"/>
            </w:tcBorders>
            <w:vAlign w:val="center"/>
          </w:tcPr>
          <w:p w14:paraId="7827D280">
            <w:pPr>
              <w:keepNext w:val="0"/>
              <w:keepLines w:val="0"/>
              <w:pageBreakBefore w:val="0"/>
              <w:widowControl w:val="0"/>
              <w:kinsoku/>
              <w:overflowPunct/>
              <w:topLinePunct w:val="0"/>
              <w:autoSpaceDE/>
              <w:autoSpaceDN/>
              <w:bidi w:val="0"/>
              <w:adjustRightInd/>
              <w:snapToGrid/>
              <w:spacing w:line="360" w:lineRule="exact"/>
              <w:ind w:firstLine="420" w:firstLineChars="200"/>
              <w:textAlignment w:val="auto"/>
              <w:rPr>
                <w:rFonts w:ascii="仿宋_GB2312" w:eastAsia="仿宋_GB2312"/>
                <w:spacing w:val="0"/>
                <w:sz w:val="21"/>
                <w:szCs w:val="21"/>
                <w:highlight w:val="none"/>
              </w:rPr>
            </w:pPr>
            <w:r>
              <w:rPr>
                <w:rFonts w:hint="eastAsia" w:ascii="仿宋_GB2312" w:eastAsia="仿宋_GB2312"/>
                <w:spacing w:val="0"/>
                <w:sz w:val="21"/>
                <w:szCs w:val="21"/>
                <w:highlight w:val="none"/>
              </w:rPr>
              <w:t>我已经阅读了管理人对债权人填写送达地址确认书的告知事项，并保证上述送达地址是准确、有效的。</w:t>
            </w:r>
          </w:p>
          <w:p w14:paraId="1F4B39CB">
            <w:pPr>
              <w:keepNext w:val="0"/>
              <w:keepLines w:val="0"/>
              <w:pageBreakBefore w:val="0"/>
              <w:widowControl w:val="0"/>
              <w:kinsoku/>
              <w:wordWrap w:val="0"/>
              <w:overflowPunct/>
              <w:topLinePunct w:val="0"/>
              <w:autoSpaceDE/>
              <w:autoSpaceDN/>
              <w:bidi w:val="0"/>
              <w:adjustRightInd/>
              <w:snapToGrid/>
              <w:spacing w:line="360" w:lineRule="exact"/>
              <w:jc w:val="right"/>
              <w:textAlignment w:val="auto"/>
              <w:rPr>
                <w:rFonts w:hint="eastAsia" w:ascii="仿宋_GB2312" w:eastAsia="仿宋_GB2312"/>
                <w:spacing w:val="0"/>
                <w:sz w:val="21"/>
                <w:szCs w:val="21"/>
                <w:highlight w:val="none"/>
              </w:rPr>
            </w:pPr>
            <w:r>
              <w:rPr>
                <w:rFonts w:hint="eastAsia" w:ascii="仿宋_GB2312" w:eastAsia="仿宋_GB2312"/>
                <w:spacing w:val="0"/>
                <w:sz w:val="21"/>
                <w:szCs w:val="21"/>
                <w:highlight w:val="none"/>
              </w:rPr>
              <w:t xml:space="preserve">债权人或其代理人签名、盖章或捺印：               </w:t>
            </w:r>
          </w:p>
          <w:p w14:paraId="7B8BA356">
            <w:pPr>
              <w:keepNext w:val="0"/>
              <w:keepLines w:val="0"/>
              <w:pageBreakBefore w:val="0"/>
              <w:widowControl w:val="0"/>
              <w:kinsoku/>
              <w:wordWrap w:val="0"/>
              <w:overflowPunct/>
              <w:topLinePunct w:val="0"/>
              <w:autoSpaceDE/>
              <w:autoSpaceDN/>
              <w:bidi w:val="0"/>
              <w:adjustRightInd/>
              <w:snapToGrid/>
              <w:spacing w:line="360" w:lineRule="exact"/>
              <w:jc w:val="right"/>
              <w:textAlignment w:val="auto"/>
              <w:rPr>
                <w:rFonts w:ascii="仿宋_GB2312" w:eastAsia="仿宋_GB2312"/>
                <w:spacing w:val="0"/>
                <w:sz w:val="21"/>
                <w:szCs w:val="21"/>
                <w:highlight w:val="none"/>
              </w:rPr>
            </w:pPr>
            <w:r>
              <w:rPr>
                <w:rFonts w:hint="eastAsia" w:ascii="仿宋_GB2312" w:eastAsia="仿宋_GB2312"/>
                <w:spacing w:val="0"/>
                <w:sz w:val="21"/>
                <w:szCs w:val="21"/>
                <w:highlight w:val="none"/>
              </w:rPr>
              <w:t>年   月   日</w:t>
            </w:r>
          </w:p>
        </w:tc>
      </w:tr>
      <w:tr w14:paraId="09EF5F2F">
        <w:tblPrEx>
          <w:tblCellMar>
            <w:top w:w="0" w:type="dxa"/>
            <w:left w:w="108" w:type="dxa"/>
            <w:bottom w:w="0" w:type="dxa"/>
            <w:right w:w="108" w:type="dxa"/>
          </w:tblCellMar>
        </w:tblPrEx>
        <w:trPr>
          <w:trHeight w:val="502" w:hRule="atLeast"/>
          <w:jc w:val="center"/>
        </w:trPr>
        <w:tc>
          <w:tcPr>
            <w:tcW w:w="1584" w:type="dxa"/>
            <w:tcBorders>
              <w:top w:val="single" w:color="auto" w:sz="4" w:space="0"/>
              <w:left w:val="single" w:color="auto" w:sz="4" w:space="0"/>
              <w:bottom w:val="single" w:color="auto" w:sz="4" w:space="0"/>
              <w:right w:val="single" w:color="auto" w:sz="4" w:space="0"/>
            </w:tcBorders>
            <w:vAlign w:val="center"/>
          </w:tcPr>
          <w:p w14:paraId="2665EA72">
            <w:pPr>
              <w:spacing w:line="360" w:lineRule="auto"/>
              <w:ind w:firstLine="420" w:firstLineChars="200"/>
              <w:rPr>
                <w:rFonts w:ascii="仿宋_GB2312" w:eastAsia="仿宋_GB2312"/>
                <w:spacing w:val="0"/>
                <w:sz w:val="21"/>
                <w:szCs w:val="21"/>
                <w:highlight w:val="none"/>
              </w:rPr>
            </w:pPr>
            <w:r>
              <w:rPr>
                <w:rFonts w:hint="eastAsia" w:ascii="仿宋_GB2312" w:eastAsia="仿宋_GB2312"/>
                <w:spacing w:val="0"/>
                <w:sz w:val="21"/>
                <w:szCs w:val="21"/>
                <w:highlight w:val="none"/>
              </w:rPr>
              <w:t>备注</w:t>
            </w:r>
          </w:p>
        </w:tc>
        <w:tc>
          <w:tcPr>
            <w:tcW w:w="8215" w:type="dxa"/>
            <w:tcBorders>
              <w:top w:val="single" w:color="auto" w:sz="4" w:space="0"/>
              <w:left w:val="nil"/>
              <w:bottom w:val="single" w:color="auto" w:sz="4" w:space="0"/>
              <w:right w:val="single" w:color="auto" w:sz="4" w:space="0"/>
            </w:tcBorders>
            <w:vAlign w:val="center"/>
          </w:tcPr>
          <w:p w14:paraId="0B552CBE">
            <w:pPr>
              <w:spacing w:line="360" w:lineRule="auto"/>
              <w:rPr>
                <w:rFonts w:ascii="仿宋_GB2312" w:eastAsia="仿宋_GB2312"/>
                <w:spacing w:val="0"/>
                <w:sz w:val="21"/>
                <w:szCs w:val="21"/>
                <w:highlight w:val="none"/>
              </w:rPr>
            </w:pPr>
          </w:p>
        </w:tc>
      </w:tr>
    </w:tbl>
    <w:p w14:paraId="2807DB15">
      <w:pPr>
        <w:widowControl/>
        <w:jc w:val="center"/>
        <w:rPr>
          <w:rFonts w:hint="eastAsia" w:ascii="黑体" w:hAnsi="黑体" w:eastAsia="黑体" w:cs="黑体"/>
          <w:b/>
          <w:bCs/>
          <w:spacing w:val="0"/>
          <w:sz w:val="44"/>
          <w:szCs w:val="44"/>
          <w:highlight w:val="none"/>
          <w:lang w:val="en-US" w:eastAsia="zh-CN"/>
        </w:rPr>
      </w:pPr>
      <w:r>
        <w:rPr>
          <w:rFonts w:hint="eastAsia" w:ascii="黑体" w:hAnsi="黑体" w:eastAsia="黑体" w:cs="黑体"/>
          <w:b/>
          <w:bCs/>
          <w:spacing w:val="0"/>
          <w:sz w:val="44"/>
          <w:szCs w:val="44"/>
          <w:highlight w:val="none"/>
          <w:lang w:val="en-US" w:eastAsia="zh-CN"/>
        </w:rPr>
        <w:t>法定代表人（负责人）身份证明书</w:t>
      </w:r>
    </w:p>
    <w:p w14:paraId="47441643">
      <w:pPr>
        <w:spacing w:line="520" w:lineRule="exact"/>
        <w:jc w:val="center"/>
        <w:rPr>
          <w:rFonts w:hint="eastAsia" w:ascii="仿宋_GB2312" w:eastAsia="仿宋_GB2312"/>
          <w:b/>
          <w:bCs/>
          <w:spacing w:val="0"/>
          <w:sz w:val="36"/>
          <w:szCs w:val="36"/>
          <w:highlight w:val="none"/>
        </w:rPr>
      </w:pPr>
      <w:r>
        <w:rPr>
          <w:rFonts w:hint="eastAsia" w:ascii="仿宋_GB2312" w:eastAsia="仿宋_GB2312"/>
          <w:b/>
          <w:bCs/>
          <w:spacing w:val="0"/>
          <w:sz w:val="36"/>
          <w:szCs w:val="36"/>
          <w:highlight w:val="none"/>
        </w:rPr>
        <w:t xml:space="preserve"> </w:t>
      </w:r>
    </w:p>
    <w:p w14:paraId="6FBDCB86">
      <w:pPr>
        <w:snapToGrid w:val="0"/>
        <w:spacing w:line="680" w:lineRule="exact"/>
        <w:ind w:right="586" w:rightChars="279" w:firstLine="640" w:firstLineChars="200"/>
        <w:rPr>
          <w:rFonts w:hint="eastAsia" w:ascii="方正仿宋_GB2312" w:hAnsi="方正仿宋_GB2312" w:eastAsia="方正仿宋_GB2312" w:cs="方正仿宋_GB2312"/>
          <w:spacing w:val="0"/>
          <w:sz w:val="32"/>
          <w:szCs w:val="32"/>
          <w:highlight w:val="none"/>
        </w:rPr>
      </w:pPr>
      <w:r>
        <w:rPr>
          <w:rFonts w:hint="eastAsia" w:ascii="方正仿宋_GB2312" w:hAnsi="方正仿宋_GB2312" w:eastAsia="方正仿宋_GB2312" w:cs="方正仿宋_GB2312"/>
          <w:spacing w:val="0"/>
          <w:sz w:val="32"/>
          <w:szCs w:val="32"/>
          <w:highlight w:val="none"/>
        </w:rPr>
        <w:t>兹证明</w:t>
      </w:r>
      <w:r>
        <w:rPr>
          <w:rFonts w:hint="eastAsia" w:ascii="方正仿宋_GB2312" w:hAnsi="方正仿宋_GB2312" w:eastAsia="方正仿宋_GB2312" w:cs="方正仿宋_GB2312"/>
          <w:spacing w:val="0"/>
          <w:sz w:val="32"/>
          <w:szCs w:val="32"/>
          <w:highlight w:val="none"/>
          <w:u w:val="single"/>
        </w:rPr>
        <w:t xml:space="preserve">        </w:t>
      </w:r>
      <w:r>
        <w:rPr>
          <w:rFonts w:hint="eastAsia" w:ascii="方正仿宋_GB2312" w:hAnsi="方正仿宋_GB2312" w:eastAsia="方正仿宋_GB2312" w:cs="方正仿宋_GB2312"/>
          <w:spacing w:val="0"/>
          <w:sz w:val="32"/>
          <w:szCs w:val="32"/>
          <w:highlight w:val="none"/>
        </w:rPr>
        <w:t>（身份证号码：</w:t>
      </w:r>
      <w:r>
        <w:rPr>
          <w:rFonts w:hint="eastAsia" w:ascii="方正仿宋_GB2312" w:hAnsi="方正仿宋_GB2312" w:eastAsia="方正仿宋_GB2312" w:cs="方正仿宋_GB2312"/>
          <w:spacing w:val="0"/>
          <w:sz w:val="32"/>
          <w:szCs w:val="32"/>
          <w:highlight w:val="none"/>
          <w:u w:val="single"/>
        </w:rPr>
        <w:t xml:space="preserve">                </w:t>
      </w:r>
      <w:r>
        <w:rPr>
          <w:rFonts w:hint="eastAsia" w:ascii="方正仿宋_GB2312" w:hAnsi="方正仿宋_GB2312" w:eastAsia="方正仿宋_GB2312" w:cs="方正仿宋_GB2312"/>
          <w:spacing w:val="0"/>
          <w:sz w:val="32"/>
          <w:szCs w:val="32"/>
          <w:highlight w:val="none"/>
        </w:rPr>
        <w:t>）在我单位担任</w:t>
      </w:r>
      <w:r>
        <w:rPr>
          <w:rFonts w:hint="eastAsia" w:ascii="方正仿宋_GB2312" w:hAnsi="方正仿宋_GB2312" w:eastAsia="方正仿宋_GB2312" w:cs="方正仿宋_GB2312"/>
          <w:spacing w:val="0"/>
          <w:sz w:val="32"/>
          <w:szCs w:val="32"/>
          <w:highlight w:val="none"/>
          <w:u w:val="single"/>
        </w:rPr>
        <w:t xml:space="preserve">            </w:t>
      </w:r>
      <w:r>
        <w:rPr>
          <w:rFonts w:hint="eastAsia" w:ascii="方正仿宋_GB2312" w:hAnsi="方正仿宋_GB2312" w:eastAsia="方正仿宋_GB2312" w:cs="方正仿宋_GB2312"/>
          <w:spacing w:val="0"/>
          <w:sz w:val="32"/>
          <w:szCs w:val="32"/>
          <w:highlight w:val="none"/>
        </w:rPr>
        <w:t>职务，为我单位的法定代表人（负责人）。</w:t>
      </w:r>
    </w:p>
    <w:p w14:paraId="289B32CB">
      <w:pPr>
        <w:snapToGrid w:val="0"/>
        <w:spacing w:line="520" w:lineRule="exact"/>
        <w:ind w:firstLine="643" w:firstLineChars="200"/>
        <w:rPr>
          <w:rFonts w:hint="eastAsia" w:ascii="方正仿宋_GB2312" w:hAnsi="方正仿宋_GB2312" w:eastAsia="方正仿宋_GB2312" w:cs="方正仿宋_GB2312"/>
          <w:b/>
          <w:bCs/>
          <w:spacing w:val="0"/>
          <w:sz w:val="32"/>
          <w:szCs w:val="32"/>
          <w:highlight w:val="none"/>
        </w:rPr>
      </w:pPr>
      <w:r>
        <w:rPr>
          <w:rFonts w:hint="eastAsia" w:ascii="方正仿宋_GB2312" w:hAnsi="方正仿宋_GB2312" w:eastAsia="方正仿宋_GB2312" w:cs="方正仿宋_GB2312"/>
          <w:b/>
          <w:bCs/>
          <w:spacing w:val="0"/>
          <w:sz w:val="32"/>
          <w:szCs w:val="32"/>
          <w:highlight w:val="none"/>
        </w:rPr>
        <w:t xml:space="preserve"> </w:t>
      </w:r>
    </w:p>
    <w:p w14:paraId="7483D9A3">
      <w:pPr>
        <w:snapToGrid w:val="0"/>
        <w:spacing w:line="520" w:lineRule="exact"/>
        <w:ind w:firstLine="643" w:firstLineChars="200"/>
        <w:rPr>
          <w:rFonts w:hint="eastAsia" w:ascii="方正仿宋_GB2312" w:hAnsi="方正仿宋_GB2312" w:eastAsia="方正仿宋_GB2312" w:cs="方正仿宋_GB2312"/>
          <w:b/>
          <w:bCs/>
          <w:spacing w:val="0"/>
          <w:sz w:val="32"/>
          <w:szCs w:val="32"/>
          <w:highlight w:val="none"/>
        </w:rPr>
      </w:pPr>
      <w:r>
        <w:rPr>
          <w:rFonts w:hint="eastAsia" w:ascii="方正仿宋_GB2312" w:hAnsi="方正仿宋_GB2312" w:eastAsia="方正仿宋_GB2312" w:cs="方正仿宋_GB2312"/>
          <w:b/>
          <w:bCs/>
          <w:spacing w:val="0"/>
          <w:sz w:val="32"/>
          <w:szCs w:val="32"/>
          <w:highlight w:val="none"/>
        </w:rPr>
        <w:t xml:space="preserve"> </w:t>
      </w:r>
    </w:p>
    <w:p w14:paraId="6AFE0C54">
      <w:pPr>
        <w:snapToGrid w:val="0"/>
        <w:spacing w:line="520" w:lineRule="exact"/>
        <w:ind w:firstLine="643" w:firstLineChars="200"/>
        <w:rPr>
          <w:rFonts w:hint="eastAsia" w:ascii="方正仿宋_GB2312" w:hAnsi="方正仿宋_GB2312" w:eastAsia="方正仿宋_GB2312" w:cs="方正仿宋_GB2312"/>
          <w:b/>
          <w:bCs/>
          <w:spacing w:val="0"/>
          <w:sz w:val="32"/>
          <w:szCs w:val="32"/>
          <w:highlight w:val="none"/>
        </w:rPr>
      </w:pPr>
      <w:r>
        <w:rPr>
          <w:rFonts w:hint="eastAsia" w:ascii="方正仿宋_GB2312" w:hAnsi="方正仿宋_GB2312" w:eastAsia="方正仿宋_GB2312" w:cs="方正仿宋_GB2312"/>
          <w:b/>
          <w:bCs/>
          <w:spacing w:val="0"/>
          <w:sz w:val="32"/>
          <w:szCs w:val="32"/>
          <w:highlight w:val="none"/>
        </w:rPr>
        <w:t xml:space="preserve"> </w:t>
      </w:r>
    </w:p>
    <w:p w14:paraId="7B7ABF96">
      <w:pPr>
        <w:snapToGrid w:val="0"/>
        <w:spacing w:line="520" w:lineRule="exact"/>
        <w:ind w:firstLine="640" w:firstLineChars="200"/>
        <w:rPr>
          <w:rFonts w:hint="eastAsia" w:ascii="方正仿宋_GB2312" w:hAnsi="方正仿宋_GB2312" w:eastAsia="方正仿宋_GB2312" w:cs="方正仿宋_GB2312"/>
          <w:spacing w:val="0"/>
          <w:sz w:val="32"/>
          <w:szCs w:val="32"/>
          <w:highlight w:val="none"/>
        </w:rPr>
      </w:pPr>
      <w:r>
        <w:rPr>
          <w:rFonts w:hint="eastAsia" w:ascii="方正仿宋_GB2312" w:hAnsi="方正仿宋_GB2312" w:eastAsia="方正仿宋_GB2312" w:cs="方正仿宋_GB2312"/>
          <w:spacing w:val="0"/>
          <w:sz w:val="32"/>
          <w:szCs w:val="32"/>
          <w:highlight w:val="none"/>
        </w:rPr>
        <w:t xml:space="preserve"> </w:t>
      </w:r>
    </w:p>
    <w:p w14:paraId="0B602B3D">
      <w:pPr>
        <w:wordWrap w:val="0"/>
        <w:snapToGrid w:val="0"/>
        <w:spacing w:line="520" w:lineRule="exact"/>
        <w:ind w:firstLine="640" w:firstLineChars="200"/>
        <w:jc w:val="right"/>
        <w:rPr>
          <w:rFonts w:hint="eastAsia" w:ascii="方正仿宋_GB2312" w:hAnsi="方正仿宋_GB2312" w:eastAsia="方正仿宋_GB2312" w:cs="方正仿宋_GB2312"/>
          <w:spacing w:val="0"/>
          <w:sz w:val="32"/>
          <w:szCs w:val="32"/>
          <w:highlight w:val="none"/>
        </w:rPr>
      </w:pPr>
      <w:r>
        <w:rPr>
          <w:rFonts w:hint="eastAsia" w:ascii="方正仿宋_GB2312" w:hAnsi="方正仿宋_GB2312" w:eastAsia="方正仿宋_GB2312" w:cs="方正仿宋_GB2312"/>
          <w:spacing w:val="0"/>
          <w:sz w:val="32"/>
          <w:szCs w:val="32"/>
          <w:highlight w:val="none"/>
        </w:rPr>
        <w:t xml:space="preserve">单位：（盖章）      </w:t>
      </w:r>
    </w:p>
    <w:p w14:paraId="7AFBD804">
      <w:pPr>
        <w:snapToGrid w:val="0"/>
        <w:spacing w:line="520" w:lineRule="exact"/>
        <w:ind w:firstLine="640" w:firstLineChars="200"/>
        <w:jc w:val="right"/>
        <w:rPr>
          <w:rFonts w:hint="eastAsia" w:ascii="方正仿宋_GB2312" w:hAnsi="方正仿宋_GB2312" w:eastAsia="方正仿宋_GB2312" w:cs="方正仿宋_GB2312"/>
          <w:spacing w:val="0"/>
          <w:sz w:val="32"/>
          <w:szCs w:val="32"/>
          <w:highlight w:val="none"/>
        </w:rPr>
      </w:pPr>
      <w:r>
        <w:rPr>
          <w:rFonts w:hint="eastAsia" w:ascii="方正仿宋_GB2312" w:hAnsi="方正仿宋_GB2312" w:eastAsia="方正仿宋_GB2312" w:cs="方正仿宋_GB2312"/>
          <w:spacing w:val="0"/>
          <w:sz w:val="32"/>
          <w:szCs w:val="32"/>
          <w:highlight w:val="none"/>
        </w:rPr>
        <w:t>年   月  日</w:t>
      </w:r>
    </w:p>
    <w:p w14:paraId="5387E4D4">
      <w:pPr>
        <w:snapToGrid w:val="0"/>
        <w:spacing w:line="520" w:lineRule="exact"/>
        <w:ind w:firstLine="643" w:firstLineChars="200"/>
        <w:rPr>
          <w:rFonts w:hint="eastAsia" w:ascii="方正仿宋_GB2312" w:hAnsi="方正仿宋_GB2312" w:eastAsia="方正仿宋_GB2312" w:cs="方正仿宋_GB2312"/>
          <w:b/>
          <w:bCs/>
          <w:spacing w:val="0"/>
          <w:sz w:val="32"/>
          <w:szCs w:val="32"/>
          <w:highlight w:val="none"/>
        </w:rPr>
      </w:pPr>
      <w:r>
        <w:rPr>
          <w:rFonts w:hint="eastAsia" w:ascii="方正仿宋_GB2312" w:hAnsi="方正仿宋_GB2312" w:eastAsia="方正仿宋_GB2312" w:cs="方正仿宋_GB2312"/>
          <w:b/>
          <w:bCs/>
          <w:spacing w:val="0"/>
          <w:sz w:val="32"/>
          <w:szCs w:val="32"/>
          <w:highlight w:val="none"/>
        </w:rPr>
        <w:t xml:space="preserve"> </w:t>
      </w:r>
    </w:p>
    <w:p w14:paraId="6A8B743C">
      <w:pPr>
        <w:snapToGrid w:val="0"/>
        <w:spacing w:line="520" w:lineRule="exact"/>
        <w:ind w:firstLine="643" w:firstLineChars="200"/>
        <w:rPr>
          <w:rFonts w:hint="eastAsia" w:ascii="方正仿宋_GB2312" w:hAnsi="方正仿宋_GB2312" w:eastAsia="方正仿宋_GB2312" w:cs="方正仿宋_GB2312"/>
          <w:b/>
          <w:bCs/>
          <w:spacing w:val="0"/>
          <w:sz w:val="32"/>
          <w:szCs w:val="32"/>
          <w:highlight w:val="none"/>
        </w:rPr>
      </w:pPr>
      <w:r>
        <w:rPr>
          <w:rFonts w:hint="eastAsia" w:ascii="方正仿宋_GB2312" w:hAnsi="方正仿宋_GB2312" w:eastAsia="方正仿宋_GB2312" w:cs="方正仿宋_GB2312"/>
          <w:b/>
          <w:bCs/>
          <w:spacing w:val="0"/>
          <w:sz w:val="32"/>
          <w:szCs w:val="32"/>
          <w:highlight w:val="none"/>
        </w:rPr>
        <w:t xml:space="preserve"> </w:t>
      </w:r>
    </w:p>
    <w:p w14:paraId="57697A90">
      <w:pPr>
        <w:snapToGrid w:val="0"/>
        <w:spacing w:line="520" w:lineRule="exact"/>
        <w:ind w:firstLine="643" w:firstLineChars="200"/>
        <w:rPr>
          <w:rFonts w:hint="eastAsia" w:ascii="方正仿宋_GB2312" w:hAnsi="方正仿宋_GB2312" w:eastAsia="方正仿宋_GB2312" w:cs="方正仿宋_GB2312"/>
          <w:b/>
          <w:bCs/>
          <w:spacing w:val="0"/>
          <w:sz w:val="32"/>
          <w:szCs w:val="32"/>
          <w:highlight w:val="none"/>
        </w:rPr>
      </w:pPr>
      <w:r>
        <w:rPr>
          <w:rFonts w:hint="eastAsia" w:ascii="方正仿宋_GB2312" w:hAnsi="方正仿宋_GB2312" w:eastAsia="方正仿宋_GB2312" w:cs="方正仿宋_GB2312"/>
          <w:b/>
          <w:bCs/>
          <w:spacing w:val="0"/>
          <w:sz w:val="32"/>
          <w:szCs w:val="32"/>
          <w:highlight w:val="none"/>
        </w:rPr>
        <w:t xml:space="preserve"> </w:t>
      </w:r>
    </w:p>
    <w:p w14:paraId="02803CD1">
      <w:pPr>
        <w:snapToGrid w:val="0"/>
        <w:spacing w:line="520" w:lineRule="exact"/>
        <w:ind w:firstLine="643" w:firstLineChars="200"/>
        <w:rPr>
          <w:rFonts w:hint="eastAsia" w:ascii="方正仿宋_GB2312" w:hAnsi="方正仿宋_GB2312" w:eastAsia="方正仿宋_GB2312" w:cs="方正仿宋_GB2312"/>
          <w:b/>
          <w:bCs/>
          <w:spacing w:val="0"/>
          <w:sz w:val="32"/>
          <w:szCs w:val="32"/>
          <w:highlight w:val="none"/>
        </w:rPr>
      </w:pPr>
      <w:r>
        <w:rPr>
          <w:rFonts w:hint="eastAsia" w:ascii="方正仿宋_GB2312" w:hAnsi="方正仿宋_GB2312" w:eastAsia="方正仿宋_GB2312" w:cs="方正仿宋_GB2312"/>
          <w:b/>
          <w:bCs/>
          <w:spacing w:val="0"/>
          <w:sz w:val="32"/>
          <w:szCs w:val="32"/>
          <w:highlight w:val="none"/>
        </w:rPr>
        <w:t xml:space="preserve"> </w:t>
      </w:r>
    </w:p>
    <w:p w14:paraId="6B58E68F">
      <w:pPr>
        <w:snapToGrid w:val="0"/>
        <w:spacing w:line="520" w:lineRule="exact"/>
        <w:ind w:firstLine="643" w:firstLineChars="200"/>
        <w:rPr>
          <w:rFonts w:hint="eastAsia" w:ascii="方正仿宋_GB2312" w:hAnsi="方正仿宋_GB2312" w:eastAsia="方正仿宋_GB2312" w:cs="方正仿宋_GB2312"/>
          <w:b/>
          <w:bCs/>
          <w:spacing w:val="0"/>
          <w:sz w:val="32"/>
          <w:szCs w:val="32"/>
          <w:highlight w:val="none"/>
        </w:rPr>
      </w:pPr>
      <w:r>
        <w:rPr>
          <w:rFonts w:hint="eastAsia" w:ascii="方正仿宋_GB2312" w:hAnsi="方正仿宋_GB2312" w:eastAsia="方正仿宋_GB2312" w:cs="方正仿宋_GB2312"/>
          <w:b/>
          <w:bCs/>
          <w:spacing w:val="0"/>
          <w:sz w:val="32"/>
          <w:szCs w:val="32"/>
          <w:highlight w:val="none"/>
        </w:rPr>
        <w:t xml:space="preserve"> </w:t>
      </w:r>
    </w:p>
    <w:p w14:paraId="7BD145FE">
      <w:pPr>
        <w:snapToGrid w:val="0"/>
        <w:spacing w:line="520" w:lineRule="exact"/>
        <w:ind w:firstLine="643" w:firstLineChars="200"/>
        <w:rPr>
          <w:rFonts w:hint="eastAsia" w:ascii="方正仿宋_GB2312" w:hAnsi="方正仿宋_GB2312" w:eastAsia="方正仿宋_GB2312" w:cs="方正仿宋_GB2312"/>
          <w:b/>
          <w:bCs/>
          <w:spacing w:val="0"/>
          <w:sz w:val="32"/>
          <w:szCs w:val="32"/>
          <w:highlight w:val="none"/>
        </w:rPr>
      </w:pPr>
    </w:p>
    <w:p w14:paraId="4B49B646">
      <w:pPr>
        <w:snapToGrid w:val="0"/>
        <w:spacing w:line="520" w:lineRule="exact"/>
        <w:ind w:firstLine="643" w:firstLineChars="200"/>
        <w:rPr>
          <w:rFonts w:hint="eastAsia" w:ascii="方正仿宋_GB2312" w:hAnsi="方正仿宋_GB2312" w:eastAsia="方正仿宋_GB2312" w:cs="方正仿宋_GB2312"/>
          <w:b/>
          <w:bCs/>
          <w:spacing w:val="0"/>
          <w:sz w:val="32"/>
          <w:szCs w:val="32"/>
          <w:highlight w:val="none"/>
        </w:rPr>
      </w:pPr>
    </w:p>
    <w:p w14:paraId="32B770DB">
      <w:pPr>
        <w:snapToGrid w:val="0"/>
        <w:spacing w:line="520" w:lineRule="exact"/>
        <w:ind w:firstLine="643" w:firstLineChars="200"/>
        <w:rPr>
          <w:rFonts w:hint="eastAsia" w:ascii="方正仿宋_GB2312" w:hAnsi="方正仿宋_GB2312" w:eastAsia="方正仿宋_GB2312" w:cs="方正仿宋_GB2312"/>
          <w:b/>
          <w:bCs/>
          <w:spacing w:val="0"/>
          <w:sz w:val="32"/>
          <w:szCs w:val="32"/>
          <w:highlight w:val="none"/>
        </w:rPr>
      </w:pPr>
    </w:p>
    <w:p w14:paraId="430CA32D">
      <w:pPr>
        <w:snapToGrid w:val="0"/>
        <w:spacing w:line="520" w:lineRule="exact"/>
        <w:rPr>
          <w:rFonts w:hint="eastAsia" w:ascii="方正仿宋_GB2312" w:hAnsi="方正仿宋_GB2312" w:eastAsia="方正仿宋_GB2312" w:cs="方正仿宋_GB2312"/>
          <w:b/>
          <w:bCs/>
          <w:spacing w:val="0"/>
          <w:sz w:val="32"/>
          <w:szCs w:val="32"/>
          <w:highlight w:val="none"/>
        </w:rPr>
      </w:pPr>
    </w:p>
    <w:p w14:paraId="095371A3">
      <w:pPr>
        <w:snapToGrid w:val="0"/>
        <w:spacing w:line="520" w:lineRule="exact"/>
        <w:ind w:firstLine="643" w:firstLineChars="200"/>
        <w:rPr>
          <w:rFonts w:hint="eastAsia" w:ascii="方正仿宋_GB2312" w:hAnsi="方正仿宋_GB2312" w:eastAsia="方正仿宋_GB2312" w:cs="方正仿宋_GB2312"/>
          <w:b/>
          <w:bCs/>
          <w:spacing w:val="0"/>
          <w:sz w:val="32"/>
          <w:szCs w:val="32"/>
          <w:highlight w:val="none"/>
        </w:rPr>
      </w:pPr>
      <w:r>
        <w:rPr>
          <w:rFonts w:hint="eastAsia" w:ascii="方正仿宋_GB2312" w:hAnsi="方正仿宋_GB2312" w:eastAsia="方正仿宋_GB2312" w:cs="方正仿宋_GB2312"/>
          <w:b/>
          <w:bCs/>
          <w:spacing w:val="0"/>
          <w:sz w:val="32"/>
          <w:szCs w:val="32"/>
          <w:highlight w:val="none"/>
        </w:rPr>
        <w:t xml:space="preserve"> </w:t>
      </w:r>
    </w:p>
    <w:p w14:paraId="124E724F">
      <w:pPr>
        <w:snapToGrid w:val="0"/>
        <w:spacing w:line="520" w:lineRule="exact"/>
        <w:rPr>
          <w:rFonts w:hint="eastAsia" w:ascii="方正仿宋_GB2312" w:hAnsi="方正仿宋_GB2312" w:eastAsia="方正仿宋_GB2312" w:cs="方正仿宋_GB2312"/>
          <w:spacing w:val="0"/>
          <w:sz w:val="32"/>
          <w:szCs w:val="32"/>
          <w:highlight w:val="none"/>
        </w:rPr>
      </w:pPr>
      <w:r>
        <w:rPr>
          <w:rFonts w:hint="eastAsia" w:ascii="方正仿宋_GB2312" w:hAnsi="方正仿宋_GB2312" w:eastAsia="方正仿宋_GB2312" w:cs="方正仿宋_GB2312"/>
          <w:spacing w:val="0"/>
          <w:sz w:val="32"/>
          <w:szCs w:val="32"/>
          <w:highlight w:val="none"/>
        </w:rPr>
        <w:t>注：如债权人为自然人的，直接提供身份证复印件无需填写此表。</w:t>
      </w:r>
    </w:p>
    <w:p w14:paraId="52827878">
      <w:pPr>
        <w:spacing w:line="520" w:lineRule="exact"/>
        <w:rPr>
          <w:rFonts w:hint="eastAsia" w:ascii="方正仿宋_GB2312" w:hAnsi="方正仿宋_GB2312" w:eastAsia="方正仿宋_GB2312" w:cs="方正仿宋_GB2312"/>
          <w:b/>
          <w:bCs/>
          <w:spacing w:val="0"/>
          <w:sz w:val="32"/>
          <w:szCs w:val="32"/>
          <w:highlight w:val="none"/>
        </w:rPr>
        <w:sectPr>
          <w:pgSz w:w="11906" w:h="16838"/>
          <w:pgMar w:top="1440" w:right="1800" w:bottom="1440" w:left="1800" w:header="720" w:footer="720" w:gutter="0"/>
          <w:cols w:space="720" w:num="1"/>
          <w:docGrid w:type="lines" w:linePitch="312" w:charSpace="0"/>
        </w:sectPr>
      </w:pPr>
      <w:r>
        <w:rPr>
          <w:rFonts w:hint="eastAsia" w:ascii="方正仿宋_GB2312" w:hAnsi="方正仿宋_GB2312" w:eastAsia="方正仿宋_GB2312" w:cs="方正仿宋_GB2312"/>
          <w:spacing w:val="0"/>
          <w:sz w:val="32"/>
          <w:szCs w:val="32"/>
          <w:highlight w:val="none"/>
        </w:rPr>
        <w:t xml:space="preserve">    如债权人为机构的，请附上法定代表人（负责人）身份证复印件。</w:t>
      </w:r>
    </w:p>
    <w:p w14:paraId="63A9F8DB">
      <w:pPr>
        <w:widowControl/>
        <w:jc w:val="center"/>
        <w:rPr>
          <w:rFonts w:hint="eastAsia" w:ascii="黑体" w:hAnsi="黑体" w:eastAsia="黑体" w:cs="黑体"/>
          <w:b/>
          <w:bCs/>
          <w:spacing w:val="0"/>
          <w:sz w:val="44"/>
          <w:szCs w:val="44"/>
          <w:highlight w:val="none"/>
          <w:lang w:val="en-US" w:eastAsia="zh-CN"/>
        </w:rPr>
      </w:pPr>
      <w:r>
        <w:rPr>
          <w:rFonts w:hint="eastAsia" w:ascii="黑体" w:hAnsi="黑体" w:eastAsia="黑体" w:cs="黑体"/>
          <w:b/>
          <w:bCs/>
          <w:spacing w:val="0"/>
          <w:sz w:val="44"/>
          <w:szCs w:val="44"/>
          <w:highlight w:val="none"/>
          <w:lang w:val="en-US" w:eastAsia="zh-CN"/>
        </w:rPr>
        <w:t>授权委托书</w:t>
      </w:r>
    </w:p>
    <w:p w14:paraId="185AFDB2">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 xml:space="preserve">委 托 人：                法定代表人（负责人）： </w:t>
      </w:r>
    </w:p>
    <w:p w14:paraId="50FAA84F">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住 所 地：                联系方式：</w:t>
      </w:r>
    </w:p>
    <w:p w14:paraId="265DB470">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受 托 人：                身份证号码：</w:t>
      </w:r>
    </w:p>
    <w:p w14:paraId="74E2C5DE">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 xml:space="preserve">工作单位：                联系方式：           </w:t>
      </w:r>
    </w:p>
    <w:p w14:paraId="33953149">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受 托 人：                身份证号码：</w:t>
      </w:r>
    </w:p>
    <w:p w14:paraId="42DD7C55">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eastAsia="仿宋_GB2312"/>
          <w:b/>
          <w:bCs/>
          <w:spacing w:val="0"/>
          <w:sz w:val="32"/>
          <w:szCs w:val="32"/>
          <w:highlight w:val="none"/>
        </w:rPr>
      </w:pPr>
      <w:r>
        <w:rPr>
          <w:rFonts w:hint="eastAsia" w:ascii="仿宋_GB2312" w:eastAsia="仿宋_GB2312"/>
          <w:spacing w:val="0"/>
          <w:sz w:val="32"/>
          <w:szCs w:val="32"/>
          <w:highlight w:val="none"/>
        </w:rPr>
        <w:t xml:space="preserve">工作单位：                联系方式：    </w:t>
      </w:r>
      <w:r>
        <w:rPr>
          <w:rFonts w:hint="eastAsia" w:ascii="仿宋_GB2312" w:eastAsia="仿宋_GB2312"/>
          <w:b/>
          <w:bCs/>
          <w:spacing w:val="0"/>
          <w:sz w:val="32"/>
          <w:szCs w:val="32"/>
          <w:highlight w:val="none"/>
        </w:rPr>
        <w:t xml:space="preserve">       </w:t>
      </w:r>
    </w:p>
    <w:p w14:paraId="73CD814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 xml:space="preserve">    委托人就</w:t>
      </w:r>
      <w:r>
        <w:rPr>
          <w:rFonts w:hint="eastAsia" w:ascii="仿宋_GB2312" w:eastAsia="仿宋_GB2312"/>
          <w:spacing w:val="0"/>
          <w:sz w:val="32"/>
          <w:szCs w:val="32"/>
          <w:highlight w:val="none"/>
          <w:lang w:eastAsia="zh-CN"/>
        </w:rPr>
        <w:t>柘荣县亿利达机械制造有限公司</w:t>
      </w:r>
      <w:r>
        <w:rPr>
          <w:rFonts w:hint="eastAsia" w:ascii="仿宋_GB2312" w:eastAsia="仿宋_GB2312"/>
          <w:spacing w:val="0"/>
          <w:sz w:val="32"/>
          <w:szCs w:val="32"/>
          <w:highlight w:val="none"/>
        </w:rPr>
        <w:t>破产清算案（以下简称“本案”），特委托上述受托人作为委托人的代理人，参加本案。</w:t>
      </w:r>
    </w:p>
    <w:p w14:paraId="497A8BCB">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 xml:space="preserve"> 授权范围包括以下第</w:t>
      </w:r>
      <w:r>
        <w:rPr>
          <w:rFonts w:hint="eastAsia" w:ascii="仿宋_GB2312" w:eastAsia="仿宋_GB2312"/>
          <w:spacing w:val="0"/>
          <w:sz w:val="32"/>
          <w:szCs w:val="32"/>
          <w:highlight w:val="none"/>
          <w:u w:val="single"/>
        </w:rPr>
        <w:t xml:space="preserve">              </w:t>
      </w:r>
      <w:r>
        <w:rPr>
          <w:rFonts w:hint="eastAsia" w:ascii="仿宋_GB2312" w:eastAsia="仿宋_GB2312"/>
          <w:spacing w:val="0"/>
          <w:sz w:val="32"/>
          <w:szCs w:val="32"/>
          <w:highlight w:val="none"/>
        </w:rPr>
        <w:t xml:space="preserve">项： </w:t>
      </w:r>
    </w:p>
    <w:p w14:paraId="30012E91">
      <w:pPr>
        <w:keepNext w:val="0"/>
        <w:keepLines w:val="0"/>
        <w:pageBreakBefore w:val="0"/>
        <w:widowControl w:val="0"/>
        <w:kinsoku/>
        <w:wordWrap/>
        <w:overflowPunct/>
        <w:topLinePunct w:val="0"/>
        <w:autoSpaceDE/>
        <w:autoSpaceDN/>
        <w:bidi w:val="0"/>
        <w:adjustRightInd/>
        <w:snapToGrid/>
        <w:spacing w:line="240" w:lineRule="auto"/>
        <w:ind w:left="105" w:leftChars="50" w:firstLine="640" w:firstLineChars="200"/>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1.代为申报债权、与管理人核对债权（代为承认、变更、放弃债权）；</w:t>
      </w:r>
    </w:p>
    <w:p w14:paraId="15D725B5">
      <w:pPr>
        <w:keepNext w:val="0"/>
        <w:keepLines w:val="0"/>
        <w:pageBreakBefore w:val="0"/>
        <w:widowControl w:val="0"/>
        <w:kinsoku/>
        <w:wordWrap/>
        <w:overflowPunct/>
        <w:topLinePunct w:val="0"/>
        <w:autoSpaceDE/>
        <w:autoSpaceDN/>
        <w:bidi w:val="0"/>
        <w:adjustRightInd/>
        <w:snapToGrid/>
        <w:spacing w:line="240" w:lineRule="auto"/>
        <w:ind w:left="105" w:leftChars="50" w:firstLine="640" w:firstLineChars="200"/>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2.代为签署、递交、接收和转送、签收各项文书；</w:t>
      </w:r>
    </w:p>
    <w:p w14:paraId="7229BE87">
      <w:pPr>
        <w:keepNext w:val="0"/>
        <w:keepLines w:val="0"/>
        <w:pageBreakBefore w:val="0"/>
        <w:widowControl w:val="0"/>
        <w:kinsoku/>
        <w:wordWrap/>
        <w:overflowPunct/>
        <w:topLinePunct w:val="0"/>
        <w:autoSpaceDE/>
        <w:autoSpaceDN/>
        <w:bidi w:val="0"/>
        <w:adjustRightInd/>
        <w:snapToGrid/>
        <w:spacing w:line="240" w:lineRule="auto"/>
        <w:ind w:left="105" w:leftChars="50" w:firstLine="640" w:firstLineChars="200"/>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3.代为出席债权人会议，行使异议权和表决权；</w:t>
      </w:r>
    </w:p>
    <w:p w14:paraId="4B66FFA5">
      <w:pPr>
        <w:keepNext w:val="0"/>
        <w:keepLines w:val="0"/>
        <w:pageBreakBefore w:val="0"/>
        <w:widowControl w:val="0"/>
        <w:kinsoku/>
        <w:wordWrap/>
        <w:overflowPunct/>
        <w:topLinePunct w:val="0"/>
        <w:autoSpaceDE/>
        <w:autoSpaceDN/>
        <w:bidi w:val="0"/>
        <w:adjustRightInd/>
        <w:snapToGrid/>
        <w:spacing w:line="240" w:lineRule="auto"/>
        <w:ind w:left="105" w:leftChars="50" w:firstLine="640" w:firstLineChars="200"/>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4.代为行使债权人的其他权利，代为履行债权人的其他义务。</w:t>
      </w:r>
    </w:p>
    <w:p w14:paraId="485AFF7F">
      <w:pPr>
        <w:keepNext w:val="0"/>
        <w:keepLines w:val="0"/>
        <w:pageBreakBefore w:val="0"/>
        <w:widowControl w:val="0"/>
        <w:kinsoku/>
        <w:wordWrap/>
        <w:overflowPunct/>
        <w:topLinePunct w:val="0"/>
        <w:autoSpaceDE/>
        <w:autoSpaceDN/>
        <w:bidi w:val="0"/>
        <w:adjustRightInd/>
        <w:snapToGrid/>
        <w:spacing w:line="240" w:lineRule="auto"/>
        <w:ind w:left="105" w:leftChars="50" w:firstLine="640" w:firstLineChars="200"/>
        <w:textAlignment w:val="auto"/>
        <w:rPr>
          <w:rFonts w:hint="eastAsia" w:eastAsia="仿宋_GB2312"/>
          <w:spacing w:val="0"/>
          <w:sz w:val="32"/>
          <w:szCs w:val="32"/>
          <w:highlight w:val="none"/>
        </w:rPr>
      </w:pPr>
      <w:r>
        <w:rPr>
          <w:rFonts w:hint="eastAsia" w:ascii="仿宋_GB2312" w:eastAsia="仿宋_GB2312"/>
          <w:spacing w:val="0"/>
          <w:sz w:val="32"/>
          <w:szCs w:val="32"/>
          <w:highlight w:val="none"/>
        </w:rPr>
        <w:t>5.</w:t>
      </w:r>
      <w:r>
        <w:rPr>
          <w:rFonts w:eastAsia="仿宋_GB2312"/>
          <w:spacing w:val="0"/>
          <w:sz w:val="32"/>
          <w:szCs w:val="32"/>
          <w:highlight w:val="none"/>
          <w:u w:val="single"/>
        </w:rPr>
        <w:t xml:space="preserve">                                             </w:t>
      </w:r>
    </w:p>
    <w:p w14:paraId="321D5F1C">
      <w:pPr>
        <w:keepNext w:val="0"/>
        <w:keepLines w:val="0"/>
        <w:pageBreakBefore w:val="0"/>
        <w:widowControl w:val="0"/>
        <w:kinsoku/>
        <w:wordWrap/>
        <w:overflowPunct/>
        <w:topLinePunct w:val="0"/>
        <w:autoSpaceDE/>
        <w:autoSpaceDN/>
        <w:bidi w:val="0"/>
        <w:adjustRightInd/>
        <w:snapToGrid/>
        <w:spacing w:line="240" w:lineRule="auto"/>
        <w:ind w:left="105" w:leftChars="50" w:firstLine="640" w:firstLineChars="200"/>
        <w:textAlignment w:val="auto"/>
        <w:rPr>
          <w:rFonts w:ascii="仿宋_GB2312" w:eastAsia="仿宋_GB2312"/>
          <w:spacing w:val="0"/>
          <w:sz w:val="32"/>
          <w:szCs w:val="32"/>
          <w:highlight w:val="none"/>
        </w:rPr>
      </w:pPr>
      <w:r>
        <w:rPr>
          <w:rFonts w:hint="eastAsia" w:ascii="仿宋_GB2312" w:eastAsia="仿宋_GB2312"/>
          <w:spacing w:val="0"/>
          <w:sz w:val="32"/>
          <w:szCs w:val="32"/>
          <w:highlight w:val="none"/>
        </w:rPr>
        <w:t>授权期限：委托之日起至破产程序终结之日止。</w:t>
      </w:r>
    </w:p>
    <w:p w14:paraId="338DF725">
      <w:pPr>
        <w:keepNext w:val="0"/>
        <w:keepLines w:val="0"/>
        <w:pageBreakBefore w:val="0"/>
        <w:widowControl w:val="0"/>
        <w:kinsoku/>
        <w:overflowPunct/>
        <w:topLinePunct w:val="0"/>
        <w:autoSpaceDE/>
        <w:autoSpaceDN/>
        <w:bidi w:val="0"/>
        <w:adjustRightInd/>
        <w:snapToGrid/>
        <w:spacing w:line="240" w:lineRule="auto"/>
        <w:ind w:left="900"/>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特此授权。</w:t>
      </w:r>
    </w:p>
    <w:p w14:paraId="087E72CC">
      <w:pPr>
        <w:keepNext w:val="0"/>
        <w:keepLines w:val="0"/>
        <w:pageBreakBefore w:val="0"/>
        <w:widowControl w:val="0"/>
        <w:kinsoku/>
        <w:wordWrap w:val="0"/>
        <w:overflowPunct/>
        <w:topLinePunct w:val="0"/>
        <w:autoSpaceDE/>
        <w:autoSpaceDN/>
        <w:bidi w:val="0"/>
        <w:adjustRightInd/>
        <w:snapToGrid/>
        <w:spacing w:line="240" w:lineRule="auto"/>
        <w:jc w:val="right"/>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 xml:space="preserve">           委托人（盖章）：             </w:t>
      </w:r>
    </w:p>
    <w:p w14:paraId="30D2CB93">
      <w:pPr>
        <w:keepNext w:val="0"/>
        <w:keepLines w:val="0"/>
        <w:pageBreakBefore w:val="0"/>
        <w:widowControl w:val="0"/>
        <w:kinsoku/>
        <w:wordWrap w:val="0"/>
        <w:overflowPunct/>
        <w:topLinePunct w:val="0"/>
        <w:autoSpaceDE/>
        <w:autoSpaceDN/>
        <w:bidi w:val="0"/>
        <w:adjustRightInd/>
        <w:snapToGrid/>
        <w:spacing w:line="240" w:lineRule="auto"/>
        <w:jc w:val="right"/>
        <w:textAlignment w:val="auto"/>
        <w:rPr>
          <w:rFonts w:hint="eastAsia" w:ascii="宋体-简" w:hAnsi="宋体-简" w:eastAsia="宋体-简"/>
          <w:b/>
          <w:bCs/>
          <w:spacing w:val="0"/>
          <w:sz w:val="32"/>
          <w:szCs w:val="32"/>
          <w:highlight w:val="none"/>
          <w:lang w:val="en-US" w:eastAsia="zh-CN"/>
        </w:rPr>
      </w:pPr>
      <w:r>
        <w:rPr>
          <w:rFonts w:hint="eastAsia" w:ascii="仿宋_GB2312" w:eastAsia="仿宋_GB2312"/>
          <w:spacing w:val="0"/>
          <w:sz w:val="32"/>
          <w:szCs w:val="32"/>
          <w:highlight w:val="none"/>
          <w:u w:val="single"/>
        </w:rPr>
        <w:t xml:space="preserve">     </w:t>
      </w:r>
      <w:r>
        <w:rPr>
          <w:rFonts w:hint="eastAsia" w:ascii="仿宋_GB2312" w:eastAsia="仿宋_GB2312"/>
          <w:spacing w:val="0"/>
          <w:sz w:val="32"/>
          <w:szCs w:val="32"/>
          <w:highlight w:val="none"/>
        </w:rPr>
        <w:t>年</w:t>
      </w:r>
      <w:r>
        <w:rPr>
          <w:rFonts w:hint="eastAsia" w:ascii="仿宋_GB2312" w:eastAsia="仿宋_GB2312"/>
          <w:spacing w:val="0"/>
          <w:sz w:val="32"/>
          <w:szCs w:val="32"/>
          <w:highlight w:val="none"/>
          <w:u w:val="single"/>
        </w:rPr>
        <w:t xml:space="preserve">    </w:t>
      </w:r>
      <w:r>
        <w:rPr>
          <w:rFonts w:hint="eastAsia" w:ascii="仿宋_GB2312" w:eastAsia="仿宋_GB2312"/>
          <w:spacing w:val="0"/>
          <w:sz w:val="32"/>
          <w:szCs w:val="32"/>
          <w:highlight w:val="none"/>
        </w:rPr>
        <w:t>月</w:t>
      </w:r>
      <w:r>
        <w:rPr>
          <w:rFonts w:hint="eastAsia" w:ascii="仿宋_GB2312" w:eastAsia="仿宋_GB2312"/>
          <w:spacing w:val="0"/>
          <w:sz w:val="32"/>
          <w:szCs w:val="32"/>
          <w:highlight w:val="none"/>
          <w:u w:val="single"/>
        </w:rPr>
        <w:t xml:space="preserve">    </w:t>
      </w:r>
      <w:r>
        <w:rPr>
          <w:rFonts w:hint="eastAsia" w:ascii="仿宋_GB2312" w:eastAsia="仿宋_GB2312"/>
          <w:spacing w:val="0"/>
          <w:sz w:val="32"/>
          <w:szCs w:val="32"/>
          <w:highlight w:val="none"/>
        </w:rPr>
        <w:t xml:space="preserve">日  </w:t>
      </w:r>
    </w:p>
    <w:p w14:paraId="18A7EB1F">
      <w:pPr>
        <w:widowControl/>
        <w:jc w:val="center"/>
        <w:rPr>
          <w:rFonts w:hint="eastAsia" w:ascii="黑体" w:hAnsi="黑体" w:eastAsia="黑体" w:cs="黑体"/>
          <w:b/>
          <w:bCs/>
          <w:spacing w:val="0"/>
          <w:sz w:val="44"/>
          <w:szCs w:val="44"/>
          <w:highlight w:val="none"/>
          <w:lang w:val="en-US" w:eastAsia="zh-CN"/>
        </w:rPr>
      </w:pPr>
      <w:r>
        <w:rPr>
          <w:rFonts w:hint="eastAsia" w:ascii="黑体" w:hAnsi="黑体" w:eastAsia="黑体" w:cs="黑体"/>
          <w:b/>
          <w:bCs/>
          <w:spacing w:val="0"/>
          <w:sz w:val="44"/>
          <w:szCs w:val="44"/>
          <w:highlight w:val="none"/>
          <w:lang w:val="en-US" w:eastAsia="zh-CN"/>
        </w:rPr>
        <w:t>授权委托书（自然人）</w:t>
      </w:r>
    </w:p>
    <w:p w14:paraId="7173087D">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 xml:space="preserve">委 托 人：                   </w:t>
      </w:r>
    </w:p>
    <w:p w14:paraId="444E8A36">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身份证号码：                 联系方式：</w:t>
      </w:r>
    </w:p>
    <w:p w14:paraId="7C4DA289">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受 托 人：                   身份证号码：</w:t>
      </w:r>
    </w:p>
    <w:p w14:paraId="5C574086">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 xml:space="preserve">工作单位：                   联系方式：           </w:t>
      </w:r>
    </w:p>
    <w:p w14:paraId="09456144">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受 托 人：                   身份证号码：</w:t>
      </w:r>
    </w:p>
    <w:p w14:paraId="210330AC">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eastAsia="仿宋_GB2312"/>
          <w:b/>
          <w:bCs/>
          <w:spacing w:val="0"/>
          <w:sz w:val="32"/>
          <w:szCs w:val="32"/>
          <w:highlight w:val="none"/>
        </w:rPr>
      </w:pPr>
      <w:r>
        <w:rPr>
          <w:rFonts w:hint="eastAsia" w:ascii="仿宋_GB2312" w:eastAsia="仿宋_GB2312"/>
          <w:spacing w:val="0"/>
          <w:sz w:val="32"/>
          <w:szCs w:val="32"/>
          <w:highlight w:val="none"/>
        </w:rPr>
        <w:t xml:space="preserve">工作单位：                   联系方式：    </w:t>
      </w:r>
      <w:r>
        <w:rPr>
          <w:rFonts w:hint="eastAsia" w:ascii="仿宋_GB2312" w:eastAsia="仿宋_GB2312"/>
          <w:b/>
          <w:bCs/>
          <w:spacing w:val="0"/>
          <w:sz w:val="32"/>
          <w:szCs w:val="32"/>
          <w:highlight w:val="none"/>
        </w:rPr>
        <w:t xml:space="preserve">       </w:t>
      </w:r>
    </w:p>
    <w:p w14:paraId="0F774347">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委托人就</w:t>
      </w:r>
      <w:r>
        <w:rPr>
          <w:rFonts w:hint="eastAsia" w:ascii="仿宋_GB2312" w:eastAsia="仿宋_GB2312"/>
          <w:spacing w:val="0"/>
          <w:sz w:val="32"/>
          <w:szCs w:val="32"/>
          <w:highlight w:val="none"/>
          <w:lang w:eastAsia="zh-CN"/>
        </w:rPr>
        <w:t>柘荣县亿利达机械制造有限公司</w:t>
      </w:r>
      <w:r>
        <w:rPr>
          <w:rFonts w:hint="eastAsia" w:ascii="仿宋_GB2312" w:eastAsia="仿宋_GB2312"/>
          <w:spacing w:val="0"/>
          <w:sz w:val="32"/>
          <w:szCs w:val="32"/>
          <w:highlight w:val="none"/>
        </w:rPr>
        <w:t>破产清算案（以下简称“本案”），特委托上述受托人作为委托人的代理人，参加本案。</w:t>
      </w:r>
    </w:p>
    <w:p w14:paraId="27EB8139">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 xml:space="preserve"> 授权范围包括以下第</w:t>
      </w:r>
      <w:r>
        <w:rPr>
          <w:rFonts w:hint="eastAsia" w:ascii="仿宋_GB2312" w:eastAsia="仿宋_GB2312"/>
          <w:spacing w:val="0"/>
          <w:sz w:val="32"/>
          <w:szCs w:val="32"/>
          <w:highlight w:val="none"/>
          <w:u w:val="single"/>
        </w:rPr>
        <w:t xml:space="preserve">              </w:t>
      </w:r>
      <w:r>
        <w:rPr>
          <w:rFonts w:hint="eastAsia" w:ascii="仿宋_GB2312" w:eastAsia="仿宋_GB2312"/>
          <w:spacing w:val="0"/>
          <w:sz w:val="32"/>
          <w:szCs w:val="32"/>
          <w:highlight w:val="none"/>
        </w:rPr>
        <w:t xml:space="preserve">项： </w:t>
      </w:r>
    </w:p>
    <w:p w14:paraId="5FB86BC1">
      <w:pPr>
        <w:keepNext w:val="0"/>
        <w:keepLines w:val="0"/>
        <w:pageBreakBefore w:val="0"/>
        <w:widowControl w:val="0"/>
        <w:kinsoku/>
        <w:wordWrap/>
        <w:overflowPunct/>
        <w:topLinePunct w:val="0"/>
        <w:autoSpaceDE/>
        <w:autoSpaceDN/>
        <w:bidi w:val="0"/>
        <w:adjustRightInd/>
        <w:snapToGrid/>
        <w:spacing w:line="240" w:lineRule="auto"/>
        <w:ind w:left="105" w:leftChars="50" w:firstLine="640" w:firstLineChars="200"/>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1.代为申报债权、与管理人核对债权（代为承认、变更、放弃债权）；</w:t>
      </w:r>
    </w:p>
    <w:p w14:paraId="206A9263">
      <w:pPr>
        <w:keepNext w:val="0"/>
        <w:keepLines w:val="0"/>
        <w:pageBreakBefore w:val="0"/>
        <w:widowControl w:val="0"/>
        <w:kinsoku/>
        <w:wordWrap/>
        <w:overflowPunct/>
        <w:topLinePunct w:val="0"/>
        <w:autoSpaceDE/>
        <w:autoSpaceDN/>
        <w:bidi w:val="0"/>
        <w:adjustRightInd/>
        <w:snapToGrid/>
        <w:spacing w:line="240" w:lineRule="auto"/>
        <w:ind w:left="105" w:leftChars="50" w:firstLine="640" w:firstLineChars="200"/>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2.代为签署、递交、接收和转送、签收各项文书；</w:t>
      </w:r>
    </w:p>
    <w:p w14:paraId="6EAC9BC2">
      <w:pPr>
        <w:keepNext w:val="0"/>
        <w:keepLines w:val="0"/>
        <w:pageBreakBefore w:val="0"/>
        <w:widowControl w:val="0"/>
        <w:kinsoku/>
        <w:wordWrap/>
        <w:overflowPunct/>
        <w:topLinePunct w:val="0"/>
        <w:autoSpaceDE/>
        <w:autoSpaceDN/>
        <w:bidi w:val="0"/>
        <w:adjustRightInd/>
        <w:snapToGrid/>
        <w:spacing w:line="240" w:lineRule="auto"/>
        <w:ind w:left="105" w:leftChars="50" w:firstLine="640" w:firstLineChars="200"/>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3.代为出席债权人会议，行使异议权和表决权；</w:t>
      </w:r>
    </w:p>
    <w:p w14:paraId="70178D42">
      <w:pPr>
        <w:keepNext w:val="0"/>
        <w:keepLines w:val="0"/>
        <w:pageBreakBefore w:val="0"/>
        <w:widowControl w:val="0"/>
        <w:kinsoku/>
        <w:wordWrap/>
        <w:overflowPunct/>
        <w:topLinePunct w:val="0"/>
        <w:autoSpaceDE/>
        <w:autoSpaceDN/>
        <w:bidi w:val="0"/>
        <w:adjustRightInd/>
        <w:snapToGrid/>
        <w:spacing w:line="240" w:lineRule="auto"/>
        <w:ind w:left="105" w:leftChars="50" w:firstLine="640" w:firstLineChars="200"/>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4.代为行使债权人的其他权利，代为履行债权人的其他义务。</w:t>
      </w:r>
    </w:p>
    <w:p w14:paraId="62DCB101">
      <w:pPr>
        <w:keepNext w:val="0"/>
        <w:keepLines w:val="0"/>
        <w:pageBreakBefore w:val="0"/>
        <w:widowControl w:val="0"/>
        <w:kinsoku/>
        <w:wordWrap/>
        <w:overflowPunct/>
        <w:topLinePunct w:val="0"/>
        <w:autoSpaceDE/>
        <w:autoSpaceDN/>
        <w:bidi w:val="0"/>
        <w:adjustRightInd/>
        <w:snapToGrid/>
        <w:spacing w:line="240" w:lineRule="auto"/>
        <w:ind w:left="105" w:leftChars="50" w:firstLine="640" w:firstLineChars="200"/>
        <w:textAlignment w:val="auto"/>
        <w:rPr>
          <w:rFonts w:hint="eastAsia" w:eastAsia="仿宋_GB2312"/>
          <w:spacing w:val="0"/>
          <w:sz w:val="32"/>
          <w:szCs w:val="32"/>
          <w:highlight w:val="none"/>
        </w:rPr>
      </w:pPr>
      <w:r>
        <w:rPr>
          <w:rFonts w:hint="eastAsia" w:ascii="仿宋_GB2312" w:eastAsia="仿宋_GB2312"/>
          <w:spacing w:val="0"/>
          <w:sz w:val="32"/>
          <w:szCs w:val="32"/>
          <w:highlight w:val="none"/>
        </w:rPr>
        <w:t>5.</w:t>
      </w:r>
      <w:r>
        <w:rPr>
          <w:rFonts w:eastAsia="仿宋_GB2312"/>
          <w:spacing w:val="0"/>
          <w:sz w:val="32"/>
          <w:szCs w:val="32"/>
          <w:highlight w:val="none"/>
          <w:u w:val="single"/>
        </w:rPr>
        <w:t xml:space="preserve">                                             </w:t>
      </w:r>
    </w:p>
    <w:p w14:paraId="53F955B8">
      <w:pPr>
        <w:keepNext w:val="0"/>
        <w:keepLines w:val="0"/>
        <w:pageBreakBefore w:val="0"/>
        <w:widowControl w:val="0"/>
        <w:kinsoku/>
        <w:wordWrap/>
        <w:overflowPunct/>
        <w:topLinePunct w:val="0"/>
        <w:autoSpaceDE/>
        <w:autoSpaceDN/>
        <w:bidi w:val="0"/>
        <w:adjustRightInd/>
        <w:snapToGrid/>
        <w:spacing w:line="240" w:lineRule="auto"/>
        <w:ind w:left="105" w:leftChars="50" w:firstLine="640" w:firstLineChars="200"/>
        <w:textAlignment w:val="auto"/>
        <w:rPr>
          <w:rFonts w:ascii="仿宋_GB2312" w:eastAsia="仿宋_GB2312"/>
          <w:spacing w:val="0"/>
          <w:sz w:val="32"/>
          <w:szCs w:val="32"/>
          <w:highlight w:val="none"/>
        </w:rPr>
      </w:pPr>
      <w:r>
        <w:rPr>
          <w:rFonts w:hint="eastAsia" w:ascii="仿宋_GB2312" w:eastAsia="仿宋_GB2312"/>
          <w:spacing w:val="0"/>
          <w:sz w:val="32"/>
          <w:szCs w:val="32"/>
          <w:highlight w:val="none"/>
        </w:rPr>
        <w:t>授权期限：委托之日起至破产程序终结之日止。</w:t>
      </w:r>
    </w:p>
    <w:p w14:paraId="3E8862AC">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spacing w:val="0"/>
          <w:sz w:val="32"/>
          <w:szCs w:val="32"/>
          <w:highlight w:val="none"/>
        </w:rPr>
      </w:pPr>
      <w:r>
        <w:rPr>
          <w:rFonts w:hint="eastAsia" w:ascii="仿宋_GB2312" w:eastAsia="仿宋_GB2312"/>
          <w:spacing w:val="0"/>
          <w:sz w:val="32"/>
          <w:szCs w:val="32"/>
          <w:highlight w:val="none"/>
        </w:rPr>
        <w:t>特此授权。</w:t>
      </w:r>
    </w:p>
    <w:p w14:paraId="74BB2FE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eastAsia="仿宋_GB2312"/>
          <w:spacing w:val="0"/>
          <w:sz w:val="32"/>
          <w:szCs w:val="32"/>
          <w:highlight w:val="none"/>
          <w:u w:val="single"/>
        </w:rPr>
      </w:pPr>
      <w:r>
        <w:rPr>
          <w:rFonts w:hint="eastAsia" w:ascii="仿宋_GB2312" w:eastAsia="仿宋_GB2312"/>
          <w:spacing w:val="0"/>
          <w:sz w:val="32"/>
          <w:szCs w:val="32"/>
          <w:highlight w:val="none"/>
        </w:rPr>
        <w:t xml:space="preserve">                            委托人（盖章）：        </w:t>
      </w:r>
    </w:p>
    <w:p w14:paraId="5543C07A">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_GB2312" w:eastAsia="仿宋_GB2312"/>
          <w:spacing w:val="0"/>
          <w:sz w:val="32"/>
          <w:szCs w:val="32"/>
          <w:highlight w:val="none"/>
        </w:rPr>
        <w:sectPr>
          <w:pgSz w:w="11906" w:h="16838"/>
          <w:pgMar w:top="1440" w:right="1800" w:bottom="1440" w:left="1800" w:header="720" w:footer="720" w:gutter="0"/>
          <w:cols w:space="720" w:num="1"/>
          <w:docGrid w:type="lines" w:linePitch="312" w:charSpace="0"/>
        </w:sectPr>
      </w:pPr>
      <w:r>
        <w:rPr>
          <w:rFonts w:hint="eastAsia" w:ascii="仿宋_GB2312" w:eastAsia="仿宋_GB2312"/>
          <w:spacing w:val="0"/>
          <w:sz w:val="32"/>
          <w:szCs w:val="32"/>
          <w:highlight w:val="none"/>
        </w:rPr>
        <w:t xml:space="preserve">                   </w:t>
      </w:r>
      <w:r>
        <w:rPr>
          <w:rFonts w:hint="eastAsia" w:ascii="仿宋_GB2312" w:eastAsia="仿宋_GB2312"/>
          <w:spacing w:val="0"/>
          <w:sz w:val="32"/>
          <w:szCs w:val="32"/>
          <w:highlight w:val="none"/>
          <w:u w:val="single"/>
        </w:rPr>
        <w:t xml:space="preserve">     </w:t>
      </w:r>
      <w:r>
        <w:rPr>
          <w:rFonts w:hint="eastAsia" w:ascii="仿宋_GB2312" w:eastAsia="仿宋_GB2312"/>
          <w:spacing w:val="0"/>
          <w:sz w:val="32"/>
          <w:szCs w:val="32"/>
          <w:highlight w:val="none"/>
        </w:rPr>
        <w:t>年</w:t>
      </w:r>
      <w:r>
        <w:rPr>
          <w:rFonts w:hint="eastAsia" w:ascii="仿宋_GB2312" w:eastAsia="仿宋_GB2312"/>
          <w:spacing w:val="0"/>
          <w:sz w:val="32"/>
          <w:szCs w:val="32"/>
          <w:highlight w:val="none"/>
          <w:u w:val="single"/>
        </w:rPr>
        <w:t xml:space="preserve">    </w:t>
      </w:r>
      <w:r>
        <w:rPr>
          <w:rFonts w:hint="eastAsia" w:ascii="仿宋_GB2312" w:eastAsia="仿宋_GB2312"/>
          <w:spacing w:val="0"/>
          <w:sz w:val="32"/>
          <w:szCs w:val="32"/>
          <w:highlight w:val="none"/>
        </w:rPr>
        <w:t>月</w:t>
      </w:r>
      <w:r>
        <w:rPr>
          <w:rFonts w:hint="eastAsia" w:ascii="仿宋_GB2312" w:eastAsia="仿宋_GB2312"/>
          <w:spacing w:val="0"/>
          <w:sz w:val="32"/>
          <w:szCs w:val="32"/>
          <w:highlight w:val="none"/>
          <w:u w:val="single"/>
        </w:rPr>
        <w:t xml:space="preserve">    </w:t>
      </w:r>
      <w:r>
        <w:rPr>
          <w:rFonts w:hint="eastAsia" w:ascii="仿宋_GB2312" w:eastAsia="仿宋_GB2312"/>
          <w:spacing w:val="0"/>
          <w:sz w:val="32"/>
          <w:szCs w:val="32"/>
          <w:highlight w:val="none"/>
        </w:rPr>
        <w:t>日</w:t>
      </w:r>
    </w:p>
    <w:p w14:paraId="4F7223D1">
      <w:pPr>
        <w:widowControl/>
        <w:jc w:val="center"/>
        <w:rPr>
          <w:rFonts w:hint="eastAsia" w:ascii="黑体" w:hAnsi="黑体" w:eastAsia="黑体" w:cs="黑体"/>
          <w:b/>
          <w:bCs/>
          <w:spacing w:val="0"/>
          <w:sz w:val="44"/>
          <w:szCs w:val="44"/>
          <w:highlight w:val="none"/>
          <w:lang w:val="en-US" w:eastAsia="zh-CN"/>
        </w:rPr>
      </w:pPr>
      <w:r>
        <w:rPr>
          <w:rFonts w:hint="eastAsia" w:ascii="黑体" w:hAnsi="黑体" w:eastAsia="黑体" w:cs="黑体"/>
          <w:b/>
          <w:bCs/>
          <w:spacing w:val="0"/>
          <w:sz w:val="44"/>
          <w:szCs w:val="44"/>
          <w:highlight w:val="none"/>
          <w:lang w:val="en-US" w:eastAsia="zh-CN"/>
        </w:rPr>
        <w:t>债权申报真实性承诺书</w:t>
      </w:r>
    </w:p>
    <w:p w14:paraId="67217877">
      <w:pPr>
        <w:ind w:firstLine="604" w:firstLineChars="189"/>
        <w:rPr>
          <w:rFonts w:ascii="仿宋" w:hAnsi="仿宋" w:eastAsia="仿宋"/>
          <w:spacing w:val="0"/>
          <w:sz w:val="32"/>
          <w:szCs w:val="32"/>
          <w:highlight w:val="none"/>
        </w:rPr>
      </w:pPr>
    </w:p>
    <w:p w14:paraId="06B400EC">
      <w:pPr>
        <w:ind w:firstLine="640"/>
        <w:jc w:val="both"/>
        <w:rPr>
          <w:rFonts w:hint="eastAsia" w:ascii="方正仿宋_GB2312" w:hAnsi="方正仿宋_GB2312" w:eastAsia="方正仿宋_GB2312" w:cs="方正仿宋_GB2312"/>
          <w:spacing w:val="0"/>
          <w:sz w:val="32"/>
          <w:szCs w:val="32"/>
          <w:highlight w:val="none"/>
        </w:rPr>
      </w:pPr>
      <w:r>
        <w:rPr>
          <w:rFonts w:hint="eastAsia" w:ascii="方正仿宋_GB2312" w:hAnsi="方正仿宋_GB2312" w:eastAsia="方正仿宋_GB2312" w:cs="方正仿宋_GB2312"/>
          <w:spacing w:val="0"/>
          <w:sz w:val="32"/>
          <w:szCs w:val="32"/>
          <w:highlight w:val="none"/>
          <w:lang w:eastAsia="zh-CN"/>
        </w:rPr>
        <w:t>柘荣县亿利达机械制造有限公司</w:t>
      </w:r>
      <w:r>
        <w:rPr>
          <w:rFonts w:hint="eastAsia" w:ascii="方正仿宋_GB2312" w:hAnsi="方正仿宋_GB2312" w:eastAsia="方正仿宋_GB2312" w:cs="方正仿宋_GB2312"/>
          <w:spacing w:val="0"/>
          <w:sz w:val="32"/>
          <w:szCs w:val="32"/>
          <w:highlight w:val="none"/>
        </w:rPr>
        <w:t>管理人已向本单位（本人）明示债权申报的相关法律规定，现本单位（本人）郑重承诺：</w:t>
      </w:r>
    </w:p>
    <w:p w14:paraId="6ECB75F7">
      <w:pPr>
        <w:ind w:firstLine="604" w:firstLineChars="189"/>
        <w:jc w:val="both"/>
        <w:rPr>
          <w:rFonts w:hint="eastAsia" w:ascii="方正仿宋_GB2312" w:hAnsi="方正仿宋_GB2312" w:eastAsia="方正仿宋_GB2312" w:cs="方正仿宋_GB2312"/>
          <w:spacing w:val="0"/>
          <w:sz w:val="32"/>
          <w:szCs w:val="32"/>
          <w:highlight w:val="none"/>
        </w:rPr>
      </w:pPr>
      <w:r>
        <w:rPr>
          <w:rFonts w:hint="eastAsia" w:ascii="方正仿宋_GB2312" w:hAnsi="方正仿宋_GB2312" w:eastAsia="方正仿宋_GB2312" w:cs="方正仿宋_GB2312"/>
          <w:spacing w:val="0"/>
          <w:sz w:val="32"/>
          <w:szCs w:val="32"/>
          <w:highlight w:val="none"/>
        </w:rPr>
        <w:t>申报的债权及递交的所有申报资料均真实、有效，复印件与原件一致。若存在隐瞒、虚假陈述、恶意串通、伪造、篡改等违法行为，本单位（本人）愿承担一切法律责任。</w:t>
      </w:r>
    </w:p>
    <w:p w14:paraId="080FEBE7">
      <w:pPr>
        <w:ind w:firstLine="604" w:firstLineChars="189"/>
        <w:rPr>
          <w:rFonts w:hint="eastAsia" w:ascii="方正仿宋_GB2312" w:hAnsi="方正仿宋_GB2312" w:eastAsia="方正仿宋_GB2312" w:cs="方正仿宋_GB2312"/>
          <w:spacing w:val="0"/>
          <w:sz w:val="32"/>
          <w:szCs w:val="32"/>
          <w:highlight w:val="none"/>
        </w:rPr>
      </w:pPr>
    </w:p>
    <w:p w14:paraId="68D19E69">
      <w:pPr>
        <w:ind w:firstLine="604" w:firstLineChars="189"/>
        <w:rPr>
          <w:rFonts w:hint="eastAsia" w:ascii="方正仿宋_GB2312" w:hAnsi="方正仿宋_GB2312" w:eastAsia="方正仿宋_GB2312" w:cs="方正仿宋_GB2312"/>
          <w:spacing w:val="0"/>
          <w:sz w:val="32"/>
          <w:szCs w:val="32"/>
          <w:highlight w:val="none"/>
        </w:rPr>
      </w:pPr>
    </w:p>
    <w:p w14:paraId="02DE4041">
      <w:pPr>
        <w:ind w:firstLine="604" w:firstLineChars="189"/>
        <w:rPr>
          <w:rFonts w:hint="eastAsia" w:ascii="方正仿宋_GB2312" w:hAnsi="方正仿宋_GB2312" w:eastAsia="方正仿宋_GB2312" w:cs="方正仿宋_GB2312"/>
          <w:spacing w:val="0"/>
          <w:sz w:val="32"/>
          <w:szCs w:val="32"/>
          <w:highlight w:val="none"/>
        </w:rPr>
      </w:pPr>
    </w:p>
    <w:p w14:paraId="4BD6838B">
      <w:pPr>
        <w:wordWrap w:val="0"/>
        <w:ind w:firstLine="604" w:firstLineChars="189"/>
        <w:jc w:val="right"/>
        <w:rPr>
          <w:rFonts w:hint="eastAsia" w:ascii="方正仿宋_GB2312" w:hAnsi="方正仿宋_GB2312" w:eastAsia="方正仿宋_GB2312" w:cs="方正仿宋_GB2312"/>
          <w:spacing w:val="0"/>
          <w:sz w:val="32"/>
          <w:szCs w:val="32"/>
          <w:highlight w:val="none"/>
        </w:rPr>
      </w:pPr>
      <w:r>
        <w:rPr>
          <w:rFonts w:hint="eastAsia" w:ascii="方正仿宋_GB2312" w:hAnsi="方正仿宋_GB2312" w:eastAsia="方正仿宋_GB2312" w:cs="方正仿宋_GB2312"/>
          <w:spacing w:val="0"/>
          <w:sz w:val="32"/>
          <w:szCs w:val="32"/>
          <w:highlight w:val="none"/>
        </w:rPr>
        <w:t>承诺人：　　　　　</w:t>
      </w:r>
    </w:p>
    <w:p w14:paraId="0685467B">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方正仿宋_GB2312" w:hAnsi="方正仿宋_GB2312" w:eastAsia="方正仿宋_GB2312" w:cs="方正仿宋_GB2312"/>
          <w:spacing w:val="0"/>
          <w:sz w:val="32"/>
          <w:szCs w:val="32"/>
          <w:highlight w:val="none"/>
          <w:lang w:val="en-US" w:eastAsia="zh-CN"/>
        </w:rPr>
      </w:pPr>
      <w:r>
        <w:rPr>
          <w:rFonts w:hint="eastAsia" w:ascii="方正仿宋_GB2312" w:hAnsi="方正仿宋_GB2312" w:eastAsia="方正仿宋_GB2312" w:cs="方正仿宋_GB2312"/>
          <w:spacing w:val="0"/>
          <w:sz w:val="32"/>
          <w:szCs w:val="32"/>
          <w:highlight w:val="none"/>
        </w:rPr>
        <w:t>年　　月　　</w:t>
      </w:r>
      <w:r>
        <w:rPr>
          <w:rFonts w:hint="eastAsia" w:ascii="方正仿宋_GB2312" w:hAnsi="方正仿宋_GB2312" w:eastAsia="方正仿宋_GB2312" w:cs="方正仿宋_GB2312"/>
          <w:spacing w:val="0"/>
          <w:sz w:val="32"/>
          <w:szCs w:val="32"/>
          <w:highlight w:val="none"/>
          <w:lang w:val="en-US" w:eastAsia="zh-CN"/>
        </w:rPr>
        <w:t>日</w:t>
      </w:r>
    </w:p>
    <w:p w14:paraId="03705BD0">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方正仿宋_GB2312" w:hAnsi="方正仿宋_GB2312" w:eastAsia="方正仿宋_GB2312" w:cs="方正仿宋_GB2312"/>
          <w:spacing w:val="0"/>
          <w:sz w:val="32"/>
          <w:szCs w:val="32"/>
          <w:highlight w:val="none"/>
          <w:lang w:val="en-US" w:eastAsia="zh-CN"/>
        </w:rPr>
      </w:pPr>
    </w:p>
    <w:p w14:paraId="29EAFA51">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方正仿宋_GB2312" w:hAnsi="方正仿宋_GB2312" w:eastAsia="方正仿宋_GB2312" w:cs="方正仿宋_GB2312"/>
          <w:spacing w:val="0"/>
          <w:sz w:val="32"/>
          <w:szCs w:val="32"/>
          <w:highlight w:val="none"/>
          <w:lang w:val="en-US" w:eastAsia="zh-CN"/>
        </w:rPr>
      </w:pPr>
    </w:p>
    <w:p w14:paraId="735B0AB8">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 w:hAnsi="仿宋" w:eastAsia="仿宋"/>
          <w:spacing w:val="0"/>
          <w:sz w:val="32"/>
          <w:szCs w:val="32"/>
          <w:highlight w:val="none"/>
          <w:lang w:val="en-US" w:eastAsia="zh-CN"/>
        </w:rPr>
      </w:pPr>
    </w:p>
    <w:p w14:paraId="043A7CDB">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 w:hAnsi="仿宋" w:eastAsia="仿宋"/>
          <w:spacing w:val="0"/>
          <w:sz w:val="32"/>
          <w:szCs w:val="32"/>
          <w:highlight w:val="none"/>
          <w:lang w:val="en-US" w:eastAsia="zh-CN"/>
        </w:rPr>
      </w:pPr>
    </w:p>
    <w:p w14:paraId="56699300">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 w:hAnsi="仿宋" w:eastAsia="仿宋"/>
          <w:spacing w:val="0"/>
          <w:sz w:val="32"/>
          <w:szCs w:val="32"/>
          <w:highlight w:val="none"/>
          <w:lang w:val="en-US" w:eastAsia="zh-CN"/>
        </w:rPr>
      </w:pPr>
    </w:p>
    <w:p w14:paraId="57876A93">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 w:hAnsi="仿宋" w:eastAsia="仿宋"/>
          <w:spacing w:val="0"/>
          <w:sz w:val="32"/>
          <w:szCs w:val="32"/>
          <w:highlight w:val="none"/>
          <w:lang w:val="en-US" w:eastAsia="zh-CN"/>
        </w:rPr>
      </w:pPr>
    </w:p>
    <w:p w14:paraId="02CC4B89">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 w:hAnsi="仿宋" w:eastAsia="仿宋"/>
          <w:spacing w:val="0"/>
          <w:sz w:val="32"/>
          <w:szCs w:val="32"/>
          <w:highlight w:val="none"/>
          <w:lang w:val="en-US" w:eastAsia="zh-CN"/>
        </w:rPr>
      </w:pPr>
    </w:p>
    <w:p w14:paraId="6BFAD9B1">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 w:hAnsi="仿宋" w:eastAsia="仿宋"/>
          <w:spacing w:val="0"/>
          <w:sz w:val="32"/>
          <w:szCs w:val="32"/>
          <w:highlight w:val="none"/>
          <w:lang w:val="en-US" w:eastAsia="zh-CN"/>
        </w:rPr>
      </w:pPr>
    </w:p>
    <w:p w14:paraId="2E3A1899">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 w:hAnsi="仿宋" w:eastAsia="仿宋"/>
          <w:spacing w:val="0"/>
          <w:sz w:val="32"/>
          <w:szCs w:val="32"/>
          <w:highlight w:val="none"/>
          <w:lang w:val="en-US" w:eastAsia="zh-CN"/>
        </w:rPr>
      </w:pPr>
    </w:p>
    <w:p w14:paraId="30B846A3">
      <w:pPr>
        <w:spacing w:after="380" w:line="640" w:lineRule="exact"/>
        <w:jc w:val="center"/>
        <w:rPr>
          <w:rFonts w:ascii="黑体" w:hAnsi="黑体" w:eastAsia="黑体" w:cs="黑体"/>
          <w:color w:val="000000"/>
          <w:sz w:val="44"/>
          <w:szCs w:val="44"/>
        </w:rPr>
      </w:pPr>
      <w:r>
        <w:rPr>
          <w:rFonts w:hint="eastAsia" w:ascii="黑体" w:hAnsi="黑体" w:eastAsia="黑体" w:cs="黑体"/>
          <w:b/>
          <w:bCs/>
          <w:color w:val="000000"/>
          <w:sz w:val="44"/>
          <w:szCs w:val="44"/>
        </w:rPr>
        <w:t>债权人会议议事规则</w:t>
      </w:r>
    </w:p>
    <w:p w14:paraId="1B2070B4">
      <w:pPr>
        <w:keepNext w:val="0"/>
        <w:keepLines w:val="0"/>
        <w:pageBreakBefore w:val="0"/>
        <w:widowControl w:val="0"/>
        <w:kinsoku/>
        <w:wordWrap/>
        <w:overflowPunct/>
        <w:topLinePunct w:val="0"/>
        <w:autoSpaceDE/>
        <w:autoSpaceDN/>
        <w:bidi w:val="0"/>
        <w:adjustRightInd/>
        <w:snapToGrid/>
        <w:spacing w:line="560" w:lineRule="exact"/>
        <w:ind w:left="643"/>
        <w:jc w:val="left"/>
        <w:textAlignment w:val="auto"/>
        <w:rPr>
          <w:rFonts w:hint="eastAsia" w:ascii="方正仿宋_GB2312" w:hAnsi="方正仿宋_GB2312" w:eastAsia="方正仿宋_GB2312" w:cs="方正仿宋_GB2312"/>
          <w:b/>
          <w:bCs w:val="0"/>
          <w:color w:val="000000"/>
          <w:sz w:val="32"/>
          <w:szCs w:val="32"/>
        </w:rPr>
      </w:pPr>
      <w:r>
        <w:rPr>
          <w:rFonts w:hint="eastAsia" w:ascii="方正仿宋_GB2312" w:hAnsi="方正仿宋_GB2312" w:eastAsia="方正仿宋_GB2312" w:cs="方正仿宋_GB2312"/>
          <w:b/>
          <w:bCs w:val="0"/>
          <w:color w:val="000000"/>
          <w:sz w:val="32"/>
          <w:szCs w:val="32"/>
        </w:rPr>
        <w:t>一、一般规定</w:t>
      </w:r>
    </w:p>
    <w:p w14:paraId="7E0BCCCE">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方正仿宋_GB2312" w:hAnsi="方正仿宋_GB2312" w:eastAsia="方正仿宋_GB2312" w:cs="方正仿宋_GB2312"/>
          <w:b w:val="0"/>
          <w:bCs/>
          <w:sz w:val="32"/>
          <w:szCs w:val="32"/>
        </w:rPr>
      </w:pPr>
      <w:r>
        <w:rPr>
          <w:rFonts w:hint="eastAsia" w:ascii="方正仿宋_GB2312" w:hAnsi="方正仿宋_GB2312" w:eastAsia="方正仿宋_GB2312" w:cs="方正仿宋_GB2312"/>
          <w:b w:val="0"/>
          <w:bCs/>
          <w:color w:val="000000"/>
          <w:sz w:val="32"/>
          <w:szCs w:val="32"/>
        </w:rPr>
        <w:t>第一条 为保障债权人会议依法独立、规范、有效地行使职权，根据《中华人民共和国企业破产法》（以下简称《企业破产法》）及最高人民法院相关司法解释的规定，结合债务人的实际情况，制定本规则。</w:t>
      </w:r>
    </w:p>
    <w:p w14:paraId="14DE84C1">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方正仿宋_GB2312" w:hAnsi="方正仿宋_GB2312" w:eastAsia="方正仿宋_GB2312" w:cs="方正仿宋_GB2312"/>
          <w:b w:val="0"/>
          <w:bCs/>
          <w:sz w:val="32"/>
          <w:szCs w:val="32"/>
        </w:rPr>
      </w:pPr>
      <w:r>
        <w:rPr>
          <w:rFonts w:hint="eastAsia" w:ascii="方正仿宋_GB2312" w:hAnsi="方正仿宋_GB2312" w:eastAsia="方正仿宋_GB2312" w:cs="方正仿宋_GB2312"/>
          <w:b w:val="0"/>
          <w:bCs/>
          <w:color w:val="000000"/>
          <w:sz w:val="32"/>
          <w:szCs w:val="32"/>
        </w:rPr>
        <w:t>第二条 债权人会议应根据《企业破产法》及最高人民法院相关司法解释的规定，</w:t>
      </w:r>
      <w:r>
        <w:rPr>
          <w:rFonts w:hint="eastAsia" w:ascii="方正仿宋_GB2312" w:hAnsi="方正仿宋_GB2312" w:eastAsia="方正仿宋_GB2312" w:cs="方正仿宋_GB2312"/>
          <w:b w:val="0"/>
          <w:bCs/>
          <w:sz w:val="32"/>
          <w:szCs w:val="32"/>
        </w:rPr>
        <w:t>在</w:t>
      </w:r>
      <w:r>
        <w:rPr>
          <w:rFonts w:hint="eastAsia" w:ascii="方正仿宋_GB2312" w:hAnsi="方正仿宋_GB2312" w:eastAsia="方正仿宋_GB2312" w:cs="方正仿宋_GB2312"/>
          <w:b w:val="0"/>
          <w:bCs/>
          <w:sz w:val="32"/>
          <w:szCs w:val="32"/>
          <w:lang w:val="en-US" w:eastAsia="zh-CN"/>
        </w:rPr>
        <w:t>柘荣县</w:t>
      </w:r>
      <w:bookmarkStart w:id="0" w:name="_GoBack"/>
      <w:bookmarkEnd w:id="0"/>
      <w:r>
        <w:rPr>
          <w:rFonts w:hint="eastAsia" w:ascii="方正仿宋_GB2312" w:hAnsi="方正仿宋_GB2312" w:eastAsia="方正仿宋_GB2312" w:cs="方正仿宋_GB2312"/>
          <w:b w:val="0"/>
          <w:bCs/>
          <w:sz w:val="32"/>
          <w:szCs w:val="32"/>
        </w:rPr>
        <w:t>人民法院</w:t>
      </w:r>
      <w:r>
        <w:rPr>
          <w:rFonts w:hint="eastAsia" w:ascii="方正仿宋_GB2312" w:hAnsi="方正仿宋_GB2312" w:eastAsia="方正仿宋_GB2312" w:cs="方正仿宋_GB2312"/>
          <w:b w:val="0"/>
          <w:bCs/>
          <w:color w:val="000000"/>
          <w:sz w:val="32"/>
          <w:szCs w:val="32"/>
        </w:rPr>
        <w:t>的指导和监督下，认真履行职责，维护全体债权人的合法权益。</w:t>
      </w:r>
    </w:p>
    <w:p w14:paraId="7AB84F5F">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方正仿宋_GB2312" w:hAnsi="方正仿宋_GB2312" w:eastAsia="方正仿宋_GB2312" w:cs="方正仿宋_GB2312"/>
          <w:b w:val="0"/>
          <w:bCs/>
          <w:sz w:val="32"/>
          <w:szCs w:val="32"/>
        </w:rPr>
      </w:pPr>
      <w:r>
        <w:rPr>
          <w:rFonts w:hint="eastAsia" w:ascii="方正仿宋_GB2312" w:hAnsi="方正仿宋_GB2312" w:eastAsia="方正仿宋_GB2312" w:cs="方正仿宋_GB2312"/>
          <w:b w:val="0"/>
          <w:bCs/>
          <w:color w:val="000000"/>
          <w:sz w:val="32"/>
          <w:szCs w:val="32"/>
        </w:rPr>
        <w:t>第三条 债权人会议是全体债权人议事和决策的主要形式和临时机构。</w:t>
      </w:r>
    </w:p>
    <w:p w14:paraId="365263B5">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方正仿宋_GB2312" w:hAnsi="方正仿宋_GB2312" w:eastAsia="方正仿宋_GB2312" w:cs="方正仿宋_GB2312"/>
          <w:b w:val="0"/>
          <w:bCs/>
          <w:sz w:val="32"/>
          <w:szCs w:val="32"/>
        </w:rPr>
      </w:pPr>
      <w:r>
        <w:rPr>
          <w:rFonts w:hint="eastAsia" w:ascii="方正仿宋_GB2312" w:hAnsi="方正仿宋_GB2312" w:eastAsia="方正仿宋_GB2312" w:cs="方正仿宋_GB2312"/>
          <w:b w:val="0"/>
          <w:bCs/>
          <w:color w:val="000000"/>
          <w:sz w:val="32"/>
          <w:szCs w:val="32"/>
        </w:rPr>
        <w:t>第四条 依法申报债权的债权人为债权人会议的成员，有权参加债权人会议，享有表决权。</w:t>
      </w:r>
    </w:p>
    <w:p w14:paraId="443D3733">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方正仿宋_GB2312" w:hAnsi="方正仿宋_GB2312" w:eastAsia="方正仿宋_GB2312" w:cs="方正仿宋_GB2312"/>
          <w:b w:val="0"/>
          <w:bCs/>
          <w:sz w:val="32"/>
          <w:szCs w:val="32"/>
        </w:rPr>
      </w:pPr>
      <w:r>
        <w:rPr>
          <w:rFonts w:hint="eastAsia" w:ascii="方正仿宋_GB2312" w:hAnsi="方正仿宋_GB2312" w:eastAsia="方正仿宋_GB2312" w:cs="方正仿宋_GB2312"/>
          <w:b w:val="0"/>
          <w:bCs/>
          <w:color w:val="000000"/>
          <w:sz w:val="32"/>
          <w:szCs w:val="32"/>
        </w:rPr>
        <w:t>债权尚未确定的债权人，除人民法院能够为其行使表决权而临时确定债权额的，不得行使表决权。</w:t>
      </w:r>
    </w:p>
    <w:p w14:paraId="13D6932E">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方正仿宋_GB2312" w:hAnsi="方正仿宋_GB2312" w:eastAsia="方正仿宋_GB2312" w:cs="方正仿宋_GB2312"/>
          <w:b w:val="0"/>
          <w:bCs/>
          <w:sz w:val="32"/>
          <w:szCs w:val="32"/>
        </w:rPr>
      </w:pPr>
      <w:r>
        <w:rPr>
          <w:rFonts w:hint="eastAsia" w:ascii="方正仿宋_GB2312" w:hAnsi="方正仿宋_GB2312" w:eastAsia="方正仿宋_GB2312" w:cs="方正仿宋_GB2312"/>
          <w:b w:val="0"/>
          <w:bCs/>
          <w:color w:val="000000"/>
          <w:sz w:val="32"/>
          <w:szCs w:val="32"/>
        </w:rPr>
        <w:t>对债务人的特定财产享有担保权的债权人，未放弃优先受偿权利的，对于本规则第六条第七项、第十项规定的事项不享有表决权。</w:t>
      </w:r>
    </w:p>
    <w:p w14:paraId="088966B5">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textAlignment w:val="auto"/>
        <w:rPr>
          <w:rFonts w:hint="eastAsia" w:ascii="方正仿宋_GB2312" w:hAnsi="方正仿宋_GB2312" w:eastAsia="方正仿宋_GB2312" w:cs="方正仿宋_GB2312"/>
          <w:b w:val="0"/>
          <w:bCs/>
          <w:color w:val="000000"/>
          <w:sz w:val="32"/>
          <w:szCs w:val="32"/>
        </w:rPr>
      </w:pPr>
      <w:r>
        <w:rPr>
          <w:rFonts w:hint="eastAsia" w:ascii="方正仿宋_GB2312" w:hAnsi="方正仿宋_GB2312" w:eastAsia="方正仿宋_GB2312" w:cs="方正仿宋_GB2312"/>
          <w:b w:val="0"/>
          <w:bCs/>
          <w:color w:val="000000"/>
          <w:sz w:val="32"/>
          <w:szCs w:val="32"/>
        </w:rPr>
        <w:t>管理人及其聘请的中介机构应当列席债权人会议，向债权人会议报告职务执行情况，并回答询问。</w:t>
      </w:r>
    </w:p>
    <w:p w14:paraId="1EC14AF6">
      <w:pPr>
        <w:keepNext w:val="0"/>
        <w:keepLines w:val="0"/>
        <w:pageBreakBefore w:val="0"/>
        <w:widowControl w:val="0"/>
        <w:kinsoku/>
        <w:wordWrap/>
        <w:overflowPunct/>
        <w:topLinePunct w:val="0"/>
        <w:autoSpaceDE/>
        <w:autoSpaceDN/>
        <w:bidi w:val="0"/>
        <w:adjustRightInd/>
        <w:snapToGrid/>
        <w:spacing w:line="560" w:lineRule="exact"/>
        <w:ind w:left="641"/>
        <w:jc w:val="left"/>
        <w:textAlignment w:val="auto"/>
        <w:rPr>
          <w:rFonts w:hint="eastAsia" w:ascii="方正仿宋_GB2312" w:hAnsi="方正仿宋_GB2312" w:eastAsia="方正仿宋_GB2312" w:cs="方正仿宋_GB2312"/>
          <w:b/>
          <w:bCs w:val="0"/>
          <w:color w:val="000000"/>
          <w:sz w:val="32"/>
          <w:szCs w:val="32"/>
        </w:rPr>
      </w:pPr>
      <w:r>
        <w:rPr>
          <w:rFonts w:hint="eastAsia" w:ascii="方正仿宋_GB2312" w:hAnsi="方正仿宋_GB2312" w:eastAsia="方正仿宋_GB2312" w:cs="方正仿宋_GB2312"/>
          <w:b/>
          <w:bCs w:val="0"/>
          <w:color w:val="000000"/>
          <w:sz w:val="32"/>
          <w:szCs w:val="32"/>
        </w:rPr>
        <w:t>二、债权人会议的召开和表决</w:t>
      </w:r>
    </w:p>
    <w:p w14:paraId="5268E140">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方正仿宋_GB2312" w:hAnsi="方正仿宋_GB2312" w:eastAsia="方正仿宋_GB2312" w:cs="方正仿宋_GB2312"/>
          <w:b w:val="0"/>
          <w:bCs/>
          <w:sz w:val="32"/>
          <w:szCs w:val="32"/>
        </w:rPr>
      </w:pPr>
      <w:r>
        <w:rPr>
          <w:rFonts w:hint="eastAsia" w:ascii="方正仿宋_GB2312" w:hAnsi="方正仿宋_GB2312" w:eastAsia="方正仿宋_GB2312" w:cs="方正仿宋_GB2312"/>
          <w:b w:val="0"/>
          <w:bCs/>
          <w:color w:val="000000"/>
          <w:sz w:val="32"/>
          <w:szCs w:val="32"/>
        </w:rPr>
        <w:t>第六条 第一次债权人会议由人民法院召集。以后的债权人会议，在人民法院认为必要时，或者管理人、债权人委员会、占债权总额四分之一以上的债权人向债权人会议主席提议时召开。</w:t>
      </w:r>
    </w:p>
    <w:p w14:paraId="19C6C5C0">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方正仿宋_GB2312" w:hAnsi="方正仿宋_GB2312" w:eastAsia="方正仿宋_GB2312" w:cs="方正仿宋_GB2312"/>
          <w:b w:val="0"/>
          <w:bCs/>
          <w:color w:val="000000"/>
          <w:sz w:val="32"/>
          <w:szCs w:val="32"/>
        </w:rPr>
      </w:pPr>
      <w:r>
        <w:rPr>
          <w:rFonts w:hint="eastAsia" w:ascii="方正仿宋_GB2312" w:hAnsi="方正仿宋_GB2312" w:eastAsia="方正仿宋_GB2312" w:cs="方正仿宋_GB2312"/>
          <w:b w:val="0"/>
          <w:bCs/>
          <w:color w:val="000000"/>
          <w:sz w:val="32"/>
          <w:szCs w:val="32"/>
        </w:rPr>
        <w:t>第七条 第一次债权人会议可以采用现场方式或网络在线视频方式召开。第一次债权人会议以后的债权人会议可以由管理人根据实际情况采用非在线视频通讯群组、书面等其他非现场方式召开。债权人会议以非现场方式召开的，管理人会核实参会人员身份，记录并保存会议过程。</w:t>
      </w:r>
    </w:p>
    <w:p w14:paraId="62584712">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方正仿宋_GB2312" w:hAnsi="方正仿宋_GB2312" w:eastAsia="方正仿宋_GB2312" w:cs="方正仿宋_GB2312"/>
          <w:b w:val="0"/>
          <w:bCs/>
          <w:sz w:val="32"/>
          <w:szCs w:val="32"/>
        </w:rPr>
      </w:pPr>
      <w:r>
        <w:rPr>
          <w:rFonts w:hint="eastAsia" w:ascii="方正仿宋_GB2312" w:hAnsi="方正仿宋_GB2312" w:eastAsia="方正仿宋_GB2312" w:cs="方正仿宋_GB2312"/>
          <w:b w:val="0"/>
          <w:bCs/>
          <w:color w:val="000000"/>
          <w:sz w:val="32"/>
          <w:szCs w:val="32"/>
        </w:rPr>
        <w:t>第八条 召开债权人会议时，首先由人民法院或者债权人会议主席宣布会议议题，而后根据会议议程主持议事。人民法院或者债权人会议主席有权决定每一议题的议事时间、是否停止讨论、是否转入下一议题等。人民法院或者债权人会议主席控制会议进程，节约时间，提高议事效率和决策的科学性。</w:t>
      </w:r>
    </w:p>
    <w:p w14:paraId="344CE0F8">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方正仿宋_GB2312" w:hAnsi="方正仿宋_GB2312" w:eastAsia="方正仿宋_GB2312" w:cs="方正仿宋_GB2312"/>
          <w:b w:val="0"/>
          <w:bCs/>
          <w:sz w:val="32"/>
          <w:szCs w:val="32"/>
        </w:rPr>
      </w:pPr>
      <w:r>
        <w:rPr>
          <w:rFonts w:hint="eastAsia" w:ascii="方正仿宋_GB2312" w:hAnsi="方正仿宋_GB2312" w:eastAsia="方正仿宋_GB2312" w:cs="方正仿宋_GB2312"/>
          <w:b w:val="0"/>
          <w:bCs/>
          <w:color w:val="000000"/>
          <w:sz w:val="32"/>
          <w:szCs w:val="32"/>
        </w:rPr>
        <w:t>第九条 除非人民法院或者债权人会议主席同意，否则债权人会议不讨论未列入本次会议议题的事项。</w:t>
      </w:r>
    </w:p>
    <w:p w14:paraId="5A59FDF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方正仿宋_GB2312" w:hAnsi="方正仿宋_GB2312" w:eastAsia="方正仿宋_GB2312" w:cs="方正仿宋_GB2312"/>
          <w:b w:val="0"/>
          <w:bCs/>
          <w:sz w:val="32"/>
          <w:szCs w:val="32"/>
        </w:rPr>
      </w:pPr>
      <w:r>
        <w:rPr>
          <w:rFonts w:hint="eastAsia" w:ascii="方正仿宋_GB2312" w:hAnsi="方正仿宋_GB2312" w:eastAsia="方正仿宋_GB2312" w:cs="方正仿宋_GB2312"/>
          <w:b w:val="0"/>
          <w:bCs/>
          <w:color w:val="000000"/>
          <w:sz w:val="32"/>
          <w:szCs w:val="32"/>
        </w:rPr>
        <w:t>第十条 与会债权人及其代理人应当在债权人范围内进行讨论议事，不得与列席会议人员进行讨论，除非人民法院或者债权人会议主席决定听取列席人员意见和建议。</w:t>
      </w:r>
    </w:p>
    <w:p w14:paraId="252C4BA2">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方正仿宋_GB2312" w:hAnsi="方正仿宋_GB2312" w:eastAsia="方正仿宋_GB2312" w:cs="方正仿宋_GB2312"/>
          <w:b w:val="0"/>
          <w:bCs/>
          <w:sz w:val="32"/>
          <w:szCs w:val="32"/>
        </w:rPr>
      </w:pPr>
      <w:r>
        <w:rPr>
          <w:rFonts w:hint="eastAsia" w:ascii="方正仿宋_GB2312" w:hAnsi="方正仿宋_GB2312" w:eastAsia="方正仿宋_GB2312" w:cs="方正仿宋_GB2312"/>
          <w:b w:val="0"/>
          <w:bCs/>
          <w:color w:val="000000"/>
          <w:sz w:val="32"/>
          <w:szCs w:val="32"/>
        </w:rPr>
        <w:t>第十一条 列席会议人员不得介入债权人会议议事过程，不得影响会议讨论、表决和作出决议。</w:t>
      </w:r>
    </w:p>
    <w:p w14:paraId="26A9CBB8">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方正仿宋_GB2312" w:hAnsi="方正仿宋_GB2312" w:eastAsia="方正仿宋_GB2312" w:cs="方正仿宋_GB2312"/>
          <w:b w:val="0"/>
          <w:bCs/>
          <w:sz w:val="32"/>
          <w:szCs w:val="32"/>
        </w:rPr>
      </w:pPr>
      <w:r>
        <w:rPr>
          <w:rFonts w:hint="eastAsia" w:ascii="方正仿宋_GB2312" w:hAnsi="方正仿宋_GB2312" w:eastAsia="方正仿宋_GB2312" w:cs="方正仿宋_GB2312"/>
          <w:b w:val="0"/>
          <w:bCs/>
          <w:color w:val="000000"/>
          <w:sz w:val="32"/>
          <w:szCs w:val="32"/>
        </w:rPr>
        <w:t>第十二条 人民法院或者债权人会议主席根据与会债权人情况主持会议进程，不因列席会议人员的意见或其他行为影响而改变会议进程或者会议议题。</w:t>
      </w:r>
    </w:p>
    <w:p w14:paraId="34ADCA7D">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方正仿宋_GB2312" w:hAnsi="方正仿宋_GB2312" w:eastAsia="方正仿宋_GB2312" w:cs="方正仿宋_GB2312"/>
          <w:b w:val="0"/>
          <w:bCs/>
          <w:sz w:val="32"/>
          <w:szCs w:val="32"/>
        </w:rPr>
      </w:pPr>
      <w:r>
        <w:rPr>
          <w:rFonts w:hint="eastAsia" w:ascii="方正仿宋_GB2312" w:hAnsi="方正仿宋_GB2312" w:eastAsia="方正仿宋_GB2312" w:cs="方正仿宋_GB2312"/>
          <w:b w:val="0"/>
          <w:bCs/>
          <w:color w:val="000000"/>
          <w:sz w:val="32"/>
          <w:szCs w:val="32"/>
        </w:rPr>
        <w:t>第十三条 会议出现意见相持而无法表决或者表决同意与表决不同意的意见相等时，应由人民法院或者债权人会议主席视会议情况决定继续议事或者暂时休会。</w:t>
      </w:r>
    </w:p>
    <w:p w14:paraId="241409F2">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方正仿宋_GB2312" w:hAnsi="方正仿宋_GB2312" w:eastAsia="方正仿宋_GB2312" w:cs="方正仿宋_GB2312"/>
          <w:b w:val="0"/>
          <w:bCs/>
          <w:sz w:val="32"/>
          <w:szCs w:val="32"/>
        </w:rPr>
      </w:pPr>
      <w:r>
        <w:rPr>
          <w:rFonts w:hint="eastAsia" w:ascii="方正仿宋_GB2312" w:hAnsi="方正仿宋_GB2312" w:eastAsia="方正仿宋_GB2312" w:cs="方正仿宋_GB2312"/>
          <w:b w:val="0"/>
          <w:bCs/>
          <w:color w:val="000000"/>
          <w:sz w:val="32"/>
          <w:szCs w:val="32"/>
        </w:rPr>
        <w:t>第十四条 债权人会议的决议，由出席会议的有表决权的债权人过半数通过，并且其所代表的债权额必须占无财产担保债权总额的半数以上。但《企业破产法》或司法解释另有规定的除外。</w:t>
      </w:r>
    </w:p>
    <w:p w14:paraId="310830BC">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方正仿宋_GB2312" w:hAnsi="方正仿宋_GB2312" w:eastAsia="方正仿宋_GB2312" w:cs="方正仿宋_GB2312"/>
          <w:b w:val="0"/>
          <w:bCs/>
          <w:sz w:val="32"/>
          <w:szCs w:val="32"/>
        </w:rPr>
      </w:pPr>
      <w:r>
        <w:rPr>
          <w:rFonts w:hint="eastAsia" w:ascii="方正仿宋_GB2312" w:hAnsi="方正仿宋_GB2312" w:eastAsia="方正仿宋_GB2312" w:cs="方正仿宋_GB2312"/>
          <w:b w:val="0"/>
          <w:bCs/>
          <w:color w:val="000000"/>
          <w:sz w:val="32"/>
          <w:szCs w:val="32"/>
        </w:rPr>
        <w:t>第十五条 债权人会议决议方式为投票表决。召开现场债权人会议的，与会债权人表决后，由工作人员按照《企业破产法》及相关规定对表决票进行统计。不召开现场会议的债权人会议，表决票由管理人寄送至各债权人，各债权人可以通过通信、传真、网络投票等方式进行非现场表决，但各表决票需在管理人规定的投票截止日之前送达至管理人。</w:t>
      </w:r>
    </w:p>
    <w:p w14:paraId="7317218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方正仿宋_GB2312" w:hAnsi="方正仿宋_GB2312" w:eastAsia="方正仿宋_GB2312" w:cs="方正仿宋_GB2312"/>
          <w:b w:val="0"/>
          <w:bCs/>
          <w:color w:val="000000"/>
          <w:sz w:val="32"/>
          <w:szCs w:val="32"/>
        </w:rPr>
      </w:pPr>
      <w:r>
        <w:rPr>
          <w:rFonts w:hint="eastAsia" w:ascii="方正仿宋_GB2312" w:hAnsi="方正仿宋_GB2312" w:eastAsia="方正仿宋_GB2312" w:cs="方正仿宋_GB2312"/>
          <w:b w:val="0"/>
          <w:bCs/>
          <w:color w:val="000000"/>
          <w:sz w:val="32"/>
          <w:szCs w:val="32"/>
        </w:rPr>
        <w:t>第十六条 债权人会议的所有决议，对于全体债权人均有约束力。</w:t>
      </w:r>
    </w:p>
    <w:p w14:paraId="45444EF2">
      <w:pPr>
        <w:keepNext w:val="0"/>
        <w:keepLines w:val="0"/>
        <w:pageBreakBefore w:val="0"/>
        <w:widowControl w:val="0"/>
        <w:kinsoku/>
        <w:wordWrap/>
        <w:overflowPunct/>
        <w:topLinePunct w:val="0"/>
        <w:autoSpaceDE/>
        <w:autoSpaceDN/>
        <w:bidi w:val="0"/>
        <w:adjustRightInd/>
        <w:snapToGrid/>
        <w:spacing w:line="560" w:lineRule="exact"/>
        <w:ind w:left="643"/>
        <w:jc w:val="left"/>
        <w:textAlignment w:val="auto"/>
        <w:rPr>
          <w:rFonts w:hint="eastAsia" w:ascii="方正仿宋_GB2312" w:hAnsi="方正仿宋_GB2312" w:eastAsia="方正仿宋_GB2312" w:cs="方正仿宋_GB2312"/>
          <w:b/>
          <w:bCs w:val="0"/>
          <w:color w:val="000000"/>
          <w:sz w:val="32"/>
          <w:szCs w:val="32"/>
        </w:rPr>
      </w:pPr>
      <w:r>
        <w:rPr>
          <w:rFonts w:hint="eastAsia" w:ascii="方正仿宋_GB2312" w:hAnsi="方正仿宋_GB2312" w:eastAsia="方正仿宋_GB2312" w:cs="方正仿宋_GB2312"/>
          <w:b/>
          <w:bCs w:val="0"/>
          <w:color w:val="000000"/>
          <w:sz w:val="32"/>
          <w:szCs w:val="32"/>
        </w:rPr>
        <w:t>三、附则</w:t>
      </w:r>
    </w:p>
    <w:p w14:paraId="4E1A5204">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方正仿宋_GB2312" w:hAnsi="方正仿宋_GB2312" w:eastAsia="方正仿宋_GB2312" w:cs="方正仿宋_GB2312"/>
          <w:b w:val="0"/>
          <w:bCs/>
          <w:sz w:val="32"/>
          <w:szCs w:val="32"/>
        </w:rPr>
      </w:pPr>
      <w:r>
        <w:rPr>
          <w:rFonts w:hint="eastAsia" w:ascii="方正仿宋_GB2312" w:hAnsi="方正仿宋_GB2312" w:eastAsia="方正仿宋_GB2312" w:cs="方正仿宋_GB2312"/>
          <w:b w:val="0"/>
          <w:bCs/>
          <w:color w:val="000000"/>
          <w:sz w:val="32"/>
          <w:szCs w:val="32"/>
        </w:rPr>
        <w:t>第十九条 本规则未尽事宜，依照《企业破产法》及最高人民法院的相关司法解释的规定执行。</w:t>
      </w:r>
    </w:p>
    <w:p w14:paraId="58D61590">
      <w:pPr>
        <w:keepNext w:val="0"/>
        <w:keepLines w:val="0"/>
        <w:pageBreakBefore w:val="0"/>
        <w:widowControl w:val="0"/>
        <w:kinsoku/>
        <w:wordWrap/>
        <w:overflowPunct/>
        <w:topLinePunct w:val="0"/>
        <w:autoSpaceDE/>
        <w:autoSpaceDN/>
        <w:bidi w:val="0"/>
        <w:adjustRightInd/>
        <w:snapToGrid/>
        <w:spacing w:after="520" w:line="560" w:lineRule="exact"/>
        <w:ind w:firstLine="640" w:firstLineChars="200"/>
        <w:jc w:val="left"/>
        <w:textAlignment w:val="auto"/>
        <w:rPr>
          <w:rFonts w:hint="eastAsia" w:ascii="方正仿宋_GB2312" w:hAnsi="方正仿宋_GB2312" w:eastAsia="方正仿宋_GB2312" w:cs="方正仿宋_GB2312"/>
          <w:b w:val="0"/>
          <w:bCs/>
          <w:color w:val="000000"/>
          <w:sz w:val="32"/>
          <w:szCs w:val="32"/>
        </w:rPr>
      </w:pPr>
      <w:r>
        <w:rPr>
          <w:rFonts w:hint="eastAsia" w:ascii="方正仿宋_GB2312" w:hAnsi="方正仿宋_GB2312" w:eastAsia="方正仿宋_GB2312" w:cs="方正仿宋_GB2312"/>
          <w:b w:val="0"/>
          <w:bCs/>
          <w:color w:val="000000"/>
          <w:sz w:val="32"/>
          <w:szCs w:val="32"/>
        </w:rPr>
        <w:t>第二十条 本规则由管理人负责解释并修订。</w:t>
      </w:r>
    </w:p>
    <w:p w14:paraId="1A2520DA">
      <w:pPr>
        <w:keepNext w:val="0"/>
        <w:keepLines w:val="0"/>
        <w:pageBreakBefore w:val="0"/>
        <w:widowControl w:val="0"/>
        <w:kinsoku/>
        <w:wordWrap/>
        <w:overflowPunct/>
        <w:topLinePunct w:val="0"/>
        <w:autoSpaceDE/>
        <w:autoSpaceDN/>
        <w:bidi w:val="0"/>
        <w:adjustRightInd/>
        <w:snapToGrid/>
        <w:spacing w:after="520" w:line="560" w:lineRule="exact"/>
        <w:ind w:firstLine="640"/>
        <w:jc w:val="left"/>
        <w:textAlignment w:val="auto"/>
        <w:rPr>
          <w:rFonts w:hint="eastAsia" w:ascii="方正仿宋_GB2312" w:hAnsi="方正仿宋_GB2312" w:eastAsia="方正仿宋_GB2312" w:cs="方正仿宋_GB2312"/>
          <w:b/>
          <w:bCs w:val="0"/>
          <w:color w:val="000000"/>
          <w:sz w:val="32"/>
          <w:szCs w:val="32"/>
          <w:u w:val="single"/>
        </w:rPr>
      </w:pPr>
      <w:r>
        <w:rPr>
          <w:rFonts w:hint="eastAsia" w:ascii="方正仿宋_GB2312" w:hAnsi="方正仿宋_GB2312" w:eastAsia="方正仿宋_GB2312" w:cs="方正仿宋_GB2312"/>
          <w:b/>
          <w:bCs w:val="0"/>
          <w:color w:val="000000"/>
          <w:sz w:val="32"/>
          <w:szCs w:val="32"/>
          <w:u w:val="single"/>
        </w:rPr>
        <w:t>本人对以上债权人会议议事规则已阅读并知晓，同时签字确认无异议。</w:t>
      </w:r>
    </w:p>
    <w:p w14:paraId="319B042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b w:val="0"/>
          <w:bCs/>
          <w:color w:val="000000"/>
          <w:sz w:val="32"/>
          <w:szCs w:val="32"/>
        </w:rPr>
      </w:pPr>
      <w:r>
        <w:rPr>
          <w:rFonts w:hint="eastAsia" w:ascii="方正仿宋_GB2312" w:hAnsi="方正仿宋_GB2312" w:eastAsia="方正仿宋_GB2312" w:cs="方正仿宋_GB2312"/>
          <w:b w:val="0"/>
          <w:bCs/>
          <w:color w:val="000000"/>
          <w:sz w:val="32"/>
          <w:szCs w:val="32"/>
        </w:rPr>
        <w:t xml:space="preserve">                         </w:t>
      </w:r>
    </w:p>
    <w:p w14:paraId="5B6CE16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b w:val="0"/>
          <w:bCs/>
          <w:color w:val="000000"/>
          <w:sz w:val="32"/>
          <w:szCs w:val="32"/>
        </w:rPr>
      </w:pPr>
      <w:r>
        <w:rPr>
          <w:rFonts w:hint="eastAsia" w:ascii="方正仿宋_GB2312" w:hAnsi="方正仿宋_GB2312" w:eastAsia="方正仿宋_GB2312" w:cs="方正仿宋_GB2312"/>
          <w:b w:val="0"/>
          <w:bCs/>
          <w:color w:val="000000"/>
          <w:sz w:val="32"/>
          <w:szCs w:val="32"/>
        </w:rPr>
        <w:t>确认签字：</w:t>
      </w:r>
    </w:p>
    <w:p w14:paraId="68DBC769">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方正仿宋_GB2312" w:hAnsi="方正仿宋_GB2312" w:eastAsia="方正仿宋_GB2312" w:cs="方正仿宋_GB2312"/>
          <w:b w:val="0"/>
          <w:bCs/>
          <w:color w:val="000000"/>
          <w:sz w:val="32"/>
          <w:szCs w:val="32"/>
        </w:rPr>
      </w:pPr>
      <w:r>
        <w:rPr>
          <w:rFonts w:hint="eastAsia" w:ascii="方正仿宋_GB2312" w:hAnsi="方正仿宋_GB2312" w:eastAsia="方正仿宋_GB2312" w:cs="方正仿宋_GB2312"/>
          <w:b w:val="0"/>
          <w:bCs/>
          <w:color w:val="000000"/>
          <w:sz w:val="32"/>
          <w:szCs w:val="32"/>
        </w:rPr>
        <w:t xml:space="preserve">   年   月   日</w:t>
      </w:r>
    </w:p>
    <w:p w14:paraId="5F0BCEBA">
      <w:pPr>
        <w:pStyle w:val="2"/>
        <w:spacing w:line="500" w:lineRule="exact"/>
        <w:jc w:val="center"/>
        <w:rPr>
          <w:b/>
          <w:bCs/>
          <w:sz w:val="44"/>
          <w:szCs w:val="44"/>
        </w:rPr>
      </w:pPr>
      <w:r>
        <w:rPr>
          <w:rFonts w:hint="eastAsia" w:ascii="黑体" w:hAnsi="黑体" w:eastAsia="黑体" w:cs="黑体"/>
          <w:b/>
          <w:bCs/>
          <w:sz w:val="44"/>
          <w:szCs w:val="44"/>
        </w:rPr>
        <w:t>债权人会议表决规则</w:t>
      </w:r>
    </w:p>
    <w:p w14:paraId="12D0ED43">
      <w:pPr>
        <w:spacing w:line="560" w:lineRule="exact"/>
        <w:ind w:firstLine="64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000000"/>
          <w:sz w:val="32"/>
          <w:szCs w:val="32"/>
        </w:rPr>
        <w:t>为确保破产程序顺利进行，管理人根据《中华人民共和国企业破产法》的规定，制定债权人会议表决规则如下：</w:t>
      </w:r>
    </w:p>
    <w:p w14:paraId="6FAF8953">
      <w:pPr>
        <w:numPr>
          <w:ilvl w:val="0"/>
          <w:numId w:val="2"/>
        </w:numPr>
        <w:spacing w:line="560" w:lineRule="exact"/>
        <w:ind w:firstLine="643"/>
        <w:jc w:val="left"/>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sz w:val="32"/>
          <w:szCs w:val="32"/>
        </w:rPr>
        <w:t>表决方式</w:t>
      </w:r>
    </w:p>
    <w:p w14:paraId="1E0DB114">
      <w:pPr>
        <w:spacing w:line="560" w:lineRule="exact"/>
        <w:ind w:firstLine="640"/>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1．债权人会议现场表决：各债权人或授权代表现场领取表决票，现场投票表决，现场统计表决结果。</w:t>
      </w:r>
    </w:p>
    <w:p w14:paraId="3D9D86FC">
      <w:pPr>
        <w:spacing w:before="100" w:line="560" w:lineRule="exact"/>
        <w:ind w:firstLine="64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000000"/>
          <w:sz w:val="32"/>
          <w:szCs w:val="32"/>
        </w:rPr>
        <w:t>（1）有表决权的债权人，由其授权代表或本人进行表决，每一表决权人一票。</w:t>
      </w:r>
    </w:p>
    <w:p w14:paraId="6B20469C">
      <w:pPr>
        <w:spacing w:line="560" w:lineRule="exact"/>
        <w:ind w:firstLine="64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000000"/>
          <w:sz w:val="32"/>
          <w:szCs w:val="32"/>
        </w:rPr>
        <w:t>（2）对管理人制作的表决事项、方案等，由全体债权人共同投票表决，依照法律规定决定是否区分组别。</w:t>
      </w:r>
    </w:p>
    <w:p w14:paraId="312E1235">
      <w:pPr>
        <w:spacing w:line="560" w:lineRule="exact"/>
        <w:ind w:firstLine="64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000000"/>
          <w:sz w:val="32"/>
          <w:szCs w:val="32"/>
        </w:rPr>
        <w:t>2．非现场会议表决：管理人可将需债权人会议表决事项以通信或其他信息传递方式付诸表决，具体如下：</w:t>
      </w:r>
    </w:p>
    <w:p w14:paraId="39258AC9">
      <w:pPr>
        <w:spacing w:line="560" w:lineRule="exact"/>
        <w:ind w:firstLine="64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000000"/>
          <w:sz w:val="32"/>
          <w:szCs w:val="32"/>
        </w:rPr>
        <w:t>（1）管理人可将记载有表决事项的表决票及有关材料以书面、传真短信、电子邮件、即时通信、通讯群组、全国企业破产重整案件信息网破产管理系统等非现场方式送达债权人或其代理人；</w:t>
      </w:r>
    </w:p>
    <w:p w14:paraId="1BF41593">
      <w:pPr>
        <w:spacing w:line="560" w:lineRule="exact"/>
        <w:ind w:firstLine="64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000000"/>
          <w:sz w:val="32"/>
          <w:szCs w:val="32"/>
        </w:rPr>
        <w:t>（2）管理人告知表决事项的送达地址及联系方式，以债权人申报债权时提交的送达地址确认书为准，债权人应如实填写联系人手机号码、电子邮箱、QQ、微信、钉钉等信息，如有变动应以书面方式通知管理人；</w:t>
      </w:r>
    </w:p>
    <w:p w14:paraId="07C01D0F">
      <w:pPr>
        <w:spacing w:line="560" w:lineRule="exact"/>
        <w:ind w:firstLine="64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000000"/>
          <w:sz w:val="32"/>
          <w:szCs w:val="32"/>
        </w:rPr>
        <w:t>（3）管理人通过其他送达方式告知表决事项的，债权人可以自行打印表决票，除向管理人现场提交以外，还可以在填写表决票后以邮寄、电子邮箱、通讯软件等送达形式在管理人规定的期限内提交。</w:t>
      </w:r>
    </w:p>
    <w:p w14:paraId="37AB73A3">
      <w:pPr>
        <w:numPr>
          <w:ilvl w:val="0"/>
          <w:numId w:val="2"/>
        </w:numPr>
        <w:spacing w:line="560" w:lineRule="exact"/>
        <w:ind w:firstLine="643"/>
        <w:jc w:val="left"/>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sz w:val="32"/>
          <w:szCs w:val="32"/>
        </w:rPr>
        <w:t>表决意见</w:t>
      </w:r>
    </w:p>
    <w:p w14:paraId="415705D4">
      <w:pPr>
        <w:spacing w:line="560" w:lineRule="exact"/>
        <w:ind w:firstLine="640"/>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表决票设置两种表决意见，“同意”或者“不同意”，若债权人在同一张表决票的表决意见栏中既在“同意”的选项中打钩又在“不同意”的选项中打钩，或在表决意见栏中填写其他内容、未填写任何内容的，或交回的表决票为空白者，或拒不交回表决票的，视为“弃票”。</w:t>
      </w:r>
    </w:p>
    <w:p w14:paraId="2481E47A">
      <w:pPr>
        <w:spacing w:line="560" w:lineRule="exact"/>
        <w:ind w:firstLine="64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000000"/>
          <w:sz w:val="32"/>
          <w:szCs w:val="32"/>
        </w:rPr>
        <w:t>非现场会议表决的，债权人应当在表决票记载的表决期限内提交表决意见，除另行通知外，表决期限以告知表决事项后</w:t>
      </w:r>
      <w:r>
        <w:rPr>
          <w:rFonts w:hint="eastAsia" w:ascii="方正仿宋_GB2312" w:hAnsi="方正仿宋_GB2312" w:eastAsia="方正仿宋_GB2312" w:cs="方正仿宋_GB2312"/>
          <w:color w:val="000000"/>
          <w:sz w:val="32"/>
          <w:szCs w:val="32"/>
          <w:lang w:val="en-US" w:eastAsia="zh-CN"/>
        </w:rPr>
        <w:t>三</w:t>
      </w:r>
      <w:r>
        <w:rPr>
          <w:rFonts w:hint="eastAsia" w:ascii="方正仿宋_GB2312" w:hAnsi="方正仿宋_GB2312" w:eastAsia="方正仿宋_GB2312" w:cs="方正仿宋_GB2312"/>
          <w:color w:val="000000"/>
          <w:sz w:val="32"/>
          <w:szCs w:val="32"/>
        </w:rPr>
        <w:t>个工作日为限。</w:t>
      </w:r>
      <w:r>
        <w:rPr>
          <w:rFonts w:hint="eastAsia" w:ascii="方正仿宋_GB2312" w:hAnsi="方正仿宋_GB2312" w:eastAsia="方正仿宋_GB2312" w:cs="方正仿宋_GB2312"/>
          <w:b/>
          <w:bCs/>
          <w:color w:val="000000"/>
          <w:sz w:val="32"/>
          <w:szCs w:val="32"/>
        </w:rPr>
        <w:t>债权人未作表决、表决意见不明确或在表决期限截止日前非因不可抗力等原因未提交表决意见且管理人未同意逾期提交的，视为“同意”。</w:t>
      </w:r>
    </w:p>
    <w:p w14:paraId="158588EC">
      <w:pPr>
        <w:numPr>
          <w:ilvl w:val="0"/>
          <w:numId w:val="2"/>
        </w:numPr>
        <w:spacing w:line="560" w:lineRule="exact"/>
        <w:ind w:firstLine="643"/>
        <w:jc w:val="left"/>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sz w:val="32"/>
          <w:szCs w:val="32"/>
        </w:rPr>
        <w:t>表决票的发放、收集和统计</w:t>
      </w:r>
    </w:p>
    <w:p w14:paraId="3B04BE7B">
      <w:pPr>
        <w:spacing w:line="560" w:lineRule="exact"/>
        <w:ind w:firstLine="64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000000"/>
          <w:sz w:val="32"/>
          <w:szCs w:val="32"/>
        </w:rPr>
        <w:t>1．表决票由管理人工作人员在会议现场发放；</w:t>
      </w:r>
    </w:p>
    <w:p w14:paraId="0C8FBF38">
      <w:pPr>
        <w:spacing w:line="560" w:lineRule="exact"/>
        <w:ind w:firstLine="64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000000"/>
          <w:sz w:val="32"/>
          <w:szCs w:val="32"/>
        </w:rPr>
        <w:t>2．债权人填写完毕后，由管理人工作人员现场收集，现场邀请法院书记员、法官助理或债权人进行监票并统计表决结果；</w:t>
      </w:r>
    </w:p>
    <w:p w14:paraId="19EBFE21">
      <w:pPr>
        <w:spacing w:line="560" w:lineRule="exact"/>
        <w:ind w:firstLine="64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000000"/>
          <w:sz w:val="32"/>
          <w:szCs w:val="32"/>
        </w:rPr>
        <w:t>3．非现场表决的，由管理人工作人员以通信或其他信息传递方式告知表决事项，邮寄的送达地址及联系方式以债权人申报债权时提交的地址确认书为准。</w:t>
      </w:r>
    </w:p>
    <w:p w14:paraId="35F24354">
      <w:pPr>
        <w:numPr>
          <w:ilvl w:val="0"/>
          <w:numId w:val="2"/>
        </w:numPr>
        <w:spacing w:line="560" w:lineRule="exact"/>
        <w:ind w:firstLine="643"/>
        <w:jc w:val="left"/>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color w:val="000000"/>
          <w:sz w:val="32"/>
          <w:szCs w:val="32"/>
        </w:rPr>
        <w:t>表决结果的确定</w:t>
      </w:r>
    </w:p>
    <w:p w14:paraId="0131D6E5">
      <w:pPr>
        <w:spacing w:line="560" w:lineRule="exact"/>
        <w:ind w:firstLine="64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000000"/>
          <w:sz w:val="32"/>
          <w:szCs w:val="32"/>
        </w:rPr>
        <w:t>出席会议的有表决权的债权人过半数同意提交债权人会议表决的具体方案，并且其所代表的债权额占无财产担保债权总额的二分之一以上的，即为本次债权人会议表决通过提交债权人会议表决的具体方案。《企业破产法》或司法解释另有规定的除外。</w:t>
      </w:r>
    </w:p>
    <w:p w14:paraId="2F3436A1">
      <w:pPr>
        <w:numPr>
          <w:ilvl w:val="0"/>
          <w:numId w:val="2"/>
        </w:numPr>
        <w:spacing w:line="560" w:lineRule="exact"/>
        <w:ind w:firstLine="643"/>
        <w:jc w:val="left"/>
        <w:rPr>
          <w:rFonts w:hint="eastAsia" w:ascii="方正仿宋_GB2312" w:hAnsi="方正仿宋_GB2312" w:eastAsia="方正仿宋_GB2312" w:cs="方正仿宋_GB2312"/>
          <w:b/>
          <w:sz w:val="32"/>
          <w:szCs w:val="32"/>
        </w:rPr>
      </w:pPr>
      <w:r>
        <w:rPr>
          <w:rFonts w:hint="eastAsia" w:ascii="方正仿宋_GB2312" w:hAnsi="方正仿宋_GB2312" w:eastAsia="方正仿宋_GB2312" w:cs="方正仿宋_GB2312"/>
          <w:b/>
          <w:color w:val="000000"/>
          <w:sz w:val="32"/>
          <w:szCs w:val="32"/>
        </w:rPr>
        <w:t>表决结果的公布</w:t>
      </w:r>
    </w:p>
    <w:p w14:paraId="1BC69BE9">
      <w:pPr>
        <w:spacing w:line="560" w:lineRule="exact"/>
        <w:ind w:firstLine="640"/>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管理人在表决期限截止后，对表决结果进行统计确定。管理人将表决结果通过任一通讯方式向债权人会议公布，视为债权人会议正式作出决议。</w:t>
      </w:r>
    </w:p>
    <w:p w14:paraId="0A4E0807">
      <w:pPr>
        <w:spacing w:line="560" w:lineRule="exact"/>
        <w:ind w:firstLine="640"/>
        <w:rPr>
          <w:rFonts w:hint="eastAsia" w:ascii="方正仿宋_GB2312" w:hAnsi="方正仿宋_GB2312" w:eastAsia="方正仿宋_GB2312" w:cs="方正仿宋_GB2312"/>
          <w:b/>
          <w:bCs/>
          <w:color w:val="000000"/>
          <w:sz w:val="32"/>
          <w:szCs w:val="32"/>
          <w:u w:val="single"/>
        </w:rPr>
      </w:pPr>
      <w:r>
        <w:rPr>
          <w:rFonts w:hint="eastAsia" w:ascii="方正仿宋_GB2312" w:hAnsi="方正仿宋_GB2312" w:eastAsia="方正仿宋_GB2312" w:cs="方正仿宋_GB2312"/>
          <w:b/>
          <w:bCs/>
          <w:color w:val="000000"/>
          <w:sz w:val="32"/>
          <w:szCs w:val="32"/>
          <w:u w:val="single"/>
        </w:rPr>
        <w:t>本人对以上债权人会议表决规则已阅读并知晓，同时签字确认无异议。</w:t>
      </w:r>
    </w:p>
    <w:p w14:paraId="173A25F2">
      <w:pPr>
        <w:ind w:right="1280"/>
        <w:jc w:val="center"/>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 xml:space="preserve">                      </w:t>
      </w:r>
    </w:p>
    <w:p w14:paraId="25CCCD5E">
      <w:pPr>
        <w:ind w:right="1280"/>
        <w:jc w:val="center"/>
        <w:rPr>
          <w:rFonts w:hint="eastAsia" w:ascii="方正仿宋_GB2312" w:hAnsi="方正仿宋_GB2312" w:eastAsia="方正仿宋_GB2312" w:cs="方正仿宋_GB2312"/>
          <w:color w:val="000000"/>
          <w:sz w:val="32"/>
          <w:szCs w:val="32"/>
        </w:rPr>
      </w:pPr>
    </w:p>
    <w:p w14:paraId="6A7BDE24">
      <w:pPr>
        <w:ind w:right="1280"/>
        <w:jc w:val="center"/>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 xml:space="preserve">                   确认签字：  </w:t>
      </w:r>
    </w:p>
    <w:p w14:paraId="6D3C62A4">
      <w:pPr>
        <w:spacing w:line="560" w:lineRule="exact"/>
        <w:ind w:right="1050" w:rightChars="500" w:firstLine="640"/>
        <w:jc w:val="righ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000000"/>
          <w:sz w:val="32"/>
          <w:szCs w:val="32"/>
        </w:rPr>
        <w:t xml:space="preserve">年  月  日  </w:t>
      </w:r>
    </w:p>
    <w:p w14:paraId="16A50FF1">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 w:hAnsi="仿宋" w:eastAsia="仿宋"/>
          <w:spacing w:val="0"/>
          <w:sz w:val="32"/>
          <w:szCs w:val="32"/>
          <w:highlight w:val="none"/>
          <w:lang w:val="en-US" w:eastAsia="zh-CN"/>
        </w:rPr>
      </w:pPr>
    </w:p>
    <w:p w14:paraId="3AD47211">
      <w:pPr>
        <w:spacing w:line="800" w:lineRule="exact"/>
        <w:jc w:val="center"/>
        <w:rPr>
          <w:rFonts w:hint="eastAsia" w:ascii="黑体" w:hAnsi="黑体" w:eastAsia="黑体" w:cs="黑体"/>
          <w:b/>
          <w:bCs/>
          <w:spacing w:val="0"/>
          <w:sz w:val="44"/>
          <w:szCs w:val="44"/>
          <w:highlight w:val="none"/>
          <w:lang w:eastAsia="zh-CN"/>
        </w:rPr>
      </w:pPr>
    </w:p>
    <w:p w14:paraId="0846D1F8">
      <w:pPr>
        <w:spacing w:line="800" w:lineRule="exact"/>
        <w:jc w:val="center"/>
        <w:rPr>
          <w:rFonts w:hint="eastAsia" w:ascii="黑体" w:hAnsi="黑体" w:eastAsia="黑体" w:cs="黑体"/>
          <w:b/>
          <w:bCs/>
          <w:spacing w:val="0"/>
          <w:sz w:val="44"/>
          <w:szCs w:val="44"/>
          <w:highlight w:val="none"/>
          <w:lang w:eastAsia="zh-CN"/>
        </w:rPr>
      </w:pPr>
    </w:p>
    <w:p w14:paraId="7744D694">
      <w:pPr>
        <w:spacing w:line="800" w:lineRule="exact"/>
        <w:jc w:val="center"/>
        <w:rPr>
          <w:rFonts w:hint="eastAsia" w:ascii="黑体" w:hAnsi="黑体" w:eastAsia="黑体" w:cs="黑体"/>
          <w:b/>
          <w:bCs/>
          <w:spacing w:val="0"/>
          <w:sz w:val="44"/>
          <w:szCs w:val="44"/>
          <w:highlight w:val="none"/>
          <w:lang w:eastAsia="zh-CN"/>
        </w:rPr>
      </w:pPr>
    </w:p>
    <w:p w14:paraId="7048DDC5">
      <w:pPr>
        <w:spacing w:line="800" w:lineRule="exact"/>
        <w:jc w:val="center"/>
        <w:rPr>
          <w:rFonts w:hint="eastAsia" w:ascii="黑体" w:hAnsi="黑体" w:eastAsia="黑体" w:cs="黑体"/>
          <w:b/>
          <w:bCs/>
          <w:spacing w:val="0"/>
          <w:sz w:val="44"/>
          <w:szCs w:val="44"/>
          <w:highlight w:val="none"/>
          <w:lang w:eastAsia="zh-CN"/>
        </w:rPr>
      </w:pPr>
    </w:p>
    <w:p w14:paraId="0BF391CA">
      <w:pPr>
        <w:spacing w:line="800" w:lineRule="exact"/>
        <w:jc w:val="center"/>
        <w:rPr>
          <w:rFonts w:hint="eastAsia" w:ascii="黑体" w:hAnsi="黑体" w:eastAsia="黑体" w:cs="黑体"/>
          <w:b/>
          <w:bCs/>
          <w:spacing w:val="0"/>
          <w:sz w:val="44"/>
          <w:szCs w:val="44"/>
          <w:highlight w:val="none"/>
          <w:lang w:eastAsia="zh-CN"/>
        </w:rPr>
      </w:pPr>
    </w:p>
    <w:p w14:paraId="0FEB3489">
      <w:pPr>
        <w:spacing w:line="800" w:lineRule="exact"/>
        <w:jc w:val="center"/>
        <w:rPr>
          <w:rFonts w:hint="eastAsia" w:ascii="黑体" w:hAnsi="黑体" w:eastAsia="黑体" w:cs="黑体"/>
          <w:b/>
          <w:bCs/>
          <w:spacing w:val="0"/>
          <w:sz w:val="44"/>
          <w:szCs w:val="44"/>
          <w:highlight w:val="none"/>
          <w:lang w:eastAsia="zh-CN"/>
        </w:rPr>
      </w:pPr>
    </w:p>
    <w:p w14:paraId="78CB7643">
      <w:pPr>
        <w:spacing w:line="800" w:lineRule="exact"/>
        <w:jc w:val="center"/>
        <w:rPr>
          <w:rFonts w:hint="eastAsia" w:ascii="黑体" w:hAnsi="黑体" w:eastAsia="黑体" w:cs="黑体"/>
          <w:b/>
          <w:bCs/>
          <w:spacing w:val="0"/>
          <w:sz w:val="44"/>
          <w:szCs w:val="44"/>
          <w:highlight w:val="none"/>
          <w:lang w:eastAsia="zh-CN"/>
        </w:rPr>
      </w:pPr>
    </w:p>
    <w:p w14:paraId="3846CB37">
      <w:pPr>
        <w:spacing w:line="800" w:lineRule="exact"/>
        <w:jc w:val="center"/>
        <w:rPr>
          <w:rFonts w:hint="eastAsia" w:ascii="黑体" w:hAnsi="黑体" w:eastAsia="黑体" w:cs="黑体"/>
          <w:b/>
          <w:bCs/>
          <w:spacing w:val="0"/>
          <w:sz w:val="44"/>
          <w:szCs w:val="44"/>
          <w:highlight w:val="none"/>
          <w:lang w:eastAsia="zh-CN"/>
        </w:rPr>
      </w:pPr>
    </w:p>
    <w:p w14:paraId="40FE7E14">
      <w:pPr>
        <w:spacing w:line="800" w:lineRule="exact"/>
        <w:jc w:val="center"/>
        <w:rPr>
          <w:rFonts w:hint="eastAsia" w:ascii="黑体" w:hAnsi="黑体" w:eastAsia="黑体" w:cs="黑体"/>
          <w:b/>
          <w:bCs/>
          <w:spacing w:val="0"/>
          <w:sz w:val="44"/>
          <w:szCs w:val="44"/>
          <w:highlight w:val="none"/>
        </w:rPr>
      </w:pPr>
      <w:r>
        <w:rPr>
          <w:rFonts w:hint="eastAsia" w:ascii="黑体" w:hAnsi="黑体" w:eastAsia="黑体" w:cs="黑体"/>
          <w:b/>
          <w:bCs/>
          <w:spacing w:val="0"/>
          <w:sz w:val="44"/>
          <w:szCs w:val="44"/>
          <w:highlight w:val="none"/>
          <w:lang w:eastAsia="zh-CN"/>
        </w:rPr>
        <w:t>柘荣县亿利达机械制造有限公司</w:t>
      </w:r>
      <w:r>
        <w:rPr>
          <w:rFonts w:hint="eastAsia" w:ascii="黑体" w:hAnsi="黑体" w:eastAsia="黑体" w:cs="黑体"/>
          <w:b/>
          <w:bCs/>
          <w:spacing w:val="0"/>
          <w:sz w:val="44"/>
          <w:szCs w:val="44"/>
          <w:highlight w:val="none"/>
        </w:rPr>
        <w:t>管理人</w:t>
      </w:r>
    </w:p>
    <w:p w14:paraId="07E5DF3C">
      <w:pPr>
        <w:spacing w:line="800" w:lineRule="exact"/>
        <w:jc w:val="center"/>
        <w:rPr>
          <w:rFonts w:hint="eastAsia" w:ascii="黑体" w:hAnsi="黑体" w:eastAsia="黑体" w:cs="黑体"/>
          <w:b/>
          <w:bCs/>
          <w:spacing w:val="0"/>
          <w:sz w:val="44"/>
          <w:szCs w:val="44"/>
          <w:highlight w:val="none"/>
        </w:rPr>
      </w:pPr>
      <w:r>
        <w:rPr>
          <w:rFonts w:hint="eastAsia" w:ascii="黑体" w:hAnsi="黑体" w:eastAsia="黑体" w:cs="黑体"/>
          <w:b/>
          <w:bCs/>
          <w:spacing w:val="0"/>
          <w:sz w:val="44"/>
          <w:szCs w:val="44"/>
          <w:highlight w:val="none"/>
        </w:rPr>
        <w:t>送达回证</w:t>
      </w:r>
    </w:p>
    <w:tbl>
      <w:tblPr>
        <w:tblStyle w:val="7"/>
        <w:tblpPr w:leftFromText="180" w:rightFromText="180" w:vertAnchor="text" w:horzAnchor="page" w:tblpX="1799" w:tblpY="702"/>
        <w:tblOverlap w:val="never"/>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8"/>
        <w:gridCol w:w="5878"/>
      </w:tblGrid>
      <w:tr w14:paraId="3C49F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rPr>
        <w:tc>
          <w:tcPr>
            <w:tcW w:w="2418" w:type="dxa"/>
            <w:vAlign w:val="center"/>
          </w:tcPr>
          <w:p w14:paraId="0EEBB6C3">
            <w:pPr>
              <w:spacing w:line="780" w:lineRule="auto"/>
              <w:jc w:val="center"/>
              <w:rPr>
                <w:rFonts w:hint="eastAsia" w:ascii="方正仿宋_GB2312" w:hAnsi="方正仿宋_GB2312" w:eastAsia="方正仿宋_GB2312" w:cs="方正仿宋_GB2312"/>
                <w:spacing w:val="0"/>
                <w:sz w:val="24"/>
                <w:highlight w:val="none"/>
              </w:rPr>
            </w:pPr>
            <w:r>
              <w:rPr>
                <w:rFonts w:hint="eastAsia" w:ascii="方正仿宋_GB2312" w:hAnsi="方正仿宋_GB2312" w:eastAsia="方正仿宋_GB2312" w:cs="方正仿宋_GB2312"/>
                <w:spacing w:val="0"/>
                <w:sz w:val="24"/>
                <w:highlight w:val="none"/>
              </w:rPr>
              <w:t>事由</w:t>
            </w:r>
          </w:p>
        </w:tc>
        <w:tc>
          <w:tcPr>
            <w:tcW w:w="5878" w:type="dxa"/>
            <w:vAlign w:val="center"/>
          </w:tcPr>
          <w:p w14:paraId="64EE4CF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方正仿宋_GB2312" w:hAnsi="方正仿宋_GB2312" w:eastAsia="方正仿宋_GB2312" w:cs="方正仿宋_GB2312"/>
                <w:spacing w:val="0"/>
                <w:sz w:val="24"/>
                <w:highlight w:val="none"/>
                <w:lang w:val="en-US" w:eastAsia="zh-CN"/>
              </w:rPr>
            </w:pPr>
            <w:r>
              <w:rPr>
                <w:rFonts w:hint="eastAsia" w:ascii="方正仿宋_GB2312" w:hAnsi="方正仿宋_GB2312" w:eastAsia="方正仿宋_GB2312" w:cs="方正仿宋_GB2312"/>
                <w:spacing w:val="0"/>
                <w:sz w:val="24"/>
                <w:highlight w:val="none"/>
                <w:lang w:eastAsia="zh-CN"/>
              </w:rPr>
              <w:t>柘荣县亿利达机械制造有限公司</w:t>
            </w:r>
            <w:r>
              <w:rPr>
                <w:rFonts w:hint="eastAsia" w:ascii="方正仿宋_GB2312" w:hAnsi="方正仿宋_GB2312" w:eastAsia="方正仿宋_GB2312" w:cs="方正仿宋_GB2312"/>
                <w:spacing w:val="0"/>
                <w:sz w:val="24"/>
                <w:highlight w:val="none"/>
              </w:rPr>
              <w:t>破产</w:t>
            </w:r>
            <w:r>
              <w:rPr>
                <w:rFonts w:hint="eastAsia" w:ascii="方正仿宋_GB2312" w:hAnsi="方正仿宋_GB2312" w:eastAsia="方正仿宋_GB2312" w:cs="方正仿宋_GB2312"/>
                <w:spacing w:val="0"/>
                <w:sz w:val="24"/>
                <w:highlight w:val="none"/>
                <w:lang w:val="en-US" w:eastAsia="zh-CN"/>
              </w:rPr>
              <w:t>清算案</w:t>
            </w:r>
          </w:p>
        </w:tc>
      </w:tr>
      <w:tr w14:paraId="1D566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trPr>
        <w:tc>
          <w:tcPr>
            <w:tcW w:w="2418" w:type="dxa"/>
            <w:vAlign w:val="center"/>
          </w:tcPr>
          <w:p w14:paraId="378356B0">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方正仿宋_GB2312" w:hAnsi="方正仿宋_GB2312" w:eastAsia="方正仿宋_GB2312" w:cs="方正仿宋_GB2312"/>
                <w:spacing w:val="0"/>
                <w:sz w:val="24"/>
                <w:highlight w:val="none"/>
              </w:rPr>
            </w:pPr>
            <w:r>
              <w:rPr>
                <w:rFonts w:hint="eastAsia" w:ascii="方正仿宋_GB2312" w:hAnsi="方正仿宋_GB2312" w:eastAsia="方正仿宋_GB2312" w:cs="方正仿宋_GB2312"/>
                <w:spacing w:val="0"/>
                <w:sz w:val="24"/>
                <w:highlight w:val="none"/>
              </w:rPr>
              <w:t>送达文书名称</w:t>
            </w:r>
          </w:p>
        </w:tc>
        <w:tc>
          <w:tcPr>
            <w:tcW w:w="5878" w:type="dxa"/>
            <w:vAlign w:val="center"/>
          </w:tcPr>
          <w:p w14:paraId="4700CC9E">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方正仿宋_GB2312" w:hAnsi="方正仿宋_GB2312" w:eastAsia="方正仿宋_GB2312" w:cs="方正仿宋_GB2312"/>
                <w:spacing w:val="0"/>
                <w:sz w:val="24"/>
                <w:highlight w:val="none"/>
                <w:lang w:val="en-US" w:eastAsia="zh-CN"/>
              </w:rPr>
            </w:pPr>
            <w:r>
              <w:rPr>
                <w:rFonts w:hint="eastAsia" w:ascii="方正仿宋_GB2312" w:hAnsi="方正仿宋_GB2312" w:eastAsia="方正仿宋_GB2312" w:cs="方正仿宋_GB2312"/>
                <w:spacing w:val="0"/>
                <w:sz w:val="24"/>
                <w:highlight w:val="none"/>
              </w:rPr>
              <w:t>债权申报及第一次债权人会议通知书及附件、裁定书、决定书</w:t>
            </w:r>
          </w:p>
        </w:tc>
      </w:tr>
      <w:tr w14:paraId="35D93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2" w:hRule="atLeast"/>
        </w:trPr>
        <w:tc>
          <w:tcPr>
            <w:tcW w:w="2418" w:type="dxa"/>
            <w:vAlign w:val="center"/>
          </w:tcPr>
          <w:p w14:paraId="675ED780">
            <w:pPr>
              <w:spacing w:line="780" w:lineRule="auto"/>
              <w:jc w:val="center"/>
              <w:rPr>
                <w:rFonts w:hint="eastAsia" w:ascii="方正仿宋_GB2312" w:hAnsi="方正仿宋_GB2312" w:eastAsia="方正仿宋_GB2312" w:cs="方正仿宋_GB2312"/>
                <w:spacing w:val="0"/>
                <w:sz w:val="24"/>
                <w:highlight w:val="none"/>
              </w:rPr>
            </w:pPr>
            <w:r>
              <w:rPr>
                <w:rFonts w:hint="eastAsia" w:ascii="方正仿宋_GB2312" w:hAnsi="方正仿宋_GB2312" w:eastAsia="方正仿宋_GB2312" w:cs="方正仿宋_GB2312"/>
                <w:spacing w:val="0"/>
                <w:sz w:val="24"/>
                <w:highlight w:val="none"/>
              </w:rPr>
              <w:t>受送达人签字或盖章</w:t>
            </w:r>
          </w:p>
        </w:tc>
        <w:tc>
          <w:tcPr>
            <w:tcW w:w="5878" w:type="dxa"/>
            <w:vAlign w:val="center"/>
          </w:tcPr>
          <w:p w14:paraId="161F0FC9">
            <w:pPr>
              <w:spacing w:line="780" w:lineRule="auto"/>
              <w:jc w:val="center"/>
              <w:rPr>
                <w:rFonts w:hint="eastAsia" w:ascii="方正仿宋_GB2312" w:hAnsi="方正仿宋_GB2312" w:eastAsia="方正仿宋_GB2312" w:cs="方正仿宋_GB2312"/>
                <w:spacing w:val="0"/>
                <w:sz w:val="24"/>
                <w:highlight w:val="none"/>
              </w:rPr>
            </w:pPr>
          </w:p>
        </w:tc>
      </w:tr>
      <w:tr w14:paraId="1DD94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2418" w:type="dxa"/>
            <w:vAlign w:val="center"/>
          </w:tcPr>
          <w:p w14:paraId="65AD7588">
            <w:pPr>
              <w:spacing w:line="780" w:lineRule="auto"/>
              <w:jc w:val="center"/>
              <w:rPr>
                <w:rFonts w:hint="eastAsia" w:ascii="方正仿宋_GB2312" w:hAnsi="方正仿宋_GB2312" w:eastAsia="方正仿宋_GB2312" w:cs="方正仿宋_GB2312"/>
                <w:spacing w:val="0"/>
                <w:sz w:val="24"/>
                <w:highlight w:val="none"/>
              </w:rPr>
            </w:pPr>
            <w:r>
              <w:rPr>
                <w:rFonts w:hint="eastAsia" w:ascii="方正仿宋_GB2312" w:hAnsi="方正仿宋_GB2312" w:eastAsia="方正仿宋_GB2312" w:cs="方正仿宋_GB2312"/>
                <w:spacing w:val="0"/>
                <w:sz w:val="24"/>
                <w:highlight w:val="none"/>
              </w:rPr>
              <w:t>送达时间</w:t>
            </w:r>
          </w:p>
        </w:tc>
        <w:tc>
          <w:tcPr>
            <w:tcW w:w="5878" w:type="dxa"/>
            <w:vAlign w:val="center"/>
          </w:tcPr>
          <w:p w14:paraId="6DBBA05E">
            <w:pPr>
              <w:spacing w:line="780" w:lineRule="auto"/>
              <w:jc w:val="center"/>
              <w:rPr>
                <w:rFonts w:hint="eastAsia" w:ascii="方正仿宋_GB2312" w:hAnsi="方正仿宋_GB2312" w:eastAsia="方正仿宋_GB2312" w:cs="方正仿宋_GB2312"/>
                <w:spacing w:val="0"/>
                <w:sz w:val="24"/>
                <w:highlight w:val="none"/>
              </w:rPr>
            </w:pPr>
            <w:r>
              <w:rPr>
                <w:rFonts w:hint="eastAsia" w:ascii="方正仿宋_GB2312" w:hAnsi="方正仿宋_GB2312" w:eastAsia="方正仿宋_GB2312" w:cs="方正仿宋_GB2312"/>
                <w:spacing w:val="0"/>
                <w:sz w:val="24"/>
                <w:highlight w:val="none"/>
              </w:rPr>
              <w:t>年　　　月　　　日</w:t>
            </w:r>
          </w:p>
        </w:tc>
      </w:tr>
      <w:tr w14:paraId="44A76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trPr>
        <w:tc>
          <w:tcPr>
            <w:tcW w:w="2418" w:type="dxa"/>
            <w:vAlign w:val="center"/>
          </w:tcPr>
          <w:p w14:paraId="06A599C0">
            <w:pPr>
              <w:spacing w:line="780" w:lineRule="auto"/>
              <w:jc w:val="center"/>
              <w:rPr>
                <w:rFonts w:hint="eastAsia" w:ascii="方正仿宋_GB2312" w:hAnsi="方正仿宋_GB2312" w:eastAsia="方正仿宋_GB2312" w:cs="方正仿宋_GB2312"/>
                <w:spacing w:val="0"/>
                <w:sz w:val="24"/>
                <w:highlight w:val="none"/>
              </w:rPr>
            </w:pPr>
            <w:r>
              <w:rPr>
                <w:rFonts w:hint="eastAsia" w:ascii="方正仿宋_GB2312" w:hAnsi="方正仿宋_GB2312" w:eastAsia="方正仿宋_GB2312" w:cs="方正仿宋_GB2312"/>
                <w:spacing w:val="0"/>
                <w:sz w:val="24"/>
                <w:highlight w:val="none"/>
              </w:rPr>
              <w:t>送达地点</w:t>
            </w:r>
          </w:p>
        </w:tc>
        <w:tc>
          <w:tcPr>
            <w:tcW w:w="5878" w:type="dxa"/>
            <w:vAlign w:val="center"/>
          </w:tcPr>
          <w:p w14:paraId="56D68507">
            <w:pPr>
              <w:spacing w:line="780" w:lineRule="auto"/>
              <w:jc w:val="center"/>
              <w:rPr>
                <w:rFonts w:hint="eastAsia" w:ascii="方正仿宋_GB2312" w:hAnsi="方正仿宋_GB2312" w:eastAsia="方正仿宋_GB2312" w:cs="方正仿宋_GB2312"/>
                <w:spacing w:val="0"/>
                <w:sz w:val="24"/>
                <w:highlight w:val="none"/>
              </w:rPr>
            </w:pPr>
          </w:p>
        </w:tc>
      </w:tr>
      <w:tr w14:paraId="5E5CF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8" w:type="dxa"/>
            <w:vAlign w:val="center"/>
          </w:tcPr>
          <w:p w14:paraId="5828F368">
            <w:pPr>
              <w:spacing w:line="780" w:lineRule="auto"/>
              <w:jc w:val="center"/>
              <w:rPr>
                <w:rFonts w:hint="eastAsia" w:ascii="方正仿宋_GB2312" w:hAnsi="方正仿宋_GB2312" w:eastAsia="方正仿宋_GB2312" w:cs="方正仿宋_GB2312"/>
                <w:spacing w:val="0"/>
                <w:sz w:val="24"/>
                <w:highlight w:val="none"/>
              </w:rPr>
            </w:pPr>
            <w:r>
              <w:rPr>
                <w:rFonts w:hint="eastAsia" w:ascii="方正仿宋_GB2312" w:hAnsi="方正仿宋_GB2312" w:eastAsia="方正仿宋_GB2312" w:cs="方正仿宋_GB2312"/>
                <w:spacing w:val="0"/>
                <w:sz w:val="24"/>
                <w:highlight w:val="none"/>
              </w:rPr>
              <w:t>送达人</w:t>
            </w:r>
          </w:p>
        </w:tc>
        <w:tc>
          <w:tcPr>
            <w:tcW w:w="5878" w:type="dxa"/>
            <w:vAlign w:val="center"/>
          </w:tcPr>
          <w:p w14:paraId="39DEAE1C">
            <w:pPr>
              <w:spacing w:line="780" w:lineRule="auto"/>
              <w:jc w:val="center"/>
              <w:rPr>
                <w:rFonts w:hint="eastAsia" w:ascii="方正仿宋_GB2312" w:hAnsi="方正仿宋_GB2312" w:eastAsia="方正仿宋_GB2312" w:cs="方正仿宋_GB2312"/>
                <w:spacing w:val="0"/>
                <w:sz w:val="24"/>
                <w:highlight w:val="none"/>
              </w:rPr>
            </w:pPr>
            <w:r>
              <w:rPr>
                <w:rFonts w:hint="eastAsia" w:ascii="方正仿宋_GB2312" w:hAnsi="方正仿宋_GB2312" w:eastAsia="方正仿宋_GB2312" w:cs="方正仿宋_GB2312"/>
                <w:spacing w:val="0"/>
                <w:sz w:val="24"/>
                <w:highlight w:val="none"/>
                <w:lang w:eastAsia="zh-CN"/>
              </w:rPr>
              <w:t>柘荣县亿利达机械制造有限公司</w:t>
            </w:r>
            <w:r>
              <w:rPr>
                <w:rFonts w:hint="eastAsia" w:ascii="方正仿宋_GB2312" w:hAnsi="方正仿宋_GB2312" w:eastAsia="方正仿宋_GB2312" w:cs="方正仿宋_GB2312"/>
                <w:spacing w:val="0"/>
                <w:sz w:val="24"/>
                <w:highlight w:val="none"/>
              </w:rPr>
              <w:t>管理人</w:t>
            </w:r>
          </w:p>
        </w:tc>
      </w:tr>
      <w:tr w14:paraId="501CC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9" w:hRule="atLeast"/>
        </w:trPr>
        <w:tc>
          <w:tcPr>
            <w:tcW w:w="2418" w:type="dxa"/>
            <w:vAlign w:val="center"/>
          </w:tcPr>
          <w:p w14:paraId="1A55CEE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pacing w:val="0"/>
                <w:sz w:val="24"/>
                <w:highlight w:val="none"/>
              </w:rPr>
            </w:pPr>
            <w:r>
              <w:rPr>
                <w:rFonts w:hint="eastAsia" w:ascii="方正仿宋_GB2312" w:hAnsi="方正仿宋_GB2312" w:eastAsia="方正仿宋_GB2312" w:cs="方正仿宋_GB2312"/>
                <w:spacing w:val="0"/>
                <w:sz w:val="24"/>
                <w:highlight w:val="none"/>
              </w:rPr>
              <w:t>备注</w:t>
            </w:r>
          </w:p>
        </w:tc>
        <w:tc>
          <w:tcPr>
            <w:tcW w:w="5878" w:type="dxa"/>
            <w:vAlign w:val="center"/>
          </w:tcPr>
          <w:p w14:paraId="2FD102C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b/>
                <w:bCs/>
                <w:spacing w:val="0"/>
                <w:sz w:val="24"/>
                <w:highlight w:val="none"/>
                <w:lang w:val="en-US" w:eastAsia="zh-CN"/>
              </w:rPr>
            </w:pPr>
            <w:r>
              <w:rPr>
                <w:rFonts w:hint="eastAsia" w:ascii="方正仿宋_GB2312" w:hAnsi="方正仿宋_GB2312" w:eastAsia="方正仿宋_GB2312" w:cs="方正仿宋_GB2312"/>
                <w:b/>
                <w:bCs/>
                <w:spacing w:val="0"/>
                <w:sz w:val="24"/>
                <w:highlight w:val="none"/>
                <w:lang w:val="en-US" w:eastAsia="zh-CN"/>
              </w:rPr>
              <w:t>此联与债权申报材料一并寄回管理人</w:t>
            </w:r>
          </w:p>
          <w:p w14:paraId="1756778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spacing w:val="0"/>
                <w:sz w:val="24"/>
                <w:highlight w:val="none"/>
              </w:rPr>
            </w:pPr>
            <w:r>
              <w:rPr>
                <w:rFonts w:hint="eastAsia" w:ascii="方正仿宋_GB2312" w:hAnsi="方正仿宋_GB2312" w:eastAsia="方正仿宋_GB2312" w:cs="方正仿宋_GB2312"/>
                <w:spacing w:val="0"/>
                <w:sz w:val="24"/>
                <w:highlight w:val="none"/>
              </w:rPr>
              <w:t>管理人联系方式：</w:t>
            </w:r>
          </w:p>
          <w:p w14:paraId="73CD6A0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spacing w:val="0"/>
                <w:sz w:val="24"/>
                <w:highlight w:val="none"/>
              </w:rPr>
            </w:pPr>
            <w:r>
              <w:rPr>
                <w:rFonts w:hint="eastAsia" w:ascii="方正仿宋_GB2312" w:hAnsi="方正仿宋_GB2312" w:eastAsia="方正仿宋_GB2312" w:cs="方正仿宋_GB2312"/>
                <w:spacing w:val="0"/>
                <w:sz w:val="24"/>
                <w:highlight w:val="none"/>
                <w:lang w:val="en-US" w:eastAsia="zh-CN"/>
              </w:rPr>
              <w:t>地址：</w:t>
            </w:r>
            <w:r>
              <w:rPr>
                <w:rFonts w:hint="eastAsia" w:ascii="方正仿宋_GB2312" w:hAnsi="方正仿宋_GB2312" w:eastAsia="方正仿宋_GB2312" w:cs="方正仿宋_GB2312"/>
                <w:spacing w:val="0"/>
                <w:sz w:val="24"/>
                <w:highlight w:val="none"/>
              </w:rPr>
              <w:t>福建省宁德市蕉城区蕉城南路103号坤元大厦14层福建之秀律师事务所</w:t>
            </w:r>
          </w:p>
          <w:p w14:paraId="5A16F28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spacing w:val="0"/>
                <w:sz w:val="24"/>
                <w:highlight w:val="none"/>
              </w:rPr>
            </w:pPr>
            <w:r>
              <w:rPr>
                <w:rFonts w:hint="eastAsia" w:ascii="方正仿宋_GB2312" w:hAnsi="方正仿宋_GB2312" w:eastAsia="方正仿宋_GB2312" w:cs="方正仿宋_GB2312"/>
                <w:spacing w:val="0"/>
                <w:sz w:val="24"/>
                <w:highlight w:val="none"/>
              </w:rPr>
              <w:t>邮政编码：352100</w:t>
            </w:r>
          </w:p>
          <w:p w14:paraId="12C18FFC">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spacing w:val="0"/>
                <w:sz w:val="24"/>
                <w:highlight w:val="none"/>
              </w:rPr>
            </w:pPr>
            <w:r>
              <w:rPr>
                <w:rFonts w:hint="eastAsia" w:ascii="方正仿宋_GB2312" w:hAnsi="方正仿宋_GB2312" w:eastAsia="方正仿宋_GB2312" w:cs="方正仿宋_GB2312"/>
                <w:spacing w:val="0"/>
                <w:sz w:val="24"/>
                <w:highlight w:val="none"/>
              </w:rPr>
              <w:t>联系人：冯</w:t>
            </w:r>
            <w:r>
              <w:rPr>
                <w:rFonts w:hint="eastAsia" w:ascii="方正仿宋_GB2312" w:hAnsi="方正仿宋_GB2312" w:eastAsia="方正仿宋_GB2312" w:cs="方正仿宋_GB2312"/>
                <w:spacing w:val="0"/>
                <w:sz w:val="24"/>
                <w:highlight w:val="none"/>
                <w:lang w:val="en-US" w:eastAsia="zh-CN"/>
              </w:rPr>
              <w:t>律师</w:t>
            </w:r>
            <w:r>
              <w:rPr>
                <w:rFonts w:hint="eastAsia" w:ascii="方正仿宋_GB2312" w:hAnsi="方正仿宋_GB2312" w:eastAsia="方正仿宋_GB2312" w:cs="方正仿宋_GB2312"/>
                <w:spacing w:val="0"/>
                <w:sz w:val="24"/>
                <w:highlight w:val="none"/>
              </w:rPr>
              <w:t>18805931168</w:t>
            </w:r>
          </w:p>
          <w:p w14:paraId="50767A1E">
            <w:pPr>
              <w:keepNext w:val="0"/>
              <w:keepLines w:val="0"/>
              <w:pageBreakBefore w:val="0"/>
              <w:widowControl w:val="0"/>
              <w:kinsoku/>
              <w:wordWrap/>
              <w:overflowPunct/>
              <w:topLinePunct w:val="0"/>
              <w:autoSpaceDE/>
              <w:autoSpaceDN/>
              <w:bidi w:val="0"/>
              <w:adjustRightInd/>
              <w:snapToGrid/>
              <w:spacing w:line="360" w:lineRule="exact"/>
              <w:ind w:firstLine="960" w:firstLineChars="400"/>
              <w:textAlignment w:val="auto"/>
              <w:rPr>
                <w:rFonts w:hint="eastAsia" w:ascii="方正仿宋_GB2312" w:hAnsi="方正仿宋_GB2312" w:eastAsia="方正仿宋_GB2312" w:cs="方正仿宋_GB2312"/>
                <w:spacing w:val="0"/>
                <w:sz w:val="24"/>
                <w:highlight w:val="none"/>
              </w:rPr>
            </w:pPr>
            <w:r>
              <w:rPr>
                <w:rFonts w:hint="eastAsia" w:ascii="方正仿宋_GB2312" w:hAnsi="方正仿宋_GB2312" w:eastAsia="方正仿宋_GB2312" w:cs="方正仿宋_GB2312"/>
                <w:spacing w:val="0"/>
                <w:sz w:val="24"/>
                <w:highlight w:val="none"/>
              </w:rPr>
              <w:t>伍</w:t>
            </w:r>
            <w:r>
              <w:rPr>
                <w:rFonts w:hint="eastAsia" w:ascii="方正仿宋_GB2312" w:hAnsi="方正仿宋_GB2312" w:eastAsia="方正仿宋_GB2312" w:cs="方正仿宋_GB2312"/>
                <w:spacing w:val="0"/>
                <w:sz w:val="24"/>
                <w:highlight w:val="none"/>
                <w:lang w:val="en-US" w:eastAsia="zh-CN"/>
              </w:rPr>
              <w:t>律师</w:t>
            </w:r>
            <w:r>
              <w:rPr>
                <w:rFonts w:hint="eastAsia" w:ascii="方正仿宋_GB2312" w:hAnsi="方正仿宋_GB2312" w:eastAsia="方正仿宋_GB2312" w:cs="方正仿宋_GB2312"/>
                <w:spacing w:val="0"/>
                <w:sz w:val="24"/>
                <w:highlight w:val="none"/>
              </w:rPr>
              <w:t>13774771069</w:t>
            </w:r>
          </w:p>
        </w:tc>
      </w:tr>
    </w:tbl>
    <w:p w14:paraId="661180AB">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spacing w:val="0"/>
          <w:sz w:val="32"/>
          <w:szCs w:val="32"/>
          <w:highlight w:val="none"/>
          <w:lang w:val="en-US" w:eastAsia="zh-CN"/>
        </w:rPr>
      </w:pPr>
    </w:p>
    <w:p w14:paraId="47B8729B">
      <w:pPr>
        <w:rPr>
          <w:spacing w:val="0"/>
          <w:highlight w:val="none"/>
        </w:rPr>
        <w:sectPr>
          <w:pgSz w:w="11906" w:h="16838"/>
          <w:pgMar w:top="1440" w:right="1800" w:bottom="1440" w:left="1800" w:header="851" w:footer="992" w:gutter="0"/>
          <w:cols w:space="720" w:num="1"/>
          <w:docGrid w:type="lines" w:linePitch="312" w:charSpace="0"/>
        </w:sectPr>
      </w:pPr>
    </w:p>
    <w:p w14:paraId="6BE5421A">
      <w:pPr>
        <w:jc w:val="center"/>
        <w:rPr>
          <w:rFonts w:hint="eastAsia" w:ascii="黑体" w:hAnsi="黑体" w:eastAsia="黑体" w:cs="黑体"/>
          <w:b/>
          <w:bCs/>
          <w:spacing w:val="0"/>
          <w:sz w:val="44"/>
          <w:szCs w:val="44"/>
          <w:highlight w:val="none"/>
          <w:lang w:eastAsia="zh-CN"/>
        </w:rPr>
      </w:pPr>
      <w:r>
        <w:rPr>
          <w:rFonts w:hint="eastAsia" w:ascii="黑体" w:hAnsi="黑体" w:eastAsia="黑体" w:cs="黑体"/>
          <w:b/>
          <w:bCs/>
          <w:spacing w:val="0"/>
          <w:sz w:val="44"/>
          <w:szCs w:val="44"/>
          <w:highlight w:val="none"/>
          <w:lang w:eastAsia="zh-CN"/>
        </w:rPr>
        <w:t>柘荣县亿利达机械制造有限公司</w:t>
      </w:r>
    </w:p>
    <w:p w14:paraId="689EEE76">
      <w:pPr>
        <w:spacing w:after="159" w:afterLines="50" w:afterAutospacing="0"/>
        <w:jc w:val="center"/>
        <w:rPr>
          <w:rFonts w:hint="eastAsia" w:ascii="黑体" w:hAnsi="黑体" w:eastAsia="黑体" w:cs="黑体"/>
          <w:b/>
          <w:bCs/>
          <w:spacing w:val="0"/>
          <w:sz w:val="44"/>
          <w:szCs w:val="44"/>
          <w:highlight w:val="none"/>
          <w:vertAlign w:val="baseline"/>
          <w:lang w:val="en-US" w:eastAsia="zh-CN"/>
        </w:rPr>
      </w:pPr>
      <w:r>
        <w:rPr>
          <w:rFonts w:hint="eastAsia" w:ascii="黑体" w:hAnsi="黑体" w:eastAsia="黑体" w:cs="黑体"/>
          <w:b/>
          <w:bCs/>
          <w:spacing w:val="0"/>
          <w:sz w:val="44"/>
          <w:szCs w:val="44"/>
          <w:highlight w:val="none"/>
          <w:lang w:val="en-US" w:eastAsia="zh-CN"/>
        </w:rPr>
        <w:t>财产线索征集表</w:t>
      </w:r>
    </w:p>
    <w:tbl>
      <w:tblPr>
        <w:tblStyle w:val="7"/>
        <w:tblW w:w="532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3328"/>
        <w:gridCol w:w="3328"/>
        <w:gridCol w:w="1434"/>
      </w:tblGrid>
      <w:tr w14:paraId="59566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988" w:type="dxa"/>
            <w:vAlign w:val="center"/>
          </w:tcPr>
          <w:p w14:paraId="75F02EFF">
            <w:pPr>
              <w:spacing w:beforeAutospacing="0"/>
              <w:jc w:val="center"/>
              <w:rPr>
                <w:rFonts w:hint="eastAsia" w:ascii="方正仿宋_GB2312" w:hAnsi="方正仿宋_GB2312" w:eastAsia="方正仿宋_GB2312" w:cs="方正仿宋_GB2312"/>
                <w:b w:val="0"/>
                <w:bCs w:val="0"/>
                <w:spacing w:val="0"/>
                <w:sz w:val="32"/>
                <w:szCs w:val="32"/>
                <w:highlight w:val="none"/>
                <w:vertAlign w:val="baseline"/>
                <w:lang w:val="en-US" w:eastAsia="zh-CN"/>
              </w:rPr>
            </w:pPr>
            <w:r>
              <w:rPr>
                <w:rFonts w:hint="eastAsia" w:ascii="方正仿宋_GB2312" w:hAnsi="方正仿宋_GB2312" w:eastAsia="方正仿宋_GB2312" w:cs="方正仿宋_GB2312"/>
                <w:b w:val="0"/>
                <w:bCs w:val="0"/>
                <w:spacing w:val="0"/>
                <w:sz w:val="32"/>
                <w:szCs w:val="32"/>
                <w:highlight w:val="none"/>
                <w:vertAlign w:val="baseline"/>
                <w:lang w:val="en-US" w:eastAsia="zh-CN"/>
              </w:rPr>
              <w:t>序号</w:t>
            </w:r>
          </w:p>
        </w:tc>
        <w:tc>
          <w:tcPr>
            <w:tcW w:w="3328" w:type="dxa"/>
            <w:vAlign w:val="center"/>
          </w:tcPr>
          <w:p w14:paraId="0E162C84">
            <w:pPr>
              <w:jc w:val="center"/>
              <w:rPr>
                <w:rFonts w:hint="eastAsia" w:ascii="方正仿宋_GB2312" w:hAnsi="方正仿宋_GB2312" w:eastAsia="方正仿宋_GB2312" w:cs="方正仿宋_GB2312"/>
                <w:b w:val="0"/>
                <w:bCs w:val="0"/>
                <w:spacing w:val="0"/>
                <w:sz w:val="32"/>
                <w:szCs w:val="32"/>
                <w:highlight w:val="none"/>
                <w:vertAlign w:val="baseline"/>
                <w:lang w:val="en-US" w:eastAsia="zh-CN"/>
              </w:rPr>
            </w:pPr>
            <w:r>
              <w:rPr>
                <w:rFonts w:hint="eastAsia" w:ascii="方正仿宋_GB2312" w:hAnsi="方正仿宋_GB2312" w:eastAsia="方正仿宋_GB2312" w:cs="方正仿宋_GB2312"/>
                <w:b w:val="0"/>
                <w:bCs w:val="0"/>
                <w:spacing w:val="0"/>
                <w:sz w:val="32"/>
                <w:szCs w:val="32"/>
                <w:highlight w:val="none"/>
                <w:vertAlign w:val="baseline"/>
                <w:lang w:val="en-US" w:eastAsia="zh-CN"/>
              </w:rPr>
              <w:t>财产名称</w:t>
            </w:r>
          </w:p>
        </w:tc>
        <w:tc>
          <w:tcPr>
            <w:tcW w:w="3328" w:type="dxa"/>
            <w:vAlign w:val="center"/>
          </w:tcPr>
          <w:p w14:paraId="725E9322">
            <w:pPr>
              <w:jc w:val="center"/>
              <w:rPr>
                <w:rFonts w:hint="eastAsia" w:ascii="方正仿宋_GB2312" w:hAnsi="方正仿宋_GB2312" w:eastAsia="方正仿宋_GB2312" w:cs="方正仿宋_GB2312"/>
                <w:b w:val="0"/>
                <w:bCs w:val="0"/>
                <w:spacing w:val="0"/>
                <w:sz w:val="32"/>
                <w:szCs w:val="32"/>
                <w:highlight w:val="none"/>
                <w:vertAlign w:val="baseline"/>
                <w:lang w:val="en-US" w:eastAsia="zh-CN"/>
              </w:rPr>
            </w:pPr>
            <w:r>
              <w:rPr>
                <w:rFonts w:hint="eastAsia" w:ascii="方正仿宋_GB2312" w:hAnsi="方正仿宋_GB2312" w:eastAsia="方正仿宋_GB2312" w:cs="方正仿宋_GB2312"/>
                <w:b w:val="0"/>
                <w:bCs w:val="0"/>
                <w:spacing w:val="0"/>
                <w:sz w:val="32"/>
                <w:szCs w:val="32"/>
                <w:highlight w:val="none"/>
                <w:vertAlign w:val="baseline"/>
                <w:lang w:val="en-US" w:eastAsia="zh-CN"/>
              </w:rPr>
              <w:t>财产所在地</w:t>
            </w:r>
          </w:p>
        </w:tc>
        <w:tc>
          <w:tcPr>
            <w:tcW w:w="1434" w:type="dxa"/>
            <w:vAlign w:val="center"/>
          </w:tcPr>
          <w:p w14:paraId="5F8EF690">
            <w:pPr>
              <w:jc w:val="center"/>
              <w:rPr>
                <w:rFonts w:hint="eastAsia" w:ascii="方正仿宋_GB2312" w:hAnsi="方正仿宋_GB2312" w:eastAsia="方正仿宋_GB2312" w:cs="方正仿宋_GB2312"/>
                <w:b w:val="0"/>
                <w:bCs w:val="0"/>
                <w:spacing w:val="0"/>
                <w:sz w:val="32"/>
                <w:szCs w:val="32"/>
                <w:highlight w:val="none"/>
                <w:vertAlign w:val="baseline"/>
                <w:lang w:val="en-US" w:eastAsia="zh-CN"/>
              </w:rPr>
            </w:pPr>
            <w:r>
              <w:rPr>
                <w:rFonts w:hint="eastAsia" w:ascii="方正仿宋_GB2312" w:hAnsi="方正仿宋_GB2312" w:eastAsia="方正仿宋_GB2312" w:cs="方正仿宋_GB2312"/>
                <w:b w:val="0"/>
                <w:bCs w:val="0"/>
                <w:spacing w:val="0"/>
                <w:sz w:val="32"/>
                <w:szCs w:val="32"/>
                <w:highlight w:val="none"/>
                <w:vertAlign w:val="baseline"/>
                <w:lang w:val="en-US" w:eastAsia="zh-CN"/>
              </w:rPr>
              <w:t>备注</w:t>
            </w:r>
          </w:p>
        </w:tc>
      </w:tr>
      <w:tr w14:paraId="2D78E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988" w:type="dxa"/>
            <w:vAlign w:val="center"/>
          </w:tcPr>
          <w:p w14:paraId="2C0E5A48">
            <w:pPr>
              <w:jc w:val="center"/>
              <w:rPr>
                <w:rFonts w:hint="eastAsia" w:ascii="方正仿宋_GB2312" w:hAnsi="方正仿宋_GB2312" w:eastAsia="方正仿宋_GB2312" w:cs="方正仿宋_GB2312"/>
                <w:b w:val="0"/>
                <w:bCs w:val="0"/>
                <w:spacing w:val="0"/>
                <w:sz w:val="32"/>
                <w:szCs w:val="32"/>
                <w:highlight w:val="none"/>
                <w:vertAlign w:val="baseline"/>
                <w:lang w:val="en-US" w:eastAsia="zh-CN"/>
              </w:rPr>
            </w:pPr>
            <w:r>
              <w:rPr>
                <w:rFonts w:hint="eastAsia" w:ascii="方正仿宋_GB2312" w:hAnsi="方正仿宋_GB2312" w:eastAsia="方正仿宋_GB2312" w:cs="方正仿宋_GB2312"/>
                <w:b w:val="0"/>
                <w:bCs w:val="0"/>
                <w:spacing w:val="0"/>
                <w:sz w:val="32"/>
                <w:szCs w:val="32"/>
                <w:highlight w:val="none"/>
                <w:vertAlign w:val="baseline"/>
                <w:lang w:val="en-US" w:eastAsia="zh-CN"/>
              </w:rPr>
              <w:t>1</w:t>
            </w:r>
          </w:p>
        </w:tc>
        <w:tc>
          <w:tcPr>
            <w:tcW w:w="3328" w:type="dxa"/>
            <w:vAlign w:val="center"/>
          </w:tcPr>
          <w:p w14:paraId="40B83AAD">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c>
          <w:tcPr>
            <w:tcW w:w="3328" w:type="dxa"/>
            <w:vAlign w:val="center"/>
          </w:tcPr>
          <w:p w14:paraId="7248B7DD">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c>
          <w:tcPr>
            <w:tcW w:w="1434" w:type="dxa"/>
            <w:vAlign w:val="center"/>
          </w:tcPr>
          <w:p w14:paraId="798B54DD">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r>
      <w:tr w14:paraId="1D276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988" w:type="dxa"/>
            <w:vAlign w:val="center"/>
          </w:tcPr>
          <w:p w14:paraId="5357C221">
            <w:pPr>
              <w:jc w:val="center"/>
              <w:rPr>
                <w:rFonts w:hint="eastAsia" w:ascii="方正仿宋_GB2312" w:hAnsi="方正仿宋_GB2312" w:eastAsia="方正仿宋_GB2312" w:cs="方正仿宋_GB2312"/>
                <w:b w:val="0"/>
                <w:bCs w:val="0"/>
                <w:spacing w:val="0"/>
                <w:sz w:val="32"/>
                <w:szCs w:val="32"/>
                <w:highlight w:val="none"/>
                <w:vertAlign w:val="baseline"/>
                <w:lang w:val="en-US" w:eastAsia="zh-CN"/>
              </w:rPr>
            </w:pPr>
            <w:r>
              <w:rPr>
                <w:rFonts w:hint="eastAsia" w:ascii="方正仿宋_GB2312" w:hAnsi="方正仿宋_GB2312" w:eastAsia="方正仿宋_GB2312" w:cs="方正仿宋_GB2312"/>
                <w:b w:val="0"/>
                <w:bCs w:val="0"/>
                <w:spacing w:val="0"/>
                <w:sz w:val="32"/>
                <w:szCs w:val="32"/>
                <w:highlight w:val="none"/>
                <w:vertAlign w:val="baseline"/>
                <w:lang w:val="en-US" w:eastAsia="zh-CN"/>
              </w:rPr>
              <w:t>2</w:t>
            </w:r>
          </w:p>
        </w:tc>
        <w:tc>
          <w:tcPr>
            <w:tcW w:w="3328" w:type="dxa"/>
            <w:vAlign w:val="center"/>
          </w:tcPr>
          <w:p w14:paraId="74B1BAEB">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c>
          <w:tcPr>
            <w:tcW w:w="3328" w:type="dxa"/>
            <w:vAlign w:val="center"/>
          </w:tcPr>
          <w:p w14:paraId="189D154E">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c>
          <w:tcPr>
            <w:tcW w:w="1434" w:type="dxa"/>
            <w:vAlign w:val="center"/>
          </w:tcPr>
          <w:p w14:paraId="55019B1C">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r>
      <w:tr w14:paraId="7C4A4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988" w:type="dxa"/>
            <w:vAlign w:val="center"/>
          </w:tcPr>
          <w:p w14:paraId="1757DC07">
            <w:pPr>
              <w:jc w:val="center"/>
              <w:rPr>
                <w:rFonts w:hint="eastAsia" w:ascii="方正仿宋_GB2312" w:hAnsi="方正仿宋_GB2312" w:eastAsia="方正仿宋_GB2312" w:cs="方正仿宋_GB2312"/>
                <w:b w:val="0"/>
                <w:bCs w:val="0"/>
                <w:spacing w:val="0"/>
                <w:sz w:val="32"/>
                <w:szCs w:val="32"/>
                <w:highlight w:val="none"/>
                <w:vertAlign w:val="baseline"/>
                <w:lang w:val="en-US" w:eastAsia="zh-CN"/>
              </w:rPr>
            </w:pPr>
            <w:r>
              <w:rPr>
                <w:rFonts w:hint="eastAsia" w:ascii="方正仿宋_GB2312" w:hAnsi="方正仿宋_GB2312" w:eastAsia="方正仿宋_GB2312" w:cs="方正仿宋_GB2312"/>
                <w:b w:val="0"/>
                <w:bCs w:val="0"/>
                <w:spacing w:val="0"/>
                <w:sz w:val="32"/>
                <w:szCs w:val="32"/>
                <w:highlight w:val="none"/>
                <w:vertAlign w:val="baseline"/>
                <w:lang w:val="en-US" w:eastAsia="zh-CN"/>
              </w:rPr>
              <w:t>3</w:t>
            </w:r>
          </w:p>
        </w:tc>
        <w:tc>
          <w:tcPr>
            <w:tcW w:w="3328" w:type="dxa"/>
            <w:vAlign w:val="center"/>
          </w:tcPr>
          <w:p w14:paraId="2A15208C">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c>
          <w:tcPr>
            <w:tcW w:w="3328" w:type="dxa"/>
            <w:vAlign w:val="center"/>
          </w:tcPr>
          <w:p w14:paraId="637D33C5">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c>
          <w:tcPr>
            <w:tcW w:w="1434" w:type="dxa"/>
            <w:vAlign w:val="center"/>
          </w:tcPr>
          <w:p w14:paraId="33DAE200">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r>
      <w:tr w14:paraId="2D2D2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988" w:type="dxa"/>
            <w:vAlign w:val="center"/>
          </w:tcPr>
          <w:p w14:paraId="33DF7D41">
            <w:pPr>
              <w:jc w:val="center"/>
              <w:rPr>
                <w:rFonts w:hint="eastAsia" w:ascii="方正仿宋_GB2312" w:hAnsi="方正仿宋_GB2312" w:eastAsia="方正仿宋_GB2312" w:cs="方正仿宋_GB2312"/>
                <w:b w:val="0"/>
                <w:bCs w:val="0"/>
                <w:spacing w:val="0"/>
                <w:sz w:val="32"/>
                <w:szCs w:val="32"/>
                <w:highlight w:val="none"/>
                <w:vertAlign w:val="baseline"/>
                <w:lang w:val="en-US" w:eastAsia="zh-CN"/>
              </w:rPr>
            </w:pPr>
            <w:r>
              <w:rPr>
                <w:rFonts w:hint="eastAsia" w:ascii="方正仿宋_GB2312" w:hAnsi="方正仿宋_GB2312" w:eastAsia="方正仿宋_GB2312" w:cs="方正仿宋_GB2312"/>
                <w:b w:val="0"/>
                <w:bCs w:val="0"/>
                <w:spacing w:val="0"/>
                <w:sz w:val="32"/>
                <w:szCs w:val="32"/>
                <w:highlight w:val="none"/>
                <w:vertAlign w:val="baseline"/>
                <w:lang w:val="en-US" w:eastAsia="zh-CN"/>
              </w:rPr>
              <w:t>4</w:t>
            </w:r>
          </w:p>
        </w:tc>
        <w:tc>
          <w:tcPr>
            <w:tcW w:w="3328" w:type="dxa"/>
            <w:vAlign w:val="center"/>
          </w:tcPr>
          <w:p w14:paraId="55388473">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c>
          <w:tcPr>
            <w:tcW w:w="3328" w:type="dxa"/>
            <w:vAlign w:val="center"/>
          </w:tcPr>
          <w:p w14:paraId="3BA6FE75">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c>
          <w:tcPr>
            <w:tcW w:w="1434" w:type="dxa"/>
            <w:vAlign w:val="center"/>
          </w:tcPr>
          <w:p w14:paraId="0237907F">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r>
      <w:tr w14:paraId="0FCF4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988" w:type="dxa"/>
            <w:vAlign w:val="center"/>
          </w:tcPr>
          <w:p w14:paraId="53CBC757">
            <w:pPr>
              <w:jc w:val="center"/>
              <w:rPr>
                <w:rFonts w:hint="eastAsia" w:ascii="方正仿宋_GB2312" w:hAnsi="方正仿宋_GB2312" w:eastAsia="方正仿宋_GB2312" w:cs="方正仿宋_GB2312"/>
                <w:b w:val="0"/>
                <w:bCs w:val="0"/>
                <w:spacing w:val="0"/>
                <w:sz w:val="32"/>
                <w:szCs w:val="32"/>
                <w:highlight w:val="none"/>
                <w:vertAlign w:val="baseline"/>
                <w:lang w:val="en-US" w:eastAsia="zh-CN"/>
              </w:rPr>
            </w:pPr>
            <w:r>
              <w:rPr>
                <w:rFonts w:hint="eastAsia" w:ascii="方正仿宋_GB2312" w:hAnsi="方正仿宋_GB2312" w:eastAsia="方正仿宋_GB2312" w:cs="方正仿宋_GB2312"/>
                <w:b w:val="0"/>
                <w:bCs w:val="0"/>
                <w:spacing w:val="0"/>
                <w:sz w:val="32"/>
                <w:szCs w:val="32"/>
                <w:highlight w:val="none"/>
                <w:vertAlign w:val="baseline"/>
                <w:lang w:val="en-US" w:eastAsia="zh-CN"/>
              </w:rPr>
              <w:t>5</w:t>
            </w:r>
          </w:p>
        </w:tc>
        <w:tc>
          <w:tcPr>
            <w:tcW w:w="3328" w:type="dxa"/>
            <w:vAlign w:val="center"/>
          </w:tcPr>
          <w:p w14:paraId="2907111B">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c>
          <w:tcPr>
            <w:tcW w:w="3328" w:type="dxa"/>
            <w:vAlign w:val="center"/>
          </w:tcPr>
          <w:p w14:paraId="20B13AD0">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c>
          <w:tcPr>
            <w:tcW w:w="1434" w:type="dxa"/>
            <w:vAlign w:val="center"/>
          </w:tcPr>
          <w:p w14:paraId="7FC4AF44">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r>
      <w:tr w14:paraId="04D03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988" w:type="dxa"/>
            <w:vAlign w:val="center"/>
          </w:tcPr>
          <w:p w14:paraId="0584106F">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c>
          <w:tcPr>
            <w:tcW w:w="3328" w:type="dxa"/>
            <w:vAlign w:val="center"/>
          </w:tcPr>
          <w:p w14:paraId="4959D6DF">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c>
          <w:tcPr>
            <w:tcW w:w="3328" w:type="dxa"/>
            <w:vAlign w:val="center"/>
          </w:tcPr>
          <w:p w14:paraId="3010D9AC">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c>
          <w:tcPr>
            <w:tcW w:w="1434" w:type="dxa"/>
            <w:vAlign w:val="center"/>
          </w:tcPr>
          <w:p w14:paraId="75F2C810">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r>
      <w:tr w14:paraId="6E16E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88" w:type="dxa"/>
            <w:vAlign w:val="center"/>
          </w:tcPr>
          <w:p w14:paraId="1BCDAFFF">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c>
          <w:tcPr>
            <w:tcW w:w="3328" w:type="dxa"/>
            <w:vAlign w:val="center"/>
          </w:tcPr>
          <w:p w14:paraId="4240594C">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c>
          <w:tcPr>
            <w:tcW w:w="3328" w:type="dxa"/>
            <w:vAlign w:val="center"/>
          </w:tcPr>
          <w:p w14:paraId="0587AFB0">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c>
          <w:tcPr>
            <w:tcW w:w="1434" w:type="dxa"/>
            <w:vAlign w:val="center"/>
          </w:tcPr>
          <w:p w14:paraId="1D03BA94">
            <w:pPr>
              <w:jc w:val="center"/>
              <w:rPr>
                <w:rFonts w:hint="eastAsia" w:ascii="方正仿宋_GB2312" w:hAnsi="方正仿宋_GB2312" w:eastAsia="方正仿宋_GB2312" w:cs="方正仿宋_GB2312"/>
                <w:b/>
                <w:bCs/>
                <w:spacing w:val="0"/>
                <w:sz w:val="32"/>
                <w:szCs w:val="32"/>
                <w:highlight w:val="none"/>
                <w:vertAlign w:val="baseline"/>
                <w:lang w:val="en-US" w:eastAsia="zh-CN"/>
              </w:rPr>
            </w:pPr>
          </w:p>
        </w:tc>
      </w:tr>
      <w:tr w14:paraId="0DF9E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8" w:hRule="atLeast"/>
          <w:jc w:val="center"/>
        </w:trPr>
        <w:tc>
          <w:tcPr>
            <w:tcW w:w="9078" w:type="dxa"/>
            <w:gridSpan w:val="4"/>
            <w:vAlign w:val="center"/>
          </w:tcPr>
          <w:p w14:paraId="259DFEBD">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方正仿宋_GB2312" w:hAnsi="方正仿宋_GB2312" w:eastAsia="方正仿宋_GB2312" w:cs="方正仿宋_GB2312"/>
                <w:b w:val="0"/>
                <w:bCs w:val="0"/>
                <w:spacing w:val="0"/>
                <w:sz w:val="32"/>
                <w:szCs w:val="32"/>
                <w:highlight w:val="none"/>
                <w:vertAlign w:val="baseline"/>
                <w:lang w:val="en-US" w:eastAsia="zh-CN"/>
              </w:rPr>
            </w:pPr>
            <w:r>
              <w:rPr>
                <w:rFonts w:hint="eastAsia" w:ascii="方正仿宋_GB2312" w:hAnsi="方正仿宋_GB2312" w:eastAsia="方正仿宋_GB2312" w:cs="方正仿宋_GB2312"/>
                <w:b w:val="0"/>
                <w:bCs w:val="0"/>
                <w:spacing w:val="0"/>
                <w:sz w:val="32"/>
                <w:szCs w:val="32"/>
                <w:highlight w:val="none"/>
                <w:vertAlign w:val="baseline"/>
                <w:lang w:val="en-US" w:eastAsia="zh-CN"/>
              </w:rPr>
              <w:t>备注:</w:t>
            </w:r>
          </w:p>
          <w:p w14:paraId="2F19FA8A">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方正仿宋_GB2312" w:hAnsi="方正仿宋_GB2312" w:eastAsia="方正仿宋_GB2312" w:cs="方正仿宋_GB2312"/>
                <w:b w:val="0"/>
                <w:bCs w:val="0"/>
                <w:spacing w:val="0"/>
                <w:sz w:val="32"/>
                <w:szCs w:val="32"/>
                <w:highlight w:val="none"/>
                <w:vertAlign w:val="baseline"/>
                <w:lang w:val="en-US" w:eastAsia="zh-CN"/>
              </w:rPr>
            </w:pPr>
            <w:r>
              <w:rPr>
                <w:rFonts w:hint="eastAsia" w:ascii="方正仿宋_GB2312" w:hAnsi="方正仿宋_GB2312" w:eastAsia="方正仿宋_GB2312" w:cs="方正仿宋_GB2312"/>
                <w:b w:val="0"/>
                <w:bCs w:val="0"/>
                <w:spacing w:val="0"/>
                <w:sz w:val="32"/>
                <w:szCs w:val="32"/>
                <w:highlight w:val="none"/>
                <w:vertAlign w:val="baseline"/>
                <w:lang w:val="en-US" w:eastAsia="zh-CN"/>
              </w:rPr>
              <w:t>1.请线索提供人在提交本表时附带提交与之相关的材料复印件，管理人将及时进行调查了解，依法维护全体债权人的合法权益。</w:t>
            </w:r>
          </w:p>
          <w:p w14:paraId="09975C68">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方正仿宋_GB2312" w:hAnsi="方正仿宋_GB2312" w:eastAsia="方正仿宋_GB2312" w:cs="方正仿宋_GB2312"/>
                <w:b/>
                <w:bCs/>
                <w:spacing w:val="0"/>
                <w:sz w:val="32"/>
                <w:szCs w:val="32"/>
                <w:highlight w:val="none"/>
                <w:vertAlign w:val="baseline"/>
                <w:lang w:val="en-US" w:eastAsia="zh-CN"/>
              </w:rPr>
            </w:pPr>
            <w:r>
              <w:rPr>
                <w:rFonts w:hint="eastAsia" w:ascii="方正仿宋_GB2312" w:hAnsi="方正仿宋_GB2312" w:eastAsia="方正仿宋_GB2312" w:cs="方正仿宋_GB2312"/>
                <w:b w:val="0"/>
                <w:bCs w:val="0"/>
                <w:spacing w:val="0"/>
                <w:sz w:val="32"/>
                <w:szCs w:val="32"/>
                <w:highlight w:val="none"/>
                <w:vertAlign w:val="baseline"/>
                <w:lang w:val="en-US" w:eastAsia="zh-CN"/>
              </w:rPr>
              <w:t>2.此表为非必填表格。</w:t>
            </w:r>
          </w:p>
        </w:tc>
      </w:tr>
    </w:tbl>
    <w:p w14:paraId="79607E08">
      <w:pPr>
        <w:keepNext w:val="0"/>
        <w:keepLines w:val="0"/>
        <w:pageBreakBefore w:val="0"/>
        <w:widowControl w:val="0"/>
        <w:kinsoku/>
        <w:wordWrap/>
        <w:overflowPunct/>
        <w:topLinePunct w:val="0"/>
        <w:autoSpaceDE/>
        <w:autoSpaceDN/>
        <w:bidi w:val="0"/>
        <w:adjustRightInd/>
        <w:snapToGrid/>
        <w:spacing w:before="159" w:beforeLines="50" w:beforeAutospacing="0" w:line="480" w:lineRule="exact"/>
        <w:jc w:val="left"/>
        <w:textAlignment w:val="auto"/>
        <w:rPr>
          <w:rFonts w:hint="eastAsia" w:ascii="方正仿宋_GB2312" w:hAnsi="方正仿宋_GB2312" w:eastAsia="方正仿宋_GB2312" w:cs="方正仿宋_GB2312"/>
          <w:b w:val="0"/>
          <w:bCs w:val="0"/>
          <w:spacing w:val="0"/>
          <w:sz w:val="32"/>
          <w:szCs w:val="32"/>
          <w:highlight w:val="none"/>
          <w:vertAlign w:val="baseline"/>
          <w:lang w:val="en-US" w:eastAsia="zh-CN"/>
        </w:rPr>
      </w:pPr>
    </w:p>
    <w:p w14:paraId="0CA7B4DD">
      <w:pPr>
        <w:keepNext w:val="0"/>
        <w:keepLines w:val="0"/>
        <w:pageBreakBefore w:val="0"/>
        <w:widowControl w:val="0"/>
        <w:kinsoku/>
        <w:wordWrap/>
        <w:overflowPunct/>
        <w:topLinePunct w:val="0"/>
        <w:autoSpaceDE/>
        <w:autoSpaceDN/>
        <w:bidi w:val="0"/>
        <w:adjustRightInd/>
        <w:snapToGrid/>
        <w:spacing w:before="159" w:beforeLines="50" w:beforeAutospacing="0" w:line="480" w:lineRule="exact"/>
        <w:jc w:val="left"/>
        <w:textAlignment w:val="auto"/>
        <w:rPr>
          <w:rFonts w:hint="eastAsia" w:ascii="方正仿宋_GB2312" w:hAnsi="方正仿宋_GB2312" w:eastAsia="方正仿宋_GB2312" w:cs="方正仿宋_GB2312"/>
          <w:b w:val="0"/>
          <w:bCs w:val="0"/>
          <w:spacing w:val="0"/>
          <w:sz w:val="32"/>
          <w:szCs w:val="32"/>
          <w:highlight w:val="none"/>
          <w:vertAlign w:val="baseline"/>
          <w:lang w:val="en-US" w:eastAsia="zh-CN"/>
        </w:rPr>
      </w:pPr>
      <w:r>
        <w:rPr>
          <w:rFonts w:hint="eastAsia" w:ascii="方正仿宋_GB2312" w:hAnsi="方正仿宋_GB2312" w:eastAsia="方正仿宋_GB2312" w:cs="方正仿宋_GB2312"/>
          <w:b w:val="0"/>
          <w:bCs w:val="0"/>
          <w:spacing w:val="0"/>
          <w:sz w:val="32"/>
          <w:szCs w:val="32"/>
          <w:highlight w:val="none"/>
          <w:vertAlign w:val="baseline"/>
          <w:lang w:val="en-US" w:eastAsia="zh-CN"/>
        </w:rPr>
        <w:t>线索提供人：</w:t>
      </w:r>
    </w:p>
    <w:p w14:paraId="5B3422C1">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仿宋" w:hAnsi="仿宋" w:eastAsia="仿宋" w:cs="仿宋"/>
          <w:b w:val="0"/>
          <w:bCs w:val="0"/>
          <w:spacing w:val="0"/>
          <w:sz w:val="32"/>
          <w:szCs w:val="32"/>
          <w:highlight w:val="none"/>
          <w:vertAlign w:val="baseline"/>
          <w:lang w:val="en-US" w:eastAsia="zh-CN"/>
        </w:rPr>
      </w:pPr>
      <w:r>
        <w:rPr>
          <w:rFonts w:hint="eastAsia" w:ascii="方正仿宋_GB2312" w:hAnsi="方正仿宋_GB2312" w:eastAsia="方正仿宋_GB2312" w:cs="方正仿宋_GB2312"/>
          <w:b w:val="0"/>
          <w:bCs w:val="0"/>
          <w:spacing w:val="0"/>
          <w:sz w:val="32"/>
          <w:szCs w:val="32"/>
          <w:highlight w:val="none"/>
          <w:vertAlign w:val="baseline"/>
          <w:lang w:val="en-US" w:eastAsia="zh-CN"/>
        </w:rPr>
        <w:t>联系方式：</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E33100D-5761-4B6B-B522-1442066565C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2000000000000000000"/>
    <w:charset w:val="86"/>
    <w:family w:val="script"/>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embedRegular r:id="rId2" w:fontKey="{4BCD7981-0B57-4D3F-BD87-2FC69438C774}"/>
  </w:font>
  <w:font w:name="宋体-简">
    <w:altName w:val="宋体"/>
    <w:panose1 w:val="00000000000000000000"/>
    <w:charset w:val="88"/>
    <w:family w:val="auto"/>
    <w:pitch w:val="default"/>
    <w:sig w:usb0="00000000" w:usb1="00000000" w:usb2="00000010" w:usb3="00000000" w:csb0="0014009F" w:csb1="00000000"/>
    <w:embedRegular r:id="rId3" w:fontKey="{348B60E8-D46F-4FF3-81C1-99D3B70802D7}"/>
  </w:font>
  <w:font w:name="Helvetica Neue">
    <w:altName w:val="Times New Roman"/>
    <w:panose1 w:val="02000503000000020004"/>
    <w:charset w:val="00"/>
    <w:family w:val="auto"/>
    <w:pitch w:val="default"/>
    <w:sig w:usb0="00000000" w:usb1="00000000" w:usb2="00000010" w:usb3="00000000" w:csb0="00000001" w:csb1="00000000"/>
  </w:font>
  <w:font w:name="华文仿宋">
    <w:panose1 w:val="02010600040101010101"/>
    <w:charset w:val="86"/>
    <w:family w:val="auto"/>
    <w:pitch w:val="default"/>
    <w:sig w:usb0="00000287" w:usb1="080F0000" w:usb2="00000000" w:usb3="00000000" w:csb0="0004009F" w:csb1="DFD70000"/>
    <w:embedRegular r:id="rId4" w:fontKey="{3476C33C-AEC8-4A07-A5DD-D8FABA09C858}"/>
  </w:font>
  <w:font w:name="HGSGothicE">
    <w:altName w:val="MS UI Gothic"/>
    <w:panose1 w:val="020B0900000000000000"/>
    <w:charset w:val="80"/>
    <w:family w:val="auto"/>
    <w:pitch w:val="default"/>
    <w:sig w:usb0="00000000" w:usb1="00000000" w:usb2="00000012" w:usb3="00000000" w:csb0="0002009F" w:csb1="00000000"/>
  </w:font>
  <w:font w:name="MS UI Gothic">
    <w:panose1 w:val="020B0600070205080204"/>
    <w:charset w:val="80"/>
    <w:family w:val="auto"/>
    <w:pitch w:val="default"/>
    <w:sig w:usb0="E00002FF" w:usb1="6AC7FDFB" w:usb2="08000012" w:usb3="00000000" w:csb0="4002009F" w:csb1="DFD70000"/>
  </w:font>
  <w:font w:name="仿宋_GB2312">
    <w:altName w:val="仿宋"/>
    <w:panose1 w:val="02010609030101010101"/>
    <w:charset w:val="86"/>
    <w:family w:val="modern"/>
    <w:pitch w:val="default"/>
    <w:sig w:usb0="00000000" w:usb1="00000000" w:usb2="00000010" w:usb3="00000000" w:csb0="00040000" w:csb1="00000000"/>
    <w:embedRegular r:id="rId5" w:fontKey="{A9C77B3D-67EC-447B-9DC4-69DE9A082F91}"/>
  </w:font>
  <w:font w:name="方正公文黑体">
    <w:panose1 w:val="02000500000000000000"/>
    <w:charset w:val="86"/>
    <w:family w:val="auto"/>
    <w:pitch w:val="default"/>
    <w:sig w:usb0="A00002BF" w:usb1="38CF7CFA" w:usb2="00000016" w:usb3="00000000" w:csb0="00040001" w:csb1="00000000"/>
  </w:font>
  <w:font w:name="标准粗黑">
    <w:panose1 w:val="02000503000000000000"/>
    <w:charset w:val="86"/>
    <w:family w:val="auto"/>
    <w:pitch w:val="default"/>
    <w:sig w:usb0="8000002F" w:usb1="084164FA" w:usb2="00000012" w:usb3="00000000" w:csb0="00040001" w:csb1="00000000"/>
  </w:font>
  <w:font w:name="方正小标宋_GBK">
    <w:panose1 w:val="02000000000000000000"/>
    <w:charset w:val="86"/>
    <w:family w:val="auto"/>
    <w:pitch w:val="default"/>
    <w:sig w:usb0="A00002BF" w:usb1="38CF7CFA" w:usb2="00082016" w:usb3="00000000" w:csb0="00040001" w:csb1="00000000"/>
  </w:font>
  <w:font w:name="方正楷体_GB2312">
    <w:panose1 w:val="02000000000000000000"/>
    <w:charset w:val="86"/>
    <w:family w:val="auto"/>
    <w:pitch w:val="default"/>
    <w:sig w:usb0="A00002BF" w:usb1="184F6CFA" w:usb2="00000012" w:usb3="00000000" w:csb0="00040001" w:csb1="00000000"/>
    <w:embedRegular r:id="rId6" w:fontKey="{D11EBB4F-5FD0-4264-848A-D4FFBB2B441A}"/>
  </w:font>
  <w:font w:name="方正仿宋_GB2312">
    <w:panose1 w:val="02000000000000000000"/>
    <w:charset w:val="86"/>
    <w:family w:val="auto"/>
    <w:pitch w:val="default"/>
    <w:sig w:usb0="A00002BF" w:usb1="184F6CFA" w:usb2="00000012" w:usb3="00000000" w:csb0="00040001" w:csb1="00000000"/>
    <w:embedRegular r:id="rId7" w:fontKey="{EA3C1B17-2B8C-4C2C-8EFA-05BA331F2E36}"/>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755352"/>
    <w:multiLevelType w:val="singleLevel"/>
    <w:tmpl w:val="BF755352"/>
    <w:lvl w:ilvl="0" w:tentative="0">
      <w:start w:val="5"/>
      <w:numFmt w:val="chineseCounting"/>
      <w:suff w:val="space"/>
      <w:lvlText w:val="第%1条"/>
      <w:lvlJc w:val="left"/>
      <w:rPr>
        <w:rFonts w:hint="eastAsia"/>
      </w:rPr>
    </w:lvl>
  </w:abstractNum>
  <w:abstractNum w:abstractNumId="1">
    <w:nsid w:val="3177B3A9"/>
    <w:multiLevelType w:val="singleLevel"/>
    <w:tmpl w:val="3177B3A9"/>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483348"/>
    <w:rsid w:val="553017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autoSpaceDE w:val="0"/>
      <w:autoSpaceDN w:val="0"/>
      <w:jc w:val="left"/>
    </w:pPr>
    <w:rPr>
      <w:rFonts w:ascii="宋体" w:hAnsi="宋体" w:cs="宋体"/>
      <w:kern w:val="0"/>
      <w:sz w:val="28"/>
      <w:szCs w:val="28"/>
    </w:rPr>
  </w:style>
  <w:style w:type="paragraph" w:styleId="5">
    <w:name w:val="Normal (Web)"/>
    <w:basedOn w:val="1"/>
    <w:qFormat/>
    <w:uiPriority w:val="0"/>
    <w:rPr>
      <w:sz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FollowedHyperlink"/>
    <w:basedOn w:val="8"/>
    <w:qFormat/>
    <w:uiPriority w:val="0"/>
    <w:rPr>
      <w:color w:val="800080"/>
      <w:u w:val="single"/>
    </w:rPr>
  </w:style>
  <w:style w:type="paragraph" w:customStyle="1" w:styleId="10">
    <w:name w:val="Default"/>
    <w:unhideWhenUsed/>
    <w:qFormat/>
    <w:uiPriority w:val="99"/>
    <w:pPr>
      <w:widowControl w:val="0"/>
      <w:autoSpaceDE w:val="0"/>
      <w:autoSpaceDN w:val="0"/>
      <w:adjustRightInd w:val="0"/>
    </w:pPr>
    <w:rPr>
      <w:rFonts w:hint="eastAsia" w:ascii="方正仿宋_GBK" w:hAnsi="方正仿宋_GBK" w:eastAsia="方正仿宋_GBK" w:cs="Times New Roman"/>
      <w:color w:val="000000"/>
      <w:sz w:val="24"/>
      <w:szCs w:val="22"/>
      <w:lang w:val="en-US" w:eastAsia="zh-CN" w:bidi="ar-SA"/>
    </w:rPr>
  </w:style>
  <w:style w:type="paragraph" w:customStyle="1" w:styleId="11">
    <w:name w:val="List Paragraph"/>
    <w:basedOn w:val="1"/>
    <w:qFormat/>
    <w:uiPriority w:val="34"/>
    <w:pPr>
      <w:widowControl w:val="0"/>
      <w:ind w:firstLine="420" w:firstLineChars="200"/>
      <w:jc w:val="both"/>
    </w:pPr>
    <w:rPr>
      <w:rFonts w:asciiTheme="minorHAnsi" w:hAnsiTheme="minorHAnsi" w:eastAsiaTheme="minorEastAsia" w:cstheme="minorBidi"/>
      <w:kern w:val="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6126</Words>
  <Characters>6376</Characters>
  <Lines>0</Lines>
  <Paragraphs>0</Paragraphs>
  <TotalTime>126</TotalTime>
  <ScaleCrop>false</ScaleCrop>
  <LinksUpToDate>false</LinksUpToDate>
  <CharactersWithSpaces>7440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2023-04-25T21:29:00Z</dcterms:created>
  <dc:creator>之秀律师</dc:creator>
  <cp:lastModifiedBy>芬子</cp:lastModifiedBy>
  <cp:lastPrinted>2023-04-28T14:24:00Z</cp:lastPrinted>
  <dcterms:modified xsi:type="dcterms:W3CDTF">2025-05-12T12:03:42Z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44A67403816242BFB3D92420DCC1A9CE_13</vt:lpwstr>
  </property>
  <property fmtid="{D5CDD505-2E9C-101B-9397-08002B2CF9AE}" pid="4" name="KSOTemplateDocerSaveRecord">
    <vt:lpwstr>eyJoZGlkIjoiZDJiMWZmYjU0MTdjYjM2OTg0ZTA5YTQ2M2U4NGY3ZjYiLCJ1c2VySWQiOiIyMzE0ODE2OTEifQ==</vt:lpwstr>
  </property>
</Properties>
</file>