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E03B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44"/>
          <w:szCs w:val="44"/>
          <w:lang w:val="en-US" w:eastAsia="zh-CN" w:bidi="ar-SA"/>
        </w:rPr>
        <w:t>告</w:t>
      </w:r>
      <w:r>
        <w:rPr>
          <w:rFonts w:hint="eastAsia" w:asciiTheme="minorEastAsia" w:hAnsiTheme="minorEastAsia" w:cstheme="minorEastAsia"/>
          <w:b/>
          <w:bCs/>
          <w:kern w:val="2"/>
          <w:sz w:val="44"/>
          <w:szCs w:val="44"/>
          <w:lang w:val="en-US" w:eastAsia="zh-CN" w:bidi="ar-SA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44"/>
          <w:szCs w:val="44"/>
          <w:lang w:val="en-US" w:eastAsia="zh-CN" w:bidi="ar-SA"/>
        </w:rPr>
        <w:t>知</w:t>
      </w:r>
      <w:r>
        <w:rPr>
          <w:rFonts w:hint="eastAsia" w:asciiTheme="minorEastAsia" w:hAnsiTheme="minorEastAsia" w:cstheme="minorEastAsia"/>
          <w:b/>
          <w:bCs/>
          <w:kern w:val="2"/>
          <w:sz w:val="44"/>
          <w:szCs w:val="44"/>
          <w:lang w:val="en-US" w:eastAsia="zh-CN" w:bidi="ar-SA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44"/>
          <w:szCs w:val="44"/>
          <w:lang w:val="en-US" w:eastAsia="zh-CN" w:bidi="ar-SA"/>
        </w:rPr>
        <w:t>书</w:t>
      </w:r>
    </w:p>
    <w:p w14:paraId="2C69421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right"/>
        <w:textAlignment w:val="auto"/>
        <w:outlineLvl w:val="9"/>
        <w:rPr>
          <w:rFonts w:hint="eastAsia" w:ascii="仿宋_GB2312" w:hAnsi="华文仿宋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华文仿宋" w:eastAsia="仿宋_GB2312" w:cs="Times New Roman"/>
          <w:b w:val="0"/>
          <w:kern w:val="2"/>
          <w:sz w:val="28"/>
          <w:szCs w:val="28"/>
          <w:lang w:val="en-US" w:eastAsia="zh-CN" w:bidi="ar-SA"/>
        </w:rPr>
        <w:t>塔思丽实业破管字第13号</w:t>
      </w:r>
    </w:p>
    <w:p w14:paraId="1E1C380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华文仿宋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华文仿宋" w:eastAsia="仿宋_GB2312" w:cs="Times New Roman"/>
          <w:b w:val="0"/>
          <w:kern w:val="2"/>
          <w:sz w:val="28"/>
          <w:szCs w:val="28"/>
          <w:lang w:val="en-US" w:eastAsia="zh-CN" w:bidi="ar-SA"/>
        </w:rPr>
        <w:t>塔思丽（福建）实业有限公司及其法定代表人、股东：</w:t>
      </w:r>
    </w:p>
    <w:p w14:paraId="7F0BA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2024年8月20日，福建省晋江市人民法院作出（2024）闽0582破申7号民事裁定书，裁定受理晋江鹏展展示道具有限公司对塔思丽（福建）实业有限公司（以下简称“债务人”或“塔思丽公司”）破产清算申请，并于同日作出（2024）闽0582破25号决定书，指定福建省京闽清算服务有限公司担任塔思丽（福建）实业有限公司管理人（以下简称“管理人”）。</w:t>
      </w:r>
    </w:p>
    <w:p w14:paraId="2CFC1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截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至2024年9月20日，共有9户债权人向管理人申报了12笔债权，申报总金额为13,614,657.82元。经初步审查，管理人全部确认及部分确认的债权为9户12笔，债权金额为12,996,895.18元。管理人编制了《塔思丽（福建）实业有限公司债权表》并交第一次债权人会议核查。</w:t>
      </w:r>
    </w:p>
    <w:p w14:paraId="36499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另外，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经管理人调查，确认截至2024年9月26日，塔思丽（福建）实业有限公司尚欠6笔职工债权，债权金额共计90,598.00元。</w:t>
      </w:r>
    </w:p>
    <w:p w14:paraId="7119A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根据《中华人民共和国企业破产法》第五十八条以及相关法律规定，债务人应当对管理人编制的《债权表》进行核对，有异议的应当说明具体理由。故管理人正式告知你，请你务必于收到本《告知书》之日起7日内完成债权核对，并按要求填写《债务人债权核对表》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签字确认后邮寄给管理人（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Hans" w:bidi="ar-SA"/>
        </w:rPr>
        <w:t>邮寄地址：福建省泉州市丰泽区宝洲路299号5楼福建省京闽清算服务有限公司；邮政编码：362000 ；联系人：李小玲17520497497、张雪兰 13043522668</w:t>
      </w: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Hans" w:bidi="ar-SA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；逾期未提交的，视为同意管理人的审查意见。</w:t>
      </w:r>
    </w:p>
    <w:p w14:paraId="5B41C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特此函告。</w:t>
      </w:r>
    </w:p>
    <w:p w14:paraId="45C24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塔思丽（福建）实业有限公司管理人</w:t>
      </w:r>
    </w:p>
    <w:p w14:paraId="549E3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二〇二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九月二十七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日</w:t>
      </w:r>
    </w:p>
    <w:p w14:paraId="005DF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附：</w:t>
      </w:r>
    </w:p>
    <w:p w14:paraId="2CFD3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塔思丽（福建）实业有限公司职工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债权表》</w:t>
      </w:r>
    </w:p>
    <w:p w14:paraId="3F795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塔思丽（福建）实业有限公司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债权表》</w:t>
      </w:r>
    </w:p>
    <w:p w14:paraId="3D57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3.</w:t>
      </w:r>
      <w:bookmarkStart w:id="11" w:name="_GoBack"/>
      <w:bookmarkEnd w:id="11"/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《债务人债权核对表》</w:t>
      </w:r>
    </w:p>
    <w:p w14:paraId="77B33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D453731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bookmarkStart w:id="0" w:name="_Toc17525"/>
      <w:bookmarkStart w:id="1" w:name="_Toc23634"/>
      <w:bookmarkStart w:id="2" w:name="_Toc15322"/>
      <w:bookmarkStart w:id="3" w:name="_Toc3258"/>
      <w:bookmarkStart w:id="4" w:name="_Toc747"/>
      <w:bookmarkStart w:id="5" w:name="_Toc31715"/>
      <w:bookmarkStart w:id="6" w:name="_Toc2666"/>
      <w:bookmarkStart w:id="7" w:name="_Toc12953"/>
      <w:bookmarkStart w:id="8" w:name="_Toc25856"/>
      <w:bookmarkStart w:id="9" w:name="_Toc25468"/>
      <w:bookmarkStart w:id="10" w:name="_Toc24495"/>
      <w:r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  <w:t>塔思丽（福建）实业有限公司职工债权表</w:t>
      </w:r>
    </w:p>
    <w:p w14:paraId="7A71C8F6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6"/>
        <w:tblW w:w="127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835"/>
        <w:gridCol w:w="1307"/>
        <w:gridCol w:w="2293"/>
        <w:gridCol w:w="1768"/>
        <w:gridCol w:w="5805"/>
      </w:tblGrid>
      <w:tr w14:paraId="16677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Header/>
          <w:jc w:val="center"/>
        </w:trPr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7F355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职工债权人信息</w:t>
            </w:r>
          </w:p>
        </w:tc>
        <w:tc>
          <w:tcPr>
            <w:tcW w:w="7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6DAAD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调查情况</w:t>
            </w:r>
          </w:p>
        </w:tc>
      </w:tr>
      <w:tr w14:paraId="482A9C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tblHeader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5AAC2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序号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7EB6E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编号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1687F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职工债权人名称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579D8162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68"/>
                <w:tab w:val="center" w:pos="1148"/>
              </w:tabs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统一社会信用代码/身份证号码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6654D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职工债权金额（元）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7AEB6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D5EBF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797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9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9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沈保玉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05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350624***0038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6E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16,000.00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3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依据晋江市劳动争议仲裁委员会晋劳仲案【2015】1131号裁决书及债权人主张的已还款金额确认</w:t>
            </w:r>
          </w:p>
        </w:tc>
      </w:tr>
      <w:tr w14:paraId="5515C7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18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5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C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林晴瑜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20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350582****052X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9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21,947.00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D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依据晋江市劳动争议仲裁委员会晋劳仲案【2015】1131号裁决书确认</w:t>
            </w:r>
          </w:p>
        </w:tc>
      </w:tr>
      <w:tr w14:paraId="7ACB3F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74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5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3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王雅婷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E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350582****0023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61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3,080.00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5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依据晋江市劳动争议仲裁委员会晋劳仲案【2015】1131号裁决书确认</w:t>
            </w:r>
          </w:p>
        </w:tc>
      </w:tr>
      <w:tr w14:paraId="07E5A3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A79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33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A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洪冰冰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3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350582****0042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C4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6,571.00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F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依据晋江市劳动争议仲裁委员会晋劳仲案【2015】1131号裁决书确认</w:t>
            </w:r>
          </w:p>
        </w:tc>
      </w:tr>
      <w:tr w14:paraId="5EF73F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0C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8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FF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庄树荣（继承人庄金希）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2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350582****0038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55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25,000.00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40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依据晋江市劳动争议仲裁委员会晋劳仲案【2015】1131号裁决书确认</w:t>
            </w:r>
          </w:p>
        </w:tc>
      </w:tr>
      <w:tr w14:paraId="232995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E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8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职6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F2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庄建港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22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350582****0033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88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18,000.00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893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依据晋江市劳动争议仲裁委员会晋劳仲案【2015】1131号裁决书确认</w:t>
            </w:r>
          </w:p>
        </w:tc>
      </w:tr>
      <w:tr w14:paraId="2C41B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1A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7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90,598.00 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1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5BC7DE79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p w14:paraId="0BBD03AC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p w14:paraId="216B84FC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p w14:paraId="58BCA3EB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p w14:paraId="01704C7B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  <w:t>塔思丽（福建）实业有限公司债权表</w:t>
      </w:r>
      <w:bookmarkEnd w:id="0"/>
    </w:p>
    <w:p w14:paraId="6D54AE0D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（截止日期：2024年9月20日；单位：人民币元）</w:t>
      </w:r>
    </w:p>
    <w:p w14:paraId="588FEAF8">
      <w:pPr>
        <w:keepNext w:val="0"/>
        <w:keepLines w:val="0"/>
        <w:widowControl/>
        <w:numPr>
          <w:ilvl w:val="-1"/>
          <w:numId w:val="0"/>
        </w:numPr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6"/>
        <w:tblW w:w="152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823"/>
        <w:gridCol w:w="1375"/>
        <w:gridCol w:w="1328"/>
        <w:gridCol w:w="937"/>
        <w:gridCol w:w="1410"/>
        <w:gridCol w:w="1393"/>
        <w:gridCol w:w="1339"/>
        <w:gridCol w:w="729"/>
        <w:gridCol w:w="1324"/>
        <w:gridCol w:w="515"/>
        <w:gridCol w:w="554"/>
        <w:gridCol w:w="1938"/>
      </w:tblGrid>
      <w:tr w14:paraId="29BAE8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Header/>
          <w:jc w:val="center"/>
        </w:trPr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0E86F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债权人信息</w:t>
            </w:r>
          </w:p>
        </w:tc>
        <w:tc>
          <w:tcPr>
            <w:tcW w:w="50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7AE3D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申报情况</w:t>
            </w:r>
          </w:p>
        </w:tc>
        <w:tc>
          <w:tcPr>
            <w:tcW w:w="58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6737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审查情况</w:t>
            </w:r>
          </w:p>
        </w:tc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418CF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0A63DC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tblHeader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06093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编号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66640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申报人名称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77A0F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本金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1F61C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57BF4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其他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16C95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总额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57C9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本金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2F105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18996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其他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22748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审定债权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209AA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F7F7F"/>
            <w:tcMar>
              <w:top w:w="15" w:type="dxa"/>
              <w:left w:w="15" w:type="dxa"/>
              <w:right w:w="15" w:type="dxa"/>
            </w:tcMar>
            <w:vAlign w:val="center"/>
          </w:tcPr>
          <w:p w14:paraId="38254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19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15" w:type="dxa"/>
              <w:left w:w="15" w:type="dxa"/>
              <w:right w:w="15" w:type="dxa"/>
            </w:tcMar>
            <w:vAlign w:val="center"/>
          </w:tcPr>
          <w:p w14:paraId="73029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538934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E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1-1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E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晋江鹏展展示道具有限公司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6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215,460.00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EA7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62,623.63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CB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4,532.00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B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282,615.63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A25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215,460.00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E8C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53,971.23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03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CF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269,431.23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DA6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部分确认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AF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EB5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核减多申报的利息后，依据生效法律文书对本金及利息债权予以确认；对其他债权不予确认，案件受理费应由申报人向人民法院申请退费</w:t>
            </w:r>
          </w:p>
        </w:tc>
      </w:tr>
      <w:tr w14:paraId="57DD2C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2C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1-2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E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晋江鹏展展示道具有限公司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75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8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66,814.15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D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6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66,814.15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7423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4B5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66,814.15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21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94A6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66,814.15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CDB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98BA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普通债权（劣后清偿）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903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依据生效法律文书对债权予以确认，迟延履行期间的双倍债务利息具有惩罚性质，故劣后于其他普通债权清偿</w:t>
            </w:r>
          </w:p>
        </w:tc>
      </w:tr>
      <w:tr w14:paraId="7C11CC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1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C1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晋江市人民法院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2B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15,132.50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75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C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26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15,132.50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EF1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15,132.50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2C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4E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CF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15,132.50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407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4AD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普通债权（劣后清偿）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054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对债务人尚欠的案件受理费、执行申请费予以确认，该债权具有行政性质，故劣后于其他普通债权清偿</w:t>
            </w:r>
          </w:p>
        </w:tc>
      </w:tr>
      <w:tr w14:paraId="405360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4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3-1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3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国家税务总局晋江市税务局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4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26,977.32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2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C4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59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26,977.32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4C2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26,977.32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A3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99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D59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26,977.32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96C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20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税收债权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EE9F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对债务人尚欠的增值税税款予以确认</w:t>
            </w:r>
          </w:p>
          <w:p w14:paraId="72A97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83660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26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3-2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35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国家税务总局晋江市税务局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D4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566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42,188.88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B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B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42,188.88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F4E8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2FA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42,188.88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3BE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AB7F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42,188.88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CC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7CD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C822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对债务人基于欠付税费所产生的税收滞纳金予以确认</w:t>
            </w:r>
          </w:p>
        </w:tc>
      </w:tr>
      <w:tr w14:paraId="76F3D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A8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20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福建晋江农村商业银行股份有限公司安海支行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C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1,000,000.00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5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1,780,637.89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C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A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2,780,637.89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F52A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1,000,000.00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C29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1,780,637.89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6F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2B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2,780,637.89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15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27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9E7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依据生效法律文书对债权予以确认</w:t>
            </w:r>
          </w:p>
        </w:tc>
      </w:tr>
      <w:tr w14:paraId="44C56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20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9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泉州银行股份有限公司晋江陈埭支行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5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3,101,164.60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A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6,391,678.26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C4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E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9,492,842.86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C0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3,101,164.60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05F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5,856,584.09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BB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CE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8,957,748.69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5E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部分确认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F253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69B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核减多申报的利息后，依据生效法律文书对债权予以确认</w:t>
            </w:r>
          </w:p>
        </w:tc>
      </w:tr>
      <w:tr w14:paraId="3D6F0F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6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B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吕伟民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A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184,744.00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F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77,546.00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4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3,995.00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12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266,285.00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AC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184,744.00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9A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72,324.45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DAE4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9FF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257,068.45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D6F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部分确认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80A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8F5A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核减多申报的利息后，依据生效法律文书对本金及利息债权予以确认；对其他债权不予确认，案件受理费应由申报人向人民法院申请退费</w:t>
            </w:r>
          </w:p>
        </w:tc>
      </w:tr>
      <w:tr w14:paraId="1DEFB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9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7-1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9C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彭志敏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C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175,767.00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34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90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9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175,767.00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2B4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175,767.00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D7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90C0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0D4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175,767.00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F05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06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68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依据生效法律文书对债权予以确认</w:t>
            </w:r>
          </w:p>
        </w:tc>
      </w:tr>
      <w:tr w14:paraId="50DBEE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67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7-2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1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彭志敏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F9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5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96,583.97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6E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D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96,583.97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D33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46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95,538.15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E46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3D77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95,538.15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5A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部分确认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165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普通债权（劣后清偿）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2E99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依据生效法律文书对债权予以确认，迟延履行期间的双倍债务利息具有惩罚性质，故劣后于其他普通债权清偿</w:t>
            </w:r>
          </w:p>
          <w:p w14:paraId="11877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54DA0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85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E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丁婷婷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A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124,832.45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56F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31,899.00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32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D8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156,731.45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EB0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124,832.45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F10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31,899.00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B4A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42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156,731.45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BA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全部确认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A17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156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依据生效法律文书对债权予以确认</w:t>
            </w:r>
          </w:p>
        </w:tc>
      </w:tr>
      <w:tr w14:paraId="7EEB2C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3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6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谢家富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A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110,920.00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1B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101,161.17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8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0D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212,081.17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F1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110,920.00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B89A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41,939.47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871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E6B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152,859.47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D40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部分确认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4D48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132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核减多申报的利息后，依据生效法律文书对债权予以确认</w:t>
            </w:r>
          </w:p>
        </w:tc>
      </w:tr>
    </w:tbl>
    <w:p w14:paraId="694A408C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26976017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35FE5EB3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249F90EC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6FB106AA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294628A6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5EEC6C0E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1CF8AE2E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bookmarkEnd w:id="1"/>
    <w:p w14:paraId="08B4EDA2"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2CC1614A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outlineLvl w:val="0"/>
        <w:rPr>
          <w:rFonts w:hint="eastAsia" w:ascii="黑体" w:hAnsi="黑体" w:eastAsia="黑体" w:cs="黑体"/>
          <w:b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p w14:paraId="5840679E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1FE09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pacing w:val="0"/>
          <w:sz w:val="40"/>
          <w:szCs w:val="44"/>
          <w:highlight w:val="none"/>
          <w:lang w:eastAsia="zh-CN"/>
        </w:rPr>
        <w:sectPr>
          <w:pgSz w:w="16838" w:h="11906" w:orient="landscape"/>
          <w:pgMar w:top="1797" w:right="1440" w:bottom="1797" w:left="1440" w:header="737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linePitch="312" w:charSpace="0"/>
        </w:sectPr>
      </w:pPr>
    </w:p>
    <w:p w14:paraId="4197FB09">
      <w:pPr>
        <w:pStyle w:val="2"/>
        <w:jc w:val="distribute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塔思丽（福建）实业有限公司</w:t>
      </w:r>
    </w:p>
    <w:p w14:paraId="1EDBF3B4">
      <w:pPr>
        <w:pStyle w:val="2"/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Hans"/>
        </w:rPr>
        <w:t>债务人</w:t>
      </w:r>
      <w:r>
        <w:rPr>
          <w:rFonts w:hint="eastAsia"/>
          <w:sz w:val="44"/>
          <w:szCs w:val="44"/>
        </w:rPr>
        <w:t>债权核</w:t>
      </w:r>
      <w:r>
        <w:rPr>
          <w:rFonts w:hint="eastAsia"/>
          <w:sz w:val="44"/>
          <w:szCs w:val="44"/>
          <w:lang w:val="en-US" w:eastAsia="zh-Hans"/>
        </w:rPr>
        <w:t>对</w:t>
      </w:r>
      <w:r>
        <w:rPr>
          <w:rFonts w:hint="eastAsia"/>
          <w:sz w:val="44"/>
          <w:szCs w:val="44"/>
        </w:rPr>
        <w:t>表</w:t>
      </w:r>
    </w:p>
    <w:tbl>
      <w:tblPr>
        <w:tblStyle w:val="7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7434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720" w:type="dxa"/>
            <w:noWrap w:val="0"/>
            <w:vAlign w:val="center"/>
          </w:tcPr>
          <w:p w14:paraId="07938F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对《债权表》中记载的债权编号第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号债权</w:t>
            </w:r>
            <w:r>
              <w:rPr>
                <w:rFonts w:hint="eastAsia" w:ascii="宋体" w:hAnsi="宋体"/>
                <w:sz w:val="24"/>
                <w:lang w:eastAsia="zh-CN"/>
              </w:rPr>
              <w:t>审查</w:t>
            </w:r>
            <w:r>
              <w:rPr>
                <w:rFonts w:hint="eastAsia" w:ascii="宋体" w:hAnsi="宋体"/>
                <w:sz w:val="24"/>
              </w:rPr>
              <w:t>结果有异议</w:t>
            </w:r>
          </w:p>
        </w:tc>
      </w:tr>
      <w:tr w14:paraId="66343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9" w:hRule="atLeast"/>
        </w:trPr>
        <w:tc>
          <w:tcPr>
            <w:tcW w:w="8720" w:type="dxa"/>
            <w:noWrap w:val="0"/>
            <w:vAlign w:val="top"/>
          </w:tcPr>
          <w:p w14:paraId="5378797B">
            <w:pPr>
              <w:tabs>
                <w:tab w:val="left" w:pos="3373"/>
              </w:tabs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79DCD7CD">
            <w:pPr>
              <w:tabs>
                <w:tab w:val="left" w:pos="3373"/>
              </w:tabs>
              <w:bidi w:val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事实与理由：</w:t>
            </w:r>
          </w:p>
        </w:tc>
      </w:tr>
      <w:tr w14:paraId="531E1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20" w:type="dxa"/>
            <w:noWrap w:val="0"/>
            <w:vAlign w:val="top"/>
          </w:tcPr>
          <w:p w14:paraId="175051E6">
            <w:pPr>
              <w:wordWrap w:val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215D0251">
            <w:pPr>
              <w:wordWrap w:val="0"/>
              <w:spacing w:line="480" w:lineRule="auto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签字：                </w:t>
            </w:r>
          </w:p>
          <w:p w14:paraId="5B8308E8">
            <w:pPr>
              <w:wordWrap w:val="0"/>
              <w:spacing w:line="480" w:lineRule="auto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日期：                </w:t>
            </w:r>
          </w:p>
        </w:tc>
      </w:tr>
    </w:tbl>
    <w:p w14:paraId="0A610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hAnsi="华文仿宋" w:eastAsia="仿宋_GB2312" w:cs="Times New Roman"/>
          <w:b w:val="0"/>
          <w:kern w:val="2"/>
          <w:sz w:val="28"/>
          <w:szCs w:val="28"/>
          <w:lang w:val="en-US" w:eastAsia="zh-Hans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39070">
    <w:pPr>
      <w:pStyle w:val="5"/>
      <w:pBdr>
        <w:bottom w:val="thickThinSmallGap" w:color="auto" w:sz="12" w:space="1"/>
      </w:pBdr>
      <w:jc w:val="center"/>
      <w:rPr>
        <w:rFonts w:hint="eastAsia"/>
        <w:b/>
        <w:bCs/>
        <w:sz w:val="48"/>
        <w:szCs w:val="48"/>
        <w:lang w:eastAsia="zh-CN"/>
      </w:rPr>
    </w:pPr>
    <w:r>
      <w:rPr>
        <w:rFonts w:hint="eastAsia"/>
        <w:b/>
        <w:bCs/>
        <w:sz w:val="48"/>
        <w:szCs w:val="48"/>
        <w:lang w:eastAsia="zh-CN"/>
      </w:rPr>
      <w:t>塔思丽（福建）实业有限公司管理人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C2C4A"/>
    <w:multiLevelType w:val="singleLevel"/>
    <w:tmpl w:val="0BBC2C4A"/>
    <w:lvl w:ilvl="0" w:tentative="0">
      <w:start w:val="202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jNzczNTJhZTE2N2I0ZmJlOThiYWU2YWI4OTRmYzYifQ=="/>
    <w:docVar w:name="KSO_WPS_MARK_KEY" w:val="b6ddaf95-dab2-45d1-8081-2e802e8cee24"/>
  </w:docVars>
  <w:rsids>
    <w:rsidRoot w:val="76774012"/>
    <w:rsid w:val="02061E43"/>
    <w:rsid w:val="027950A0"/>
    <w:rsid w:val="043F6DC8"/>
    <w:rsid w:val="056B1570"/>
    <w:rsid w:val="079A2552"/>
    <w:rsid w:val="083237FC"/>
    <w:rsid w:val="08A52FEB"/>
    <w:rsid w:val="097F1E8C"/>
    <w:rsid w:val="0A142089"/>
    <w:rsid w:val="0B560953"/>
    <w:rsid w:val="0C4B5C16"/>
    <w:rsid w:val="0C745A9A"/>
    <w:rsid w:val="0CE7073F"/>
    <w:rsid w:val="0D020A0B"/>
    <w:rsid w:val="0E1427C0"/>
    <w:rsid w:val="0E171886"/>
    <w:rsid w:val="0EAD05D0"/>
    <w:rsid w:val="0EE522DB"/>
    <w:rsid w:val="117A57E3"/>
    <w:rsid w:val="12745F08"/>
    <w:rsid w:val="13250FB0"/>
    <w:rsid w:val="17AB39D3"/>
    <w:rsid w:val="181071AC"/>
    <w:rsid w:val="19052AAF"/>
    <w:rsid w:val="191C52A8"/>
    <w:rsid w:val="19FD67E3"/>
    <w:rsid w:val="1B2D4345"/>
    <w:rsid w:val="1C4D191D"/>
    <w:rsid w:val="1CCC2E22"/>
    <w:rsid w:val="1D412E8A"/>
    <w:rsid w:val="1D9D0553"/>
    <w:rsid w:val="1EF36A8B"/>
    <w:rsid w:val="1FE56DE3"/>
    <w:rsid w:val="20D44015"/>
    <w:rsid w:val="21B960D2"/>
    <w:rsid w:val="21CB3A0E"/>
    <w:rsid w:val="21E54DB1"/>
    <w:rsid w:val="2237485C"/>
    <w:rsid w:val="23023104"/>
    <w:rsid w:val="25A72537"/>
    <w:rsid w:val="262D48F3"/>
    <w:rsid w:val="27816E34"/>
    <w:rsid w:val="28BE76A5"/>
    <w:rsid w:val="2A7523C5"/>
    <w:rsid w:val="2B566B28"/>
    <w:rsid w:val="32C45A51"/>
    <w:rsid w:val="33570E46"/>
    <w:rsid w:val="33A81036"/>
    <w:rsid w:val="33AB4A62"/>
    <w:rsid w:val="33BD33EB"/>
    <w:rsid w:val="33D53A9D"/>
    <w:rsid w:val="33EF2883"/>
    <w:rsid w:val="36126D79"/>
    <w:rsid w:val="38DF5965"/>
    <w:rsid w:val="3A014937"/>
    <w:rsid w:val="3A105485"/>
    <w:rsid w:val="3A6C6EB6"/>
    <w:rsid w:val="3B122E7E"/>
    <w:rsid w:val="3CDF6400"/>
    <w:rsid w:val="3DDF1A57"/>
    <w:rsid w:val="3E9265FB"/>
    <w:rsid w:val="41F83BB0"/>
    <w:rsid w:val="435718DF"/>
    <w:rsid w:val="44055877"/>
    <w:rsid w:val="44802EB5"/>
    <w:rsid w:val="45D67D64"/>
    <w:rsid w:val="478D0C4E"/>
    <w:rsid w:val="489B47BB"/>
    <w:rsid w:val="49367ADC"/>
    <w:rsid w:val="4A394D65"/>
    <w:rsid w:val="4C0575F5"/>
    <w:rsid w:val="4C5B4AC8"/>
    <w:rsid w:val="4D192DD4"/>
    <w:rsid w:val="4D3F4625"/>
    <w:rsid w:val="4DB932D4"/>
    <w:rsid w:val="4E751ACC"/>
    <w:rsid w:val="4F2545E5"/>
    <w:rsid w:val="4FF260E2"/>
    <w:rsid w:val="50670A52"/>
    <w:rsid w:val="52D61563"/>
    <w:rsid w:val="537B4906"/>
    <w:rsid w:val="540F0813"/>
    <w:rsid w:val="54371514"/>
    <w:rsid w:val="558C6691"/>
    <w:rsid w:val="55FB216C"/>
    <w:rsid w:val="591A2BA2"/>
    <w:rsid w:val="5B354B4F"/>
    <w:rsid w:val="5B557525"/>
    <w:rsid w:val="5C24527D"/>
    <w:rsid w:val="5C8818DD"/>
    <w:rsid w:val="5DF4767B"/>
    <w:rsid w:val="5E313191"/>
    <w:rsid w:val="5E40270F"/>
    <w:rsid w:val="5ED846F5"/>
    <w:rsid w:val="5F28521A"/>
    <w:rsid w:val="609964FE"/>
    <w:rsid w:val="614D5DDD"/>
    <w:rsid w:val="64260681"/>
    <w:rsid w:val="64C404E0"/>
    <w:rsid w:val="67822460"/>
    <w:rsid w:val="678D782E"/>
    <w:rsid w:val="690A5DF3"/>
    <w:rsid w:val="6B063579"/>
    <w:rsid w:val="6BFB7C75"/>
    <w:rsid w:val="6E2B02FA"/>
    <w:rsid w:val="6EE26368"/>
    <w:rsid w:val="6F7E6BF3"/>
    <w:rsid w:val="70AB374F"/>
    <w:rsid w:val="721B4BCD"/>
    <w:rsid w:val="74A86F2F"/>
    <w:rsid w:val="74AA1E66"/>
    <w:rsid w:val="74BE5EA9"/>
    <w:rsid w:val="7574395E"/>
    <w:rsid w:val="76774012"/>
    <w:rsid w:val="771F2BE3"/>
    <w:rsid w:val="7816799E"/>
    <w:rsid w:val="78285131"/>
    <w:rsid w:val="7A752A91"/>
    <w:rsid w:val="7CB43C54"/>
    <w:rsid w:val="7F62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-简" w:asciiTheme="minorAscii" w:hAnsiTheme="minorAscii" w:eastAsiaTheme="minorEastAsia"/>
      <w:kern w:val="2"/>
      <w:sz w:val="28"/>
      <w:szCs w:val="28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1585</Words>
  <Characters>2350</Characters>
  <Lines>0</Lines>
  <Paragraphs>0</Paragraphs>
  <TotalTime>1</TotalTime>
  <ScaleCrop>false</ScaleCrop>
  <LinksUpToDate>false</LinksUpToDate>
  <CharactersWithSpaces>2494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2021-10-25T02:03:00Z</dcterms:created>
  <dc:creator>ζ</dc:creator>
  <cp:lastModifiedBy>小玲玲</cp:lastModifiedBy>
  <dcterms:modified xsi:type="dcterms:W3CDTF">2024-09-27T08:50:56Z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0CB5296F87224FA4991A7DC24EE7C1D1</vt:lpwstr>
  </property>
</Properties>
</file>